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Doku: GLP-1 Brand Competition Forecast</w:t>
      </w:r>
    </w:p>
    <w:p>
      <w:r>
        <w:rPr>
          <w:b w:val="0"/>
        </w:rPr>
        <w:t>Use Case 2 – Mounjaro (Tirzepatid, Lilly) vs. Ozempic/Wegovy (Semaglutid, Novo Nordisk)</w:t>
      </w:r>
    </w:p>
    <w:p>
      <w:r>
        <w:rPr>
          <w:b w:val="0"/>
        </w:rPr>
        <w:t>Stand: Februar 2026 | Status: UNDER CONSTRUCTION</w:t>
      </w:r>
    </w:p>
    <w:p/>
    <w:p>
      <w:pPr>
        <w:pStyle w:val="Heading1"/>
      </w:pPr>
      <w:r>
        <w:rPr>
          <w:color w:val="1A1A2E"/>
        </w:rPr>
        <w:t>1. Überblick und Fragestellung</w:t>
      </w:r>
    </w:p>
    <w:p>
      <w:r>
        <w:rPr>
          <w:b w:val="0"/>
        </w:rPr>
        <w:t>Dieses Modell prognostiziert die Marktentwicklung von GLP-1-Rezeptor-Agonisten in Deutschland über einen 5-Jahres-Horizont (2026–2031). Im Fokus steht der Wettbewerb zwischen Mounjaro (Tirzepatid, Eli Lilly) und Ozempic/Wegovy (Semaglutid, Novo Nordisk).</w:t>
      </w:r>
    </w:p>
    <w:p>
      <w:r>
        <w:rPr>
          <w:b w:val="0"/>
        </w:rPr>
        <w:t>Kernfrage: Wie entwickeln sich Patientenzahlen, Marktanteile und Umsätze der beiden Marktführer über 4 Indikationen hinweg – und welche Szenarien (GKV-Erstattung für Adipositas, neue Indikationen) verändern das Bild?</w:t>
      </w:r>
    </w:p>
    <w:p>
      <w:r>
        <w:rPr>
          <w:b/>
        </w:rPr>
        <w:t>Wichtige Einordnung:</w:t>
      </w:r>
    </w:p>
    <w:p>
      <w:pPr>
        <w:pStyle w:val="ListBullet"/>
      </w:pPr>
      <w:r>
        <w:t>Dies ist kein Launch-Forecast im klassischen Sinn. Mounjaro ist seit Nov 2023 in DE auf dem Markt und hat bereits ~8% Marktanteil. Der Forecast modelliert die Wachstumsphase eines etablierten Produkts.</w:t>
      </w:r>
    </w:p>
    <w:p>
      <w:pPr>
        <w:pStyle w:val="ListBullet"/>
      </w:pPr>
      <w:r>
        <w:t>Das Modell ist symmetrisch aufgebaut: Man kann sowohl die Lilly- als auch die Novo-Perspektive einnehmen (Umschalten per Radio-Button).</w:t>
      </w:r>
    </w:p>
    <w:p>
      <w:pPr>
        <w:pStyle w:val="Heading1"/>
      </w:pPr>
      <w:r>
        <w:rPr>
          <w:color w:val="1A1A2E"/>
        </w:rPr>
        <w:t>2. Modellarchitektur</w:t>
      </w:r>
    </w:p>
    <w:p>
      <w:r>
        <w:rPr>
          <w:b w:val="0"/>
        </w:rPr>
        <w:t>Das Modell verwendet einen patientenbasierten Ansatz mit separaten Umsatzströmen pro Indikation. Dies ist Best Practice in der Pharma-Forecasting-Industrie, da jede Indikation unterschiedliche Patientenpools, Preise, Therapietreue und GKV-Erstattung hat.</w:t>
      </w:r>
    </w:p>
    <w:p>
      <w:r>
        <w:rPr>
          <w:b/>
        </w:rPr>
        <w:t>Formel pro Indikation, pro Monat:</w:t>
      </w:r>
    </w:p>
    <w:p>
      <w:r>
        <w:rPr>
          <w:b w:val="0"/>
        </w:rPr>
        <w:t>Patienten = Eligible Population × Behandlungsrate (S-Kurve) × Mein Marktanteil (S-Kurve) × Therapietreue</w:t>
        <w:br/>
        <w:t>Umsatz = Patienten × Preis/Monat (mit jährlicher Erosion)</w:t>
        <w:br/>
        <w:t>Gesamt = Summe über alle Indikationen → Supply Constraint → Profitabilität</w:t>
      </w:r>
    </w:p>
    <w:p>
      <w:r>
        <w:rPr>
          <w:b/>
        </w:rPr>
        <w:t>Architektur-Entscheidungen:</w:t>
      </w:r>
    </w:p>
    <w:p>
      <w:pPr>
        <w:pStyle w:val="ListBullet"/>
      </w:pPr>
      <w:r>
        <w:t>Patientenbasiert (nicht TRx-basiert): Jede Indikation hat einen eigenen Patientenpool mit eigener Epidemiologie</w:t>
      </w:r>
    </w:p>
    <w:p>
      <w:pPr>
        <w:pStyle w:val="ListBullet"/>
      </w:pPr>
      <w:r>
        <w:t>Per-Indication Revenue Streams: T2D, Adipositas, CV-Risiko, MASH – separat berechnet, dann aggregiert</w:t>
      </w:r>
    </w:p>
    <w:p>
      <w:pPr>
        <w:pStyle w:val="ListBullet"/>
      </w:pPr>
      <w:r>
        <w:t>S-Kurve für Adoption: Logistische Sigmoid-Funktion für Treatment Rate und Marktanteil</w:t>
      </w:r>
    </w:p>
    <w:p>
      <w:pPr>
        <w:pStyle w:val="ListBullet"/>
      </w:pPr>
      <w:r>
        <w:t>Share-Normalisierung: Mein Anteil + Wettbewerber + Rest = 100%, Rest mindestens 10%</w:t>
      </w:r>
    </w:p>
    <w:p>
      <w:pPr>
        <w:pStyle w:val="ListBullet"/>
      </w:pPr>
      <w:r>
        <w:t>Supply Constraint: Optional, begrenzt Gesamtpatienten auf Produktionskapazität</w:t>
      </w:r>
    </w:p>
    <w:p>
      <w:pPr>
        <w:pStyle w:val="Heading1"/>
      </w:pPr>
      <w:r>
        <w:rPr>
          <w:color w:val="1A1A2E"/>
        </w:rPr>
        <w:t>3. Die vier Indikationen</w:t>
      </w:r>
    </w:p>
    <w:p>
      <w:pPr>
        <w:pStyle w:val="Heading2"/>
      </w:pPr>
      <w:r>
        <w:rPr>
          <w:color w:val="1A1A2E"/>
        </w:rPr>
        <w:t>3.1 Diabetes mellitus Typ 2 (T2D)</w:t>
      </w:r>
    </w:p>
    <w:p>
      <w:r>
        <w:rPr>
          <w:b w:val="0"/>
        </w:rPr>
        <w:t>Die größte und etablierteste Indikation. 6,33 Mio. GKV-Versicherte mit T2D in Deutschland, davon aktuell 13,9% auf GLP-1-RA (BARMER 2025). Mounjaro seit Nov 2023 zugelassen, Ozempic seit Feb 2020.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Lilly (Mounjaro)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Novo (Ozempic)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Quelle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Eligible Population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6.330.000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6.330.000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BARMER 2025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GLP-1-Behandlungsrate 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13,9%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13,9%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BARMER 2025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GLP-1-Behandlungsrate Ziel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Leitlinien-Shift-Annahme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Mein Marktanteil 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IQVIA Q2/2024 (geschätzt)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Mein Marktanteil Peak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Modell-Annahme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Preis/Monat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AMNOG-Erstattungsbetrag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Therapietreue 12M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Branchenwert GLP-1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GKV-Erstattung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G-BA</w:t>
            </w:r>
          </w:p>
        </w:tc>
      </w:tr>
    </w:tbl>
    <w:p/>
    <w:p>
      <w:pPr>
        <w:pStyle w:val="Heading2"/>
      </w:pPr>
      <w:r>
        <w:rPr>
          <w:color w:val="1A1A2E"/>
        </w:rPr>
        <w:t>3.2 Adipositas / Gewichtsmanagement</w:t>
      </w:r>
    </w:p>
    <w:p>
      <w:r>
        <w:rPr>
          <w:b w:val="0"/>
        </w:rPr>
        <w:t>8 Mio. Menschen mit BMI ≥ 30 in Deutschland. Beide Produkte haben die Zulassung für Adipositas (Mounjaro Dez 2023, Wegovy Jul 2023), aber die GKV erstattet Adipositas-Medikamente grundsätzlich NICHT (G-BA: Lifestyle-Arzneimittel). Daher fast nur Selbstzahler.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Lilly (Mounjaro)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Novo (Wegovy)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Quelle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Eligible Population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8.000.000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8.000.000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Adipositas-Statistik 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Behandlungsrate 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Schätzung (~50K Selbstzahler)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Behandlungsrate Ziel (ohne GKV)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Konservativ, nur Selbstzahler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Behandlungsrate Ziel (mit GKV)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Szenario, einstellbar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Mein Marktanteil 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Mounjaro neu, Wegovy seit 2023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Mein Marktanteil Peak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Modell-Annahme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Preis/Monat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Listenpreis / nach Preissenkung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Therapietreue 12M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Niedrig wg. Selbstzahler-Abbruch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GKV-Erstattung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G-BA Juni 2024</w:t>
            </w:r>
          </w:p>
        </w:tc>
      </w:tr>
    </w:tbl>
    <w:p/>
    <w:p>
      <w:r>
        <w:rPr>
          <w:b/>
        </w:rPr>
        <w:t>Offene Frage:</w:t>
      </w:r>
    </w:p>
    <w:p>
      <w:pPr>
        <w:pStyle w:val="ListBullet"/>
      </w:pPr>
      <w:r>
        <w:t>GKV-Erstattung für Adipositas: Frühestens 2027, erfordert Gesetzesänderung. Im Modell als Szenario-Slider einstellbar (Behandlungsrate springt auf 5% bei Aktivierung).</w:t>
      </w:r>
    </w:p>
    <w:p>
      <w:pPr>
        <w:pStyle w:val="Heading2"/>
      </w:pPr>
      <w:r>
        <w:rPr>
          <w:color w:val="1A1A2E"/>
        </w:rPr>
        <w:t>3.3 Kardiovaskuläre Risikoreduktion</w:t>
      </w:r>
    </w:p>
    <w:p>
      <w:r>
        <w:rPr>
          <w:b w:val="0"/>
        </w:rPr>
        <w:t>~2 Mio. Patienten mit erhöhtem CV-Risiko, die von GLP-1-RA profitieren könnten. Novo hat bereits FDA-/EU-Zulassungen für CV-Risikoreduktion (SELECT-Studie, Rybelsus SOUL-Studie). Lilly erwartet die CV-Indikation für Tirzepatid Ende 2026 (SURPASS-CVOT).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Lilly (Mounjaro)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Novo (Ozempic)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Quelle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Eligible Population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2.000.000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2.000.000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Schätzung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Nicht zugelassen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Zugelassen (2025)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FDA/EMA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Launch Delay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Monate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Modell-Annahme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Behandlungsrate Ziel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Konservativ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Mein Marktanteil Peak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Lilly hinkt ~12 Mon. hinterher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Preis/Monat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Analog T2D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Therapietreue 12M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Branchenwert</w:t>
            </w:r>
          </w:p>
        </w:tc>
      </w:tr>
    </w:tbl>
    <w:p/>
    <w:p>
      <w:r>
        <w:rPr>
          <w:b w:val="0"/>
        </w:rPr>
        <w:t>Default: Deaktiviert im Modell. User kann es als Szenario aktivieren.</w:t>
      </w:r>
    </w:p>
    <w:p>
      <w:pPr>
        <w:pStyle w:val="Heading2"/>
      </w:pPr>
      <w:r>
        <w:rPr>
          <w:color w:val="1A1A2E"/>
        </w:rPr>
        <w:t>3.4 MASH / NASH (Lebererkrankung)</w:t>
      </w:r>
    </w:p>
    <w:p>
      <w:r>
        <w:rPr>
          <w:b w:val="0"/>
        </w:rPr>
        <w:t>~1,5 Mio. Patienten mit metabolisch-assoziierter Steatohepatitis in Deutschland. Novo hat die Nase vorn: Kayshild (Semaglutid) seit Jan 2026 als erstes GLP-1 für MASH in der EU zugelassen (EMA CHMP). Lilly hat positive Phase-3-Daten (SYNERGY-NASH), Zulassung wird ~2027 erwartet.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Lilly (Mounjaro)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Novo (Kayshild)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Quelle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Eligible Population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1.500.000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1.500.000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Schätzung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3 positiv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EU-zugelassen (Jan 2026)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 CHMP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Launch Delay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 Monate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Modell-Annahme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Behandlungsrate Ziel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Konservativ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Mein Marktanteil Peak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Zeitvorteil Novo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Therapietreue 12M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Schätzung</w:t>
            </w:r>
          </w:p>
        </w:tc>
      </w:tr>
    </w:tbl>
    <w:p/>
    <w:p>
      <w:r>
        <w:rPr>
          <w:b w:val="0"/>
        </w:rPr>
        <w:t>Default: Deaktiviert im Modell. User kann es als Szenario aktivieren.</w:t>
      </w:r>
    </w:p>
    <w:p>
      <w:pPr>
        <w:pStyle w:val="Heading1"/>
      </w:pPr>
      <w:r>
        <w:rPr>
          <w:color w:val="1A1A2E"/>
        </w:rPr>
        <w:t>4. Wettbewerbslandschaft (Stand Feb 2026)</w:t>
      </w:r>
    </w:p>
    <w:p>
      <w:pPr>
        <w:pStyle w:val="Heading2"/>
      </w:pPr>
      <w:r>
        <w:rPr>
          <w:color w:val="1A1A2E"/>
        </w:rPr>
        <w:t>4.1 Aktuelle Marktsituation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Produkt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Firma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Marktanteil (TRx)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Preis/Mon.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Indikation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Trend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Ozempic (Semaglutid s.c.)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Novo Nordisk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~32%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T2D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Stabil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Mounjaro (Tirzepatid)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Eli Lilly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T2D + Adipositas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Stark steigend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Trulicity (Dulaglutid)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Eli Lilly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~38%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T2D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Rückläufig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Wegovy (Semaglutid 2.4mg)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Novo Nordisk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Adipositas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Wachsend, kein GKV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Rybelsus (Semaglutid oral)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Novo Nordisk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T2D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Stabil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Victoza (Liraglutid)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Novo Nordisk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~6%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T2D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Auslaufend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Sonstige (Exenatid etc.)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Diverse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T2D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Auslaufend</w:t>
            </w:r>
          </w:p>
        </w:tc>
      </w:tr>
    </w:tbl>
    <w:p>
      <w:pPr>
        <w:pStyle w:val="Heading2"/>
      </w:pPr>
      <w:r>
        <w:rPr>
          <w:color w:val="1A1A2E"/>
        </w:rPr>
        <w:t>4.2 Kommende Entwicklungen</w:t>
      </w:r>
    </w:p>
    <w:p>
      <w:r>
        <w:rPr>
          <w:b/>
        </w:rPr>
        <w:t>Orale GLP-1-Tabletten:</w:t>
      </w:r>
    </w:p>
    <w:p>
      <w:pPr>
        <w:pStyle w:val="ListBullet"/>
      </w:pPr>
      <w:r>
        <w:t>Novo – Orales Wegovy (Semaglutid 25mg): FDA-Zulassung Dez 2025, verfügbar seit Jan 2026. 16,6% Gewichtsverlust in 64 Wochen. Preis: $149/Monat (USA).</w:t>
      </w:r>
    </w:p>
    <w:p>
      <w:pPr>
        <w:pStyle w:val="ListBullet"/>
      </w:pPr>
      <w:r>
        <w:t>Lilly – Orforglipron (neues Molekül, GLP-1 RA): FDA-Einreichung erfolgt (Adipositas), T2D-Einreichung 2026. Launch erwartet Mitte 2026 (USA). Achtung: Orforglipron ist NICHT orales Tirzepatid, sondern ein neues Molekül.</w:t>
      </w:r>
    </w:p>
    <w:p>
      <w:r>
        <w:rPr>
          <w:b w:val="0"/>
        </w:rPr>
        <w:t>Einordnung Tabletten: Gleiche Patientengruppe wie die Injektion, anderer Verabreichungsweg. Erhöht die Treatment Rate (Patienten, die Spritzen ablehnen, nehmen jetzt Tabletten), aber die Wirksamkeit ist geringer (~7-8% vs. ~22% Gewichtsverlust). Im aktuellen Modell nicht separat modelliert – fließt als höhere Treatment Rate ein.</w:t>
      </w:r>
    </w:p>
    <w:p/>
    <w:p>
      <w:r>
        <w:rPr>
          <w:b/>
        </w:rPr>
        <w:t>Neue Indikationen:</w:t>
      </w:r>
    </w:p>
    <w:p>
      <w:pPr>
        <w:pStyle w:val="ListBullet"/>
      </w:pPr>
      <w:r>
        <w:t>CV-Risikoreduktion: Novo zugelassen (Rybelsus Okt 2025, Ozempic SELECT), Lilly erwartet Ende 2026</w:t>
      </w:r>
    </w:p>
    <w:p>
      <w:pPr>
        <w:pStyle w:val="ListBullet"/>
      </w:pPr>
      <w:r>
        <w:t>MASH: Novo zugelassen (Kayshild Jan 2026 EU), Lilly Phase 3 positiv, Zulassung ~2027</w:t>
      </w:r>
    </w:p>
    <w:p>
      <w:pPr>
        <w:pStyle w:val="Heading1"/>
      </w:pPr>
      <w:r>
        <w:rPr>
          <w:color w:val="1A1A2E"/>
        </w:rPr>
        <w:t>5. Modell-Mechaniken</w:t>
      </w:r>
    </w:p>
    <w:p>
      <w:pPr>
        <w:pStyle w:val="Heading2"/>
      </w:pPr>
      <w:r>
        <w:rPr>
          <w:color w:val="1A1A2E"/>
        </w:rPr>
        <w:t>5.1 S-Kurve (Logistische Sigmoid-Funktion)</w:t>
      </w:r>
    </w:p>
    <w:p>
      <w:r>
        <w:rPr>
          <w:b w:val="0"/>
        </w:rPr>
        <w:t>Sowohl die GLP-1-Behandlungsrate als auch der Marktanteil folgen einer S-Kurve:</w:t>
        <w:br/>
        <w:t>f(t) = start + (target - start) × σ(t)</w:t>
        <w:br/>
        <w:t>mit σ(t) = 1 / (1 + e^(-k × (t - midpoint)))</w:t>
        <w:br/>
        <w:br/>
        <w:t>midpoint = months_to_peak / 2</w:t>
        <w:br/>
        <w:t>k = 4 / months_to_peak (Steilheitsparameter)</w:t>
      </w:r>
    </w:p>
    <w:p>
      <w:pPr>
        <w:pStyle w:val="ListBullet"/>
      </w:pPr>
      <w:r>
        <w:t>Monat 0: Nahe am Startwert</w:t>
      </w:r>
    </w:p>
    <w:p>
      <w:pPr>
        <w:pStyle w:val="ListBullet"/>
      </w:pPr>
      <w:r>
        <w:t>Midpoint (~Monat 18 bei 36M Peak): Steilste Phase der Adoption</w:t>
      </w:r>
    </w:p>
    <w:p>
      <w:pPr>
        <w:pStyle w:val="ListBullet"/>
      </w:pPr>
      <w:r>
        <w:t>Peak (~Monat 36+): Annäherung an den Zielwert (asymptotisch)</w:t>
      </w:r>
    </w:p>
    <w:p>
      <w:pPr>
        <w:pStyle w:val="Heading2"/>
      </w:pPr>
      <w:r>
        <w:rPr>
          <w:color w:val="1A1A2E"/>
        </w:rPr>
        <w:t>5.2 Therapietreue (Persistence)</w:t>
      </w:r>
    </w:p>
    <w:p>
      <w:r>
        <w:rPr>
          <w:b w:val="0"/>
        </w:rPr>
        <w:t>Vereinfachtes Steady-State-Modell statt vollem Kohorten-Tracking:</w:t>
        <w:br/>
        <w:t>avg_persistence = (1 + persistence_12m) / 2</w:t>
        <w:br/>
        <w:br/>
        <w:t>Das bedeutet: Bei persistence_12m = 70% → avg_persistence = 85%, d.h. 15% weniger Patienten als theoretisch möglich. Interpretation: Durchschnittliche Retention über die ersten 12 Monate.</w:t>
        <w:br/>
        <w:br/>
        <w:t>Warum nicht Kohorten-Tracking? Pragmatismus. Ein volles Kohortenmodell (monatliche Starts, monatliche Abgänge) ist präziser, aber für einen strategischen Forecast nicht nötig – der Steady-State-Multiplikator liefert in der Praxis ähnliche Ergebnisse.</w:t>
      </w:r>
    </w:p>
    <w:p>
      <w:pPr>
        <w:pStyle w:val="Heading2"/>
      </w:pPr>
      <w:r>
        <w:rPr>
          <w:color w:val="1A1A2E"/>
        </w:rPr>
        <w:t>5.3 Preiserosion und AMNOG</w:t>
      </w:r>
    </w:p>
    <w:p>
      <w:r>
        <w:rPr>
          <w:b w:val="0"/>
        </w:rPr>
        <w:t>Jährliche Preiserosion: Default -3% p.a., anwendbar auf alle Indikationen.</w:t>
        <w:br/>
        <w:t>Preis(t) = Basispreis × (1 + erosion_annual)^(t/12)</w:t>
        <w:br/>
        <w:t>Price Floor: Minimum €100/Monat (verhindert negative/unrealistische Preise).</w:t>
        <w:br/>
        <w:br/>
        <w:t>AMNOG-Schnitt: Optional, einmalige Preisreduktion ab einem definierten Monat.</w:t>
      </w:r>
    </w:p>
    <w:p>
      <w:pPr>
        <w:pStyle w:val="Heading2"/>
      </w:pPr>
      <w:r>
        <w:rPr>
          <w:color w:val="1A1A2E"/>
        </w:rPr>
        <w:t>5.4 Share-Normalisierung</w:t>
      </w:r>
    </w:p>
    <w:p>
      <w:r>
        <w:rPr>
          <w:b w:val="0"/>
        </w:rPr>
        <w:t>Wenn Mein Anteil + Wettbewerber &gt; 90%, werden beide proportional skaliert, sodass mindestens 10% für den 'Rest des Marktes' (Trulicity, Victoza, Sonstige) bleiben.</w:t>
        <w:br/>
        <w:br/>
        <w:t>Beispiel: Mein 55% + Wettbewerber 50% = 105% → skaliert auf 47,1% + 42,9% = 90%.</w:t>
      </w:r>
    </w:p>
    <w:p>
      <w:pPr>
        <w:pStyle w:val="Heading2"/>
      </w:pPr>
      <w:r>
        <w:rPr>
          <w:color w:val="1A1A2E"/>
        </w:rPr>
        <w:t>5.5 Supply Constraint</w:t>
      </w:r>
    </w:p>
    <w:p>
      <w:r>
        <w:rPr>
          <w:b w:val="0"/>
        </w:rPr>
        <w:t>Optional: Begrenzt die Gesamtpatientenzahl auf eine monatliche Produktionskapazität.</w:t>
        <w:br/>
        <w:t>actual_patients = min(demand, capacity)</w:t>
        <w:br/>
        <w:t>Gilt nur für Monate t &lt; supply_normalization_month. Umsatz wird proportional skaliert (supply_ratio).</w:t>
      </w:r>
    </w:p>
    <w:p>
      <w:pPr>
        <w:pStyle w:val="Heading1"/>
      </w:pPr>
      <w:r>
        <w:rPr>
          <w:color w:val="1A1A2E"/>
        </w:rPr>
        <w:t>6. Szenarien (Presets)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Szenario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Beschreibung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Zentrale Annahmen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Base Case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Moderate Wachstumsprognose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T2D 22%, Adipo 1.5% (kein GKV), CV+MASH aus, Mounjaro Peak 25%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Bull Lilly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Optimistisch für Mounjaro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T2D 28%, Adipo GKV ab 2027 (5%), CV+MASH ein, Peak 35%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Bull Novo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Optimistisch für Ozempic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T2D 20%, Mounjaro Peak nur 15%, Novo hält Marktführerschaft</w:t>
            </w:r>
          </w:p>
        </w:tc>
      </w:tr>
    </w:tbl>
    <w:p>
      <w:pPr>
        <w:pStyle w:val="Heading1"/>
      </w:pPr>
      <w:r>
        <w:rPr>
          <w:color w:val="1A1A2E"/>
        </w:rPr>
        <w:t>7. Offene Punkte / UNDER CONSTRUCTION</w:t>
      </w:r>
    </w:p>
    <w:p>
      <w:pPr>
        <w:pStyle w:val="ListBullet"/>
      </w:pPr>
      <w:r>
        <w:t>Adipositas als separater Forecast? Andere Payer-Dynamik (kein GKV), andere Wettbewerber, andere Persistence. Könnte ein Layer-Modell werden: separate Forecasts pro Indikation, konsolidiert auf Supply- und Kostenebene.</w:t>
      </w:r>
    </w:p>
    <w:p>
      <w:pPr>
        <w:pStyle w:val="ListBullet"/>
      </w:pPr>
      <w:r>
        <w:t>Novo Defaults aktualisieren: MASH (Kayshild seit Jan 2026 zugelassen) und CV-Risiko (Rybelsus seit Okt 2025) müssten für Novo auf enabled=True gesetzt werden.</w:t>
      </w:r>
    </w:p>
    <w:p>
      <w:pPr>
        <w:pStyle w:val="ListBullet"/>
      </w:pPr>
      <w:r>
        <w:t>Orale Formulierungen: Wegovy oral (seit Jan 2026) und Orforglipron (erwartet Mitte 2026) als eigene Wettbewerber oder als Treatment-Rate-Erhöhung modellieren?</w:t>
      </w:r>
    </w:p>
    <w:p>
      <w:pPr>
        <w:pStyle w:val="ListBullet"/>
      </w:pPr>
      <w:r>
        <w:t>Epidemiologie validieren: Die 6,33M T2D und 8M Adipositas sind Top-Down-Schätzungen. Für ein echtes Projekt: GKV-Routinedaten (BARMER, AOK-WIdO) oder IQVIA-Daten.</w:t>
      </w:r>
    </w:p>
    <w:p>
      <w:pPr>
        <w:pStyle w:val="ListBullet"/>
      </w:pPr>
      <w:r>
        <w:t>Persistence-Modell verfeinern: Aktuell Steady-State-Durchschnitt. Kohorten-basiertes Modell wäre präziser, besonders bei hohem Patienten-Turnover (Adipositas).</w:t>
      </w:r>
    </w:p>
    <w:p>
      <w:pPr>
        <w:pStyle w:val="ListBullet"/>
      </w:pPr>
      <w:r>
        <w:t>Kannibalisierung Trulicity → Mounjaro: Beide sind Lilly-Produkte. Aktuell nicht explizit modelliert.</w:t>
      </w:r>
    </w:p>
    <w:p>
      <w:pPr>
        <w:pStyle w:val="Heading1"/>
      </w:pPr>
      <w:r>
        <w:rPr>
          <w:color w:val="1A1A2E"/>
        </w:rPr>
        <w:t>8. Methodik und Datenquellen</w:t>
      </w:r>
    </w:p>
    <w:p>
      <w:pPr>
        <w:pStyle w:val="Heading2"/>
      </w:pPr>
      <w:r>
        <w:rPr>
          <w:color w:val="1A1A2E"/>
        </w:rPr>
        <w:t>8.1 Modelltyp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Eigenschaft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Modelltyp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Patientenbasierter Bottom-Up-Forecast mit Per-Indication Revenue Streams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Granularität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Monatlich, pro Indikation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Prognosehorizont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Jahre (60 Monate), ab Januar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Geographie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Deutschland (GKV-Markt)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Perspektiven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Lilly (Mounjaro) oder Novo (Ozempic/Wegovy), umschaltbar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Adoptions-Modell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Logistische S-Kurve für Treatment Rate und Marktanteil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Persistence-Modell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Steady-State-Durchschnitt: (1 + persistence_12m) /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Preis-Modell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Indikationsspezifisch, jährliche Erosion, optionaler AMNOG-Schnitt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Wettbewerbs-Modell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Symmetrisch: Mein Anteil + Competitor + Rest (≥10%) = 100%</w:t>
            </w:r>
          </w:p>
        </w:tc>
      </w:tr>
    </w:tbl>
    <w:p>
      <w:pPr>
        <w:pStyle w:val="Heading2"/>
      </w:pPr>
      <w:r>
        <w:rPr>
          <w:color w:val="1A1A2E"/>
        </w:rPr>
        <w:t>8.2 Zentrale Annahmen</w:t>
      </w:r>
    </w:p>
    <w:p>
      <w:r>
        <w:rPr>
          <w:b/>
        </w:rPr>
        <w:t>Epidemiologie: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T2D-Patienten DE (GKV)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6.330.000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BARMER Gesundheitswesen aktuell 2025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GLP-1-Penetration T2D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13,9%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BARMER 2025 GLP-1 Versorgungsanalyse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GLP-1-Behandelte T2D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~880.000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6,33M × 13,9%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Adipositas-Population DE (BMI≥30)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8.000.000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RKI-DEGS / Adipositas-Statistik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GLP-1-behandelte Adipositas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Schätzung (fast nur Selbstzahler)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CV-Risiko-Population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2.000.000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Schätzung (T2D + CVD-Komorbidität)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MASH-Population 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1.500.000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Schätzung (NAFLD-Prävalenz × Fibrose-Anteil)</w:t>
            </w:r>
          </w:p>
        </w:tc>
      </w:tr>
    </w:tbl>
    <w:p/>
    <w:p>
      <w:r>
        <w:rPr>
          <w:b/>
        </w:rPr>
        <w:t>Marktanteile: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Mounjaro T2D Start (2026)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IQVIA-Schätzung, DE Marktstart Nov 2023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Ozempic T2D Start (2026)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~32-36%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IQVIA Pharmamarkt Q1/Q2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Trulicity (Rückgang)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~38% → abnehmend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Legacy-Leader, wird durch Mounjaro kannibalisiert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Wegovy Adipositas 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Kein GKV, nur Selbstzahler</w:t>
            </w:r>
          </w:p>
        </w:tc>
      </w:tr>
    </w:tbl>
    <w:p/>
    <w:p>
      <w:r>
        <w:rPr>
          <w:b/>
        </w:rPr>
        <w:t>Preise: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Produkt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Preis/Monat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Mounjaro (Tirzepatid)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€350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Geheimer Erstattungsbetrag seit Aug 2025, Listenpreis ~€206-490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Ozempic (Semaglutid 1mg)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AMNOG-Erstattungsbetrag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Wegovy (Semaglutid 2.4mg)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€277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Nach Preissenkung April 2025, kein GKV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Trulicity (Dulaglutid)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AMNOG-Erstattungsbetrag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Price Floor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Modell-Minimum, verhindert unrealistische Erosion</w:t>
            </w:r>
          </w:p>
        </w:tc>
      </w:tr>
    </w:tbl>
    <w:p/>
    <w:p>
      <w:r>
        <w:rPr>
          <w:b/>
        </w:rPr>
        <w:t>Therapietreue (Persistence nach 12 Monaten):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Indikation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Persistence 12M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Begründung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T2D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GLP-1 in T2D: ~65-75% nach 12M (Real-World-Daten)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Adipositas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Deutlich niedriger: Selbstzahler, Gewichtsstagnation, Nebenwirkungen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CV-Risiko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Ähnlich T2D, leicht niedriger (Primärprävention)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Neue Indikation, Compliance-Daten noch nicht verfügbar</w:t>
            </w:r>
          </w:p>
        </w:tc>
      </w:tr>
    </w:tbl>
    <w:p>
      <w:pPr>
        <w:pStyle w:val="Heading2"/>
      </w:pPr>
      <w:r>
        <w:rPr>
          <w:color w:val="1A1A2E"/>
        </w:rPr>
        <w:t>8.3 Datenquellen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Quelle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Verwendung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Zugang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BARMER Gesundheitswesen aktuell 2025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T2D-Prävalenz, GLP-1-Penetration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Öffentlich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G-BA Nutzenbewertung Tirzepatid (A23-112)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AMNOG-Status, Zusatznutzen-Bewertung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Öffentlich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KV Berlin Verordnungs-News 2024/2025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Verordnungstrends GLP-1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Öffentlich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IQVIA Pharmamarkt Q1/Q2 2024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Marktanteile, TRx-Daten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Synthetisch nachgebildet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 Mounjaro EPAR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Zulassungsdaten, Indikationen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Öffentlich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 CHMP Meeting Jan 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Kayshild (Semaglutid MASH) Zulassung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Öffentlich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Lilly Investor Relations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Orforglipron Phase 3, SURPASS-CVOT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Öffentlich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Novo Nordisk Pressemitteilungen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Wegovy oral, SOUL-Studie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Öffentlich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Fierce Pharma / Clinical Trials Arena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Pipeline-Updates, Zulassungstimelines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Öffentlich</w:t>
            </w:r>
          </w:p>
        </w:tc>
      </w:tr>
    </w:tbl>
    <w:p>
      <w:pPr>
        <w:pStyle w:val="Heading2"/>
      </w:pPr>
      <w:r>
        <w:rPr>
          <w:color w:val="1A1A2E"/>
        </w:rPr>
        <w:t>8.4 Limitationen</w:t>
      </w:r>
    </w:p>
    <w:p>
      <w:pPr>
        <w:pStyle w:val="ListBullet"/>
      </w:pPr>
      <w:r>
        <w:t>Synthetische Daten: IQVIA-Marktanteile sind geschätzt, nicht aus Originaldaten. Für ein echtes Projekt: IQVIA-Lizenz oder GKV-Routinedaten erforderlich.</w:t>
      </w:r>
    </w:p>
    <w:p>
      <w:pPr>
        <w:pStyle w:val="ListBullet"/>
      </w:pPr>
      <w:r>
        <w:t>Epidemiologie: Eligible-Population-Zahlen sind Top-Down-Schätzungen. CV-Risiko und MASH haben die höchste Unsicherheit.</w:t>
      </w:r>
    </w:p>
    <w:p>
      <w:pPr>
        <w:pStyle w:val="ListBullet"/>
      </w:pPr>
      <w:r>
        <w:t>Persistence: Steady-State-Modell ist eine Vereinfachung. Adipositas-Persistence ist besonders unsicher (wenig Real-World-Daten für Selbstzahler in DE).</w:t>
      </w:r>
    </w:p>
    <w:p>
      <w:pPr>
        <w:pStyle w:val="ListBullet"/>
      </w:pPr>
      <w:r>
        <w:t>Keine Segmentierung: Kein Split nach Alter, Geschlecht, Region, Facharztgruppe.</w:t>
      </w:r>
    </w:p>
    <w:p>
      <w:pPr>
        <w:pStyle w:val="ListBullet"/>
      </w:pPr>
      <w:r>
        <w:t>Orale Formulierungen nicht separat modelliert: Wegovy oral und Orforglipron werden als Treatment-Rate-Erhöhung abgebildet, nicht als eigene Produkte.</w:t>
      </w:r>
    </w:p>
    <w:p>
      <w:pPr>
        <w:pStyle w:val="ListBullet"/>
      </w:pPr>
      <w:r>
        <w:t>Keine dynamische Interaktion: Die Indikationen sind unabhängig voneinander modelliert. In der Realität gibt es Überlappung (z.B. T2D + Adipositas bei demselben Patienten).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