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319F" w14:textId="77777777" w:rsidR="00806622" w:rsidRPr="00806622" w:rsidRDefault="00806622" w:rsidP="00806622">
      <w:pPr>
        <w:keepNext/>
        <w:pageBreakBefore/>
        <w:spacing w:line="360" w:lineRule="auto"/>
        <w:jc w:val="left"/>
        <w:outlineLvl w:val="0"/>
        <w:rPr>
          <w:rFonts w:eastAsia="Times New Roman"/>
          <w:b/>
          <w:bCs/>
          <w:kern w:val="32"/>
          <w:szCs w:val="32"/>
          <w:lang w:eastAsia="ru-RU"/>
        </w:rPr>
      </w:pPr>
      <w:bookmarkStart w:id="0" w:name="_Toc508620230"/>
      <w:r w:rsidRPr="00806622">
        <w:rPr>
          <w:rFonts w:eastAsia="Times New Roman"/>
          <w:b/>
          <w:bCs/>
          <w:kern w:val="32"/>
          <w:szCs w:val="32"/>
          <w:lang w:eastAsia="ru-RU"/>
        </w:rPr>
        <w:t>1 Легированные эрбием пленки, формируемые золь-гель методом</w:t>
      </w:r>
      <w:bookmarkEnd w:id="0"/>
    </w:p>
    <w:p w14:paraId="2ADE53A4" w14:textId="77777777" w:rsidR="00806622" w:rsidRPr="00806622" w:rsidRDefault="00806622" w:rsidP="00806622">
      <w:pPr>
        <w:keepNext/>
        <w:spacing w:before="240" w:after="240" w:line="360" w:lineRule="auto"/>
        <w:outlineLvl w:val="1"/>
        <w:rPr>
          <w:rFonts w:eastAsia="Times New Roman"/>
          <w:b/>
          <w:bCs/>
          <w:iCs/>
          <w:szCs w:val="28"/>
          <w:lang w:eastAsia="ru-RU"/>
        </w:rPr>
      </w:pPr>
      <w:bookmarkStart w:id="1" w:name="_Toc508620231"/>
      <w:r w:rsidRPr="00806622">
        <w:rPr>
          <w:rFonts w:eastAsia="Times New Roman"/>
          <w:b/>
          <w:bCs/>
          <w:iCs/>
          <w:szCs w:val="28"/>
          <w:lang w:eastAsia="ru-RU"/>
        </w:rPr>
        <w:t xml:space="preserve">1.1 Структура энергетических уровней свободного иона </w:t>
      </w:r>
      <w:r w:rsidRPr="00806622">
        <w:rPr>
          <w:rFonts w:eastAsia="Times New Roman"/>
          <w:b/>
          <w:bCs/>
          <w:iCs/>
          <w:szCs w:val="28"/>
          <w:lang w:val="en-US" w:eastAsia="ru-RU"/>
        </w:rPr>
        <w:t>Er</w:t>
      </w:r>
      <w:r w:rsidRPr="00806622">
        <w:rPr>
          <w:rFonts w:eastAsia="Times New Roman"/>
          <w:b/>
          <w:bCs/>
          <w:iCs/>
          <w:szCs w:val="28"/>
          <w:vertAlign w:val="superscript"/>
          <w:lang w:eastAsia="ru-RU"/>
        </w:rPr>
        <w:t>3+</w:t>
      </w:r>
      <w:bookmarkEnd w:id="1"/>
    </w:p>
    <w:p w14:paraId="2E3B7ADE" w14:textId="77777777" w:rsidR="00806622" w:rsidRPr="00806622" w:rsidRDefault="00806622" w:rsidP="00806622">
      <w:pPr>
        <w:spacing w:after="0" w:line="360" w:lineRule="auto"/>
        <w:rPr>
          <w:rFonts w:eastAsia="Times New Roman"/>
          <w:szCs w:val="24"/>
          <w:lang w:eastAsia="ru-RU"/>
        </w:rPr>
      </w:pPr>
      <w:r w:rsidRPr="00806622">
        <w:rPr>
          <w:rFonts w:eastAsia="Times New Roman"/>
          <w:szCs w:val="24"/>
          <w:lang w:eastAsia="ru-RU"/>
        </w:rPr>
        <w:t>Как известно, эрбий является редкоземельным элементом, принадлежащим к группе лантаноидов, и имеет электронную конфигурацию [</w:t>
      </w:r>
      <w:r w:rsidRPr="00806622">
        <w:rPr>
          <w:rFonts w:eastAsia="Times New Roman"/>
          <w:szCs w:val="24"/>
          <w:lang w:val="en-US" w:eastAsia="ru-RU"/>
        </w:rPr>
        <w:t>Xe</w:t>
      </w:r>
      <w:r w:rsidRPr="00806622">
        <w:rPr>
          <w:rFonts w:eastAsia="Times New Roman"/>
          <w:szCs w:val="24"/>
          <w:lang w:eastAsia="ru-RU"/>
        </w:rPr>
        <w:t>]-4</w:t>
      </w:r>
      <w:r w:rsidRPr="00806622">
        <w:rPr>
          <w:rFonts w:eastAsia="Times New Roman"/>
          <w:i/>
          <w:szCs w:val="24"/>
          <w:lang w:val="en-US" w:eastAsia="ru-RU"/>
        </w:rPr>
        <w:t>f</w:t>
      </w:r>
      <w:r w:rsidRPr="00806622">
        <w:rPr>
          <w:rFonts w:eastAsia="Times New Roman"/>
          <w:szCs w:val="24"/>
          <w:vertAlign w:val="superscript"/>
          <w:lang w:eastAsia="ru-RU"/>
        </w:rPr>
        <w:t>12</w:t>
      </w:r>
      <w:r w:rsidRPr="00806622">
        <w:rPr>
          <w:rFonts w:eastAsia="Times New Roman"/>
          <w:szCs w:val="24"/>
          <w:lang w:eastAsia="ru-RU"/>
        </w:rPr>
        <w:t>6</w:t>
      </w:r>
      <w:r w:rsidRPr="00806622">
        <w:rPr>
          <w:rFonts w:eastAsia="Times New Roman"/>
          <w:i/>
          <w:szCs w:val="24"/>
          <w:lang w:val="en-US" w:eastAsia="ru-RU"/>
        </w:rPr>
        <w:t>s</w:t>
      </w:r>
      <w:r w:rsidRPr="00806622">
        <w:rPr>
          <w:rFonts w:eastAsia="Times New Roman"/>
          <w:szCs w:val="24"/>
          <w:vertAlign w:val="superscript"/>
          <w:lang w:eastAsia="ru-RU"/>
        </w:rPr>
        <w:t>2</w:t>
      </w:r>
      <w:r w:rsidRPr="00806622">
        <w:rPr>
          <w:rFonts w:eastAsia="Times New Roman"/>
          <w:szCs w:val="24"/>
          <w:lang w:eastAsia="ru-RU"/>
        </w:rPr>
        <w:t>. У элементов этой группы происходит постепенное заполнение 4</w:t>
      </w:r>
      <w:r w:rsidRPr="00806622">
        <w:rPr>
          <w:rFonts w:eastAsia="Times New Roman"/>
          <w:i/>
          <w:szCs w:val="24"/>
          <w:lang w:eastAsia="ru-RU"/>
        </w:rPr>
        <w:t>f</w:t>
      </w:r>
      <w:r w:rsidRPr="00806622">
        <w:rPr>
          <w:rFonts w:eastAsia="Times New Roman"/>
          <w:szCs w:val="24"/>
          <w:lang w:eastAsia="ru-RU"/>
        </w:rPr>
        <w:t>-уровня, который эффективно экранирован от внешних воздействий 5</w:t>
      </w:r>
      <w:r w:rsidRPr="00806622">
        <w:rPr>
          <w:rFonts w:eastAsia="Times New Roman"/>
          <w:i/>
          <w:szCs w:val="24"/>
          <w:lang w:val="en-US" w:eastAsia="ru-RU"/>
        </w:rPr>
        <w:t>s</w:t>
      </w:r>
      <w:r w:rsidRPr="00806622">
        <w:rPr>
          <w:rFonts w:eastAsia="Times New Roman"/>
          <w:szCs w:val="24"/>
          <w:vertAlign w:val="superscript"/>
          <w:lang w:eastAsia="ru-RU"/>
        </w:rPr>
        <w:t>2</w:t>
      </w:r>
      <w:r w:rsidRPr="00806622">
        <w:rPr>
          <w:rFonts w:eastAsia="Times New Roman"/>
          <w:szCs w:val="24"/>
          <w:lang w:eastAsia="ru-RU"/>
        </w:rPr>
        <w:t>- и 5</w:t>
      </w:r>
      <w:r w:rsidRPr="00806622">
        <w:rPr>
          <w:rFonts w:eastAsia="Times New Roman"/>
          <w:i/>
          <w:szCs w:val="24"/>
          <w:lang w:eastAsia="ru-RU"/>
        </w:rPr>
        <w:t>р</w:t>
      </w:r>
      <w:r w:rsidRPr="00806622">
        <w:rPr>
          <w:rFonts w:eastAsia="Times New Roman"/>
          <w:szCs w:val="24"/>
          <w:vertAlign w:val="superscript"/>
          <w:lang w:eastAsia="ru-RU"/>
        </w:rPr>
        <w:t>6</w:t>
      </w:r>
      <w:r w:rsidRPr="00806622">
        <w:rPr>
          <w:rFonts w:eastAsia="Times New Roman"/>
          <w:szCs w:val="24"/>
          <w:lang w:eastAsia="ru-RU"/>
        </w:rPr>
        <w:t>-электронами. Последовательное заполнение 4</w:t>
      </w:r>
      <w:r w:rsidRPr="00806622">
        <w:rPr>
          <w:rFonts w:eastAsia="Times New Roman"/>
          <w:i/>
          <w:szCs w:val="24"/>
          <w:lang w:val="en-US" w:eastAsia="ru-RU"/>
        </w:rPr>
        <w:t>f</w:t>
      </w:r>
      <w:r w:rsidRPr="00806622">
        <w:rPr>
          <w:rFonts w:eastAsia="Times New Roman"/>
          <w:szCs w:val="24"/>
          <w:lang w:eastAsia="ru-RU"/>
        </w:rPr>
        <w:t xml:space="preserve">-уровня и объясняет сходство химических и физических свойств лантаноидов. Для ионов редкоземельных элементов в разных матрицах характерны атомно-подобные спектры люминесценции, энергетическое положение которых не зависит (с учетом малости </w:t>
      </w:r>
      <w:proofErr w:type="spellStart"/>
      <w:r w:rsidRPr="00806622">
        <w:rPr>
          <w:rFonts w:eastAsia="Times New Roman"/>
          <w:szCs w:val="24"/>
          <w:lang w:eastAsia="ru-RU"/>
        </w:rPr>
        <w:t>Штарковского</w:t>
      </w:r>
      <w:proofErr w:type="spellEnd"/>
      <w:r w:rsidRPr="00806622">
        <w:rPr>
          <w:rFonts w:eastAsia="Times New Roman"/>
          <w:szCs w:val="24"/>
          <w:lang w:eastAsia="ru-RU"/>
        </w:rPr>
        <w:t xml:space="preserve"> расщепления) от материала, в который внедрен редкоземельный ион, и определяется энергетической структурой уровней 4</w:t>
      </w:r>
      <w:r w:rsidRPr="00806622">
        <w:rPr>
          <w:rFonts w:eastAsia="Times New Roman"/>
          <w:i/>
          <w:szCs w:val="24"/>
          <w:lang w:val="en-US" w:eastAsia="ru-RU"/>
        </w:rPr>
        <w:t>f</w:t>
      </w:r>
      <w:r w:rsidRPr="00806622">
        <w:rPr>
          <w:rFonts w:eastAsia="Times New Roman"/>
          <w:szCs w:val="24"/>
          <w:lang w:eastAsia="ru-RU"/>
        </w:rPr>
        <w:t>-электронов.</w:t>
      </w:r>
    </w:p>
    <w:p w14:paraId="3AE56AA5" w14:textId="77777777" w:rsidR="00806622" w:rsidRPr="00806622" w:rsidRDefault="00806622" w:rsidP="00806622">
      <w:pPr>
        <w:spacing w:after="0" w:line="360" w:lineRule="auto"/>
        <w:rPr>
          <w:rFonts w:eastAsia="Times New Roman"/>
          <w:szCs w:val="24"/>
          <w:lang w:eastAsia="ru-RU"/>
        </w:rPr>
      </w:pPr>
      <w:r w:rsidRPr="00806622">
        <w:rPr>
          <w:rFonts w:eastAsia="Times New Roman"/>
          <w:szCs w:val="24"/>
          <w:lang w:eastAsia="ru-RU"/>
        </w:rPr>
        <w:t xml:space="preserve">В нерелятивистском приближении стационарные состояния атома определяются уравнением Шредингера для системы электронов, движущихся центрально-симметричном кулоновском поле ядра и электрически взаимодействующих между собой. Как известно, для системы частиц в центрально-симметричном внешнем поле сохраняется полный орбитальный момент </w:t>
      </w:r>
      <w:r w:rsidRPr="00806622">
        <w:rPr>
          <w:rFonts w:eastAsia="Times New Roman"/>
          <w:szCs w:val="24"/>
          <w:lang w:val="en-US" w:eastAsia="ru-RU"/>
        </w:rPr>
        <w:t>L</w:t>
      </w:r>
      <w:r w:rsidRPr="00806622">
        <w:rPr>
          <w:rFonts w:eastAsia="Times New Roman"/>
          <w:szCs w:val="24"/>
          <w:lang w:eastAsia="ru-RU"/>
        </w:rPr>
        <w:t xml:space="preserve">, а также четность состояния. Поэтому каждое стационарное состояние атома будет характеризоваться определенным значением момента </w:t>
      </w:r>
      <w:r w:rsidRPr="00806622">
        <w:rPr>
          <w:rFonts w:eastAsia="Times New Roman"/>
          <w:szCs w:val="24"/>
          <w:lang w:val="en-US" w:eastAsia="ru-RU"/>
        </w:rPr>
        <w:t>L</w:t>
      </w:r>
      <w:r w:rsidRPr="00806622">
        <w:rPr>
          <w:rFonts w:eastAsia="Times New Roman"/>
          <w:szCs w:val="24"/>
          <w:lang w:eastAsia="ru-RU"/>
        </w:rPr>
        <w:t xml:space="preserve"> и своей четностью. Кроме того, благодаря эффекту обменного взаимодейст</w:t>
      </w:r>
      <w:r w:rsidRPr="00806622">
        <w:rPr>
          <w:rFonts w:eastAsia="Times New Roman"/>
          <w:szCs w:val="24"/>
          <w:lang w:eastAsia="ru-RU"/>
        </w:rPr>
        <w:softHyphen/>
        <w:t xml:space="preserve">вия каждое стационарное состояние атома будет характеризоваться также и определенным значением полного спина электронов </w:t>
      </w:r>
      <w:r w:rsidRPr="00806622">
        <w:rPr>
          <w:rFonts w:eastAsia="Times New Roman"/>
          <w:szCs w:val="24"/>
          <w:lang w:val="en-US" w:eastAsia="ru-RU"/>
        </w:rPr>
        <w:t>S</w:t>
      </w:r>
      <w:r w:rsidRPr="00806622">
        <w:rPr>
          <w:rFonts w:eastAsia="Times New Roman"/>
          <w:szCs w:val="24"/>
          <w:lang w:eastAsia="ru-RU"/>
        </w:rPr>
        <w:t xml:space="preserve">. С учетом кулоновского взаимодействия уровни свободного иона </w:t>
      </w:r>
      <w:r w:rsidRPr="00806622">
        <w:rPr>
          <w:rFonts w:eastAsia="Times New Roman"/>
          <w:szCs w:val="24"/>
          <w:lang w:val="en-US" w:eastAsia="ru-RU"/>
        </w:rPr>
        <w:t>Er</w:t>
      </w:r>
      <w:r w:rsidRPr="00806622">
        <w:rPr>
          <w:rFonts w:eastAsia="Times New Roman"/>
          <w:szCs w:val="24"/>
          <w:vertAlign w:val="superscript"/>
          <w:lang w:eastAsia="ru-RU"/>
        </w:rPr>
        <w:t>3+</w:t>
      </w:r>
      <w:r w:rsidRPr="00806622">
        <w:rPr>
          <w:rFonts w:eastAsia="Times New Roman"/>
          <w:szCs w:val="24"/>
          <w:lang w:eastAsia="ru-RU"/>
        </w:rPr>
        <w:t xml:space="preserve"> расщепляются на 17 подуровней, термов, энергетическое положение которых определяется полным орбитальным и спиновым моментами. </w:t>
      </w:r>
      <w:r w:rsidRPr="00806622">
        <w:rPr>
          <w:rFonts w:eastAsia="Times New Roman"/>
          <w:spacing w:val="4"/>
          <w:szCs w:val="24"/>
          <w:lang w:eastAsia="ru-RU"/>
        </w:rPr>
        <w:t xml:space="preserve">Для иона эрбия основным является терм </w:t>
      </w:r>
      <w:r w:rsidRPr="00806622">
        <w:rPr>
          <w:rFonts w:eastAsia="Times New Roman"/>
          <w:spacing w:val="4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pacing w:val="4"/>
          <w:szCs w:val="24"/>
          <w:lang w:val="en-US" w:eastAsia="ru-RU"/>
        </w:rPr>
        <w:t>I</w:t>
      </w:r>
      <w:r w:rsidRPr="00806622">
        <w:rPr>
          <w:rFonts w:eastAsia="Times New Roman"/>
          <w:spacing w:val="4"/>
          <w:szCs w:val="24"/>
          <w:lang w:eastAsia="ru-RU"/>
        </w:rPr>
        <w:t>, энергетически удаленный от первого возбужденного терма (</w:t>
      </w:r>
      <w:r w:rsidRPr="00806622">
        <w:rPr>
          <w:rFonts w:eastAsia="Times New Roman"/>
          <w:spacing w:val="4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pacing w:val="4"/>
          <w:szCs w:val="24"/>
          <w:lang w:val="en-US" w:eastAsia="ru-RU"/>
        </w:rPr>
        <w:t>F</w:t>
      </w:r>
      <w:r w:rsidRPr="00806622">
        <w:rPr>
          <w:rFonts w:eastAsia="Times New Roman"/>
          <w:spacing w:val="4"/>
          <w:szCs w:val="24"/>
          <w:lang w:eastAsia="ru-RU"/>
        </w:rPr>
        <w:t>) на 15000 см</w:t>
      </w:r>
      <w:r w:rsidRPr="00806622">
        <w:rPr>
          <w:rFonts w:eastAsia="Times New Roman"/>
          <w:spacing w:val="4"/>
          <w:szCs w:val="24"/>
          <w:vertAlign w:val="superscript"/>
          <w:lang w:eastAsia="ru-RU"/>
        </w:rPr>
        <w:t>-1</w:t>
      </w:r>
      <w:r w:rsidRPr="00806622">
        <w:rPr>
          <w:rFonts w:eastAsia="Times New Roman"/>
          <w:spacing w:val="4"/>
          <w:szCs w:val="24"/>
          <w:lang w:eastAsia="ru-RU"/>
        </w:rPr>
        <w:t>. Вклад с</w:t>
      </w:r>
      <w:r w:rsidRPr="00806622">
        <w:rPr>
          <w:rFonts w:eastAsia="Times New Roman"/>
          <w:szCs w:val="24"/>
          <w:lang w:eastAsia="ru-RU"/>
        </w:rPr>
        <w:t xml:space="preserve">пин-орбитального взаимодействия приводит к расщеплению основного терма редкоземельного иона на 4 мультиплета со </w:t>
      </w:r>
      <w:r w:rsidRPr="00806622">
        <w:rPr>
          <w:rFonts w:eastAsia="Times New Roman"/>
          <w:szCs w:val="24"/>
          <w:lang w:eastAsia="ru-RU"/>
        </w:rPr>
        <w:lastRenderedPageBreak/>
        <w:t xml:space="preserve">значениями полного углового момента, изменяющимися от 15/2 до 9/2 – мультиплеты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val="en-US"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15/2</w:t>
      </w:r>
      <w:r w:rsidRPr="00806622">
        <w:rPr>
          <w:rFonts w:eastAsia="Times New Roman"/>
          <w:szCs w:val="24"/>
          <w:lang w:eastAsia="ru-RU"/>
        </w:rPr>
        <w:t xml:space="preserve">,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val="en-US"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13/2</w:t>
      </w:r>
      <w:r w:rsidRPr="00806622">
        <w:rPr>
          <w:rFonts w:eastAsia="Times New Roman"/>
          <w:szCs w:val="24"/>
          <w:lang w:eastAsia="ru-RU"/>
        </w:rPr>
        <w:t xml:space="preserve">,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val="en-US"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11/2</w:t>
      </w:r>
      <w:r w:rsidRPr="00806622">
        <w:rPr>
          <w:rFonts w:eastAsia="Times New Roman"/>
          <w:szCs w:val="24"/>
          <w:lang w:eastAsia="ru-RU"/>
        </w:rPr>
        <w:t xml:space="preserve"> и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val="en-US"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9/2</w:t>
      </w:r>
      <w:r w:rsidRPr="00806622">
        <w:rPr>
          <w:rFonts w:eastAsia="Times New Roman"/>
          <w:szCs w:val="24"/>
          <w:lang w:eastAsia="ru-RU"/>
        </w:rPr>
        <w:t>, соответственно. При расчетах структуры энергетических уровней свободного иона необходимо учитывать реализуемый для иона Er</w:t>
      </w:r>
      <w:r w:rsidRPr="00806622">
        <w:rPr>
          <w:rFonts w:eastAsia="Times New Roman"/>
          <w:szCs w:val="24"/>
          <w:vertAlign w:val="superscript"/>
          <w:lang w:eastAsia="ru-RU"/>
        </w:rPr>
        <w:t>3+</w:t>
      </w:r>
      <w:r w:rsidRPr="00806622">
        <w:rPr>
          <w:rFonts w:eastAsia="Times New Roman"/>
          <w:szCs w:val="24"/>
          <w:lang w:eastAsia="ru-RU"/>
        </w:rPr>
        <w:t xml:space="preserve"> случай промежуточной связи, т.е. равнозначность вкладов кулоновского и спин-орбитальных взаимодействий. Результаты таких расчетов приведены на рисунке 1.1.1, a 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1"/>
      </w:r>
      <w:r w:rsidRPr="00806622">
        <w:rPr>
          <w:rFonts w:eastAsia="Times New Roman"/>
          <w:szCs w:val="24"/>
          <w:lang w:eastAsia="ru-RU"/>
        </w:rPr>
        <w:t xml:space="preserve">, </w:t>
      </w:r>
      <w:r w:rsidRPr="00806622">
        <w:rPr>
          <w:rFonts w:eastAsia="Times New Roman"/>
          <w:szCs w:val="24"/>
          <w:vertAlign w:val="superscript"/>
          <w:lang w:val="en-US" w:eastAsia="ru-RU"/>
        </w:rPr>
        <w:endnoteReference w:id="2"/>
      </w:r>
      <w:r w:rsidRPr="00806622">
        <w:rPr>
          <w:rFonts w:eastAsia="Times New Roman"/>
          <w:szCs w:val="24"/>
          <w:lang w:eastAsia="ru-RU"/>
        </w:rPr>
        <w:t>].</w:t>
      </w:r>
    </w:p>
    <w:p w14:paraId="0E39072C" w14:textId="77777777" w:rsidR="00806622" w:rsidRPr="00806622" w:rsidRDefault="00806622" w:rsidP="00806622">
      <w:pPr>
        <w:widowControl w:val="0"/>
        <w:spacing w:after="0" w:line="300" w:lineRule="auto"/>
        <w:ind w:right="98" w:firstLine="0"/>
        <w:rPr>
          <w:rFonts w:eastAsia="Times New Roman"/>
          <w:szCs w:val="20"/>
          <w:lang w:eastAsia="ru-RU"/>
        </w:rPr>
      </w:pPr>
      <w:r w:rsidRPr="00806622">
        <w:rPr>
          <w:rFonts w:eastAsia="Times New Roman"/>
          <w:noProof/>
          <w:szCs w:val="20"/>
          <w:lang w:eastAsia="ru-RU"/>
        </w:rPr>
        <w:drawing>
          <wp:inline distT="0" distB="0" distL="0" distR="0" wp14:anchorId="6C5D45AB" wp14:editId="5146A064">
            <wp:extent cx="5619750" cy="4029075"/>
            <wp:effectExtent l="0" t="0" r="0" b="9525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4E48C" w14:textId="77777777" w:rsidR="00806622" w:rsidRPr="00806622" w:rsidRDefault="00806622" w:rsidP="00806622">
      <w:pPr>
        <w:widowControl w:val="0"/>
        <w:spacing w:after="0" w:line="300" w:lineRule="auto"/>
        <w:ind w:right="98"/>
        <w:jc w:val="center"/>
        <w:rPr>
          <w:rFonts w:eastAsia="Times New Roman"/>
          <w:szCs w:val="20"/>
          <w:lang w:eastAsia="ru-RU"/>
        </w:rPr>
      </w:pPr>
      <w:r w:rsidRPr="00806622">
        <w:rPr>
          <w:rFonts w:eastAsia="Times New Roman"/>
          <w:szCs w:val="20"/>
          <w:lang w:eastAsia="ru-RU"/>
        </w:rPr>
        <w:t>а – таблица энергетических уровней свободного иона; б – диаграмма переходов в 4f оболочке</w:t>
      </w:r>
    </w:p>
    <w:p w14:paraId="4E50A63A" w14:textId="77777777" w:rsidR="00806622" w:rsidRPr="00806622" w:rsidRDefault="00806622" w:rsidP="00806622">
      <w:pPr>
        <w:widowControl w:val="0"/>
        <w:spacing w:after="0" w:line="300" w:lineRule="auto"/>
        <w:ind w:right="98"/>
        <w:jc w:val="center"/>
        <w:rPr>
          <w:rFonts w:eastAsia="Times New Roman"/>
          <w:szCs w:val="20"/>
          <w:lang w:eastAsia="ru-RU"/>
        </w:rPr>
      </w:pPr>
      <w:r w:rsidRPr="00806622">
        <w:rPr>
          <w:rFonts w:eastAsia="Times New Roman"/>
          <w:szCs w:val="20"/>
          <w:lang w:eastAsia="ru-RU"/>
        </w:rPr>
        <w:t>Рисунок 1.1.1 – Структура энергетических уровней иона Er</w:t>
      </w:r>
      <w:r w:rsidRPr="00806622">
        <w:rPr>
          <w:rFonts w:eastAsia="Times New Roman"/>
          <w:szCs w:val="20"/>
          <w:vertAlign w:val="superscript"/>
          <w:lang w:eastAsia="ru-RU"/>
        </w:rPr>
        <w:t>3+</w:t>
      </w:r>
    </w:p>
    <w:p w14:paraId="0705D0F9" w14:textId="77777777" w:rsidR="00806622" w:rsidRPr="00806622" w:rsidRDefault="00806622" w:rsidP="00806622">
      <w:pPr>
        <w:widowControl w:val="0"/>
        <w:spacing w:after="0" w:line="300" w:lineRule="auto"/>
        <w:ind w:right="98"/>
        <w:rPr>
          <w:rFonts w:eastAsia="Times New Roman"/>
          <w:szCs w:val="20"/>
          <w:lang w:eastAsia="ru-RU"/>
        </w:rPr>
      </w:pPr>
    </w:p>
    <w:p w14:paraId="052E8207" w14:textId="77777777" w:rsidR="00806622" w:rsidRPr="00806622" w:rsidRDefault="00806622" w:rsidP="00806622">
      <w:pPr>
        <w:spacing w:after="0" w:line="360" w:lineRule="auto"/>
        <w:rPr>
          <w:rFonts w:eastAsia="Times New Roman"/>
          <w:szCs w:val="24"/>
          <w:lang w:eastAsia="ru-RU"/>
        </w:rPr>
      </w:pPr>
      <w:r w:rsidRPr="00806622">
        <w:rPr>
          <w:rFonts w:eastAsia="Times New Roman"/>
          <w:szCs w:val="24"/>
          <w:lang w:eastAsia="ru-RU"/>
        </w:rPr>
        <w:t>На рисунке 1.1.1, б в упрощенном виде показана диаграмма Дике – схема энергетических уровней 4f-конфигураций иона Er</w:t>
      </w:r>
      <w:r w:rsidRPr="00806622">
        <w:rPr>
          <w:rFonts w:eastAsia="Times New Roman"/>
          <w:szCs w:val="24"/>
          <w:vertAlign w:val="superscript"/>
          <w:lang w:eastAsia="ru-RU"/>
        </w:rPr>
        <w:t>3+</w:t>
      </w:r>
      <w:r w:rsidRPr="00806622">
        <w:rPr>
          <w:rFonts w:eastAsia="Times New Roman"/>
          <w:szCs w:val="24"/>
          <w:lang w:eastAsia="ru-RU"/>
        </w:rPr>
        <w:t>, представляющих наибольший интерес с точки зрения их практических применений 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3"/>
      </w:r>
      <w:r w:rsidRPr="00806622">
        <w:rPr>
          <w:rFonts w:eastAsia="Times New Roman"/>
          <w:szCs w:val="24"/>
          <w:lang w:eastAsia="ru-RU"/>
        </w:rPr>
        <w:t xml:space="preserve">]. В настоящее время реализуются твердотельные лазеры и лазеры на оптических волокнах, излучающие в видимой области спектра (переход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S</w:t>
      </w:r>
      <w:r w:rsidRPr="00806622">
        <w:rPr>
          <w:rFonts w:eastAsia="Times New Roman"/>
          <w:szCs w:val="24"/>
          <w:vertAlign w:val="subscript"/>
          <w:lang w:eastAsia="ru-RU"/>
        </w:rPr>
        <w:t>3/2</w:t>
      </w:r>
      <w:r w:rsidRPr="00806622">
        <w:rPr>
          <w:rFonts w:eastAsia="Times New Roman"/>
          <w:szCs w:val="24"/>
          <w:lang w:eastAsia="ru-RU"/>
        </w:rPr>
        <w:t xml:space="preserve"> →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15/2</w:t>
      </w:r>
      <w:r w:rsidRPr="00806622">
        <w:rPr>
          <w:rFonts w:eastAsia="Times New Roman"/>
          <w:szCs w:val="24"/>
          <w:lang w:eastAsia="ru-RU"/>
        </w:rPr>
        <w:t xml:space="preserve"> на длине волны 546 нм) 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4"/>
      </w:r>
      <w:r w:rsidRPr="00806622">
        <w:rPr>
          <w:rFonts w:eastAsia="Times New Roman"/>
          <w:szCs w:val="24"/>
          <w:lang w:eastAsia="ru-RU"/>
        </w:rPr>
        <w:t xml:space="preserve">], и лазеры диапазона 1,54 мкм (переход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13/2</w:t>
      </w:r>
      <w:r w:rsidRPr="00806622">
        <w:rPr>
          <w:rFonts w:eastAsia="Times New Roman"/>
          <w:szCs w:val="24"/>
          <w:lang w:eastAsia="ru-RU"/>
        </w:rPr>
        <w:t xml:space="preserve"> →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15/2</w:t>
      </w:r>
      <w:r w:rsidRPr="00806622">
        <w:rPr>
          <w:rFonts w:eastAsia="Times New Roman"/>
          <w:szCs w:val="24"/>
          <w:lang w:eastAsia="ru-RU"/>
        </w:rPr>
        <w:t xml:space="preserve">) </w:t>
      </w:r>
      <w:r w:rsidRPr="00806622">
        <w:rPr>
          <w:rFonts w:eastAsia="Times New Roman"/>
          <w:szCs w:val="24"/>
          <w:lang w:eastAsia="ru-RU"/>
        </w:rPr>
        <w:lastRenderedPageBreak/>
        <w:t>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5"/>
      </w:r>
      <w:r w:rsidRPr="00806622">
        <w:rPr>
          <w:rFonts w:eastAsia="Times New Roman"/>
          <w:szCs w:val="24"/>
          <w:lang w:eastAsia="ru-RU"/>
        </w:rPr>
        <w:t xml:space="preserve">, 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6"/>
      </w:r>
      <w:r w:rsidRPr="00806622">
        <w:rPr>
          <w:rFonts w:eastAsia="Times New Roman"/>
          <w:szCs w:val="24"/>
          <w:lang w:eastAsia="ru-RU"/>
        </w:rPr>
        <w:t>]. Последний является рабочим диапазоном в современных волоконно-оптических системах связи.</w:t>
      </w:r>
    </w:p>
    <w:p w14:paraId="643F0867" w14:textId="77777777" w:rsidR="00806622" w:rsidRPr="00806622" w:rsidRDefault="00806622" w:rsidP="00806622">
      <w:pPr>
        <w:keepNext/>
        <w:spacing w:before="240" w:after="240" w:line="360" w:lineRule="auto"/>
        <w:outlineLvl w:val="1"/>
        <w:rPr>
          <w:rFonts w:eastAsia="Times New Roman"/>
          <w:b/>
          <w:bCs/>
          <w:iCs/>
          <w:szCs w:val="28"/>
          <w:lang w:eastAsia="ru-RU"/>
        </w:rPr>
      </w:pPr>
      <w:bookmarkStart w:id="2" w:name="_Toc508620232"/>
      <w:r w:rsidRPr="00806622">
        <w:rPr>
          <w:rFonts w:eastAsia="Times New Roman"/>
          <w:b/>
          <w:bCs/>
          <w:iCs/>
          <w:szCs w:val="28"/>
          <w:lang w:eastAsia="ru-RU"/>
        </w:rPr>
        <w:t>1.2 Золь-гель синтез в оптической технологии</w:t>
      </w:r>
      <w:bookmarkEnd w:id="2"/>
    </w:p>
    <w:p w14:paraId="61324AA8" w14:textId="77777777" w:rsidR="00806622" w:rsidRPr="00806622" w:rsidRDefault="00806622" w:rsidP="00806622">
      <w:pPr>
        <w:spacing w:after="0" w:line="360" w:lineRule="auto"/>
        <w:rPr>
          <w:rFonts w:eastAsia="Times New Roman"/>
          <w:szCs w:val="24"/>
          <w:lang w:eastAsia="ru-RU"/>
        </w:rPr>
      </w:pPr>
      <w:r w:rsidRPr="00806622">
        <w:rPr>
          <w:rFonts w:eastAsia="Times New Roman"/>
          <w:szCs w:val="24"/>
          <w:lang w:eastAsia="ru-RU"/>
        </w:rPr>
        <w:t>В течение последних двух десятилетий в материаловедении интенсивно развивается золь-гель метод.</w:t>
      </w:r>
      <w:r w:rsidRPr="00806622">
        <w:rPr>
          <w:rFonts w:eastAsia="Times New Roman"/>
          <w:i/>
          <w:szCs w:val="24"/>
          <w:lang w:eastAsia="ru-RU"/>
        </w:rPr>
        <w:t xml:space="preserve"> </w:t>
      </w:r>
      <w:r w:rsidRPr="00806622">
        <w:rPr>
          <w:rFonts w:eastAsia="Times New Roman"/>
          <w:szCs w:val="24"/>
          <w:lang w:eastAsia="ru-RU"/>
        </w:rPr>
        <w:t xml:space="preserve">Золи представляют собой дисперсию коллоидных частиц размером от 1 до 100 нм в жидкости. Пленки формируют золь-гель методом, используя, в основном, метод центрифугирования или погружения, с последующей термообработкой, приводящей к формированию высушенного геля – </w:t>
      </w:r>
      <w:proofErr w:type="spellStart"/>
      <w:r w:rsidRPr="00806622">
        <w:rPr>
          <w:rFonts w:eastAsia="Times New Roman"/>
          <w:szCs w:val="24"/>
          <w:lang w:eastAsia="ru-RU"/>
        </w:rPr>
        <w:t>ксерогеля</w:t>
      </w:r>
      <w:proofErr w:type="spellEnd"/>
      <w:r w:rsidRPr="00806622">
        <w:rPr>
          <w:rFonts w:eastAsia="Times New Roman"/>
          <w:szCs w:val="24"/>
          <w:lang w:eastAsia="ru-RU"/>
        </w:rPr>
        <w:t xml:space="preserve">. </w:t>
      </w:r>
    </w:p>
    <w:p w14:paraId="6166F6CE" w14:textId="77777777" w:rsidR="00806622" w:rsidRPr="00806622" w:rsidRDefault="00806622" w:rsidP="00806622">
      <w:pPr>
        <w:spacing w:after="0" w:line="360" w:lineRule="auto"/>
        <w:rPr>
          <w:rFonts w:eastAsia="Times New Roman"/>
          <w:szCs w:val="24"/>
          <w:lang w:eastAsia="ru-RU"/>
        </w:rPr>
      </w:pPr>
      <w:r w:rsidRPr="00806622">
        <w:rPr>
          <w:rFonts w:eastAsia="Times New Roman"/>
          <w:szCs w:val="24"/>
          <w:lang w:eastAsia="ru-RU"/>
        </w:rPr>
        <w:t>Популярность золь-гель метода, связана в первую очередь с тем, что получаемые материалы обладают рядом уникальных свойств. В первую очередь, это высокая химическая однородность получаемых продуктов, позволяющая существенно снизить температуру и продолжительность термообработки для получения функциональной керамики. Другим важным преимуществом является возможность контролировать размер частиц и структуру пор материалов на разных стадиях синтеза. Использование золь-гель метода позволяет получать принципиально новые материалы, такие как органо-неорганические гибридные материалы, новые виды стекол, керамик и т.д. Одним из наиболее существенных достоинств золь-гель метода является то, что механические свойства золей и гелей позволяют применять их для получения волокон, пленок и композитов путем нанесения золя на подложку или пропитки пористого материала. Золь-гель процесс часто используют для получения пористых материалов, которые затем применяют в качестве сорбентов, катализаторов или носителей для катализаторов.</w:t>
      </w:r>
    </w:p>
    <w:p w14:paraId="46172CA1" w14:textId="77777777" w:rsidR="00806622" w:rsidRPr="00806622" w:rsidRDefault="00806622" w:rsidP="00806622">
      <w:pPr>
        <w:spacing w:after="0" w:line="360" w:lineRule="auto"/>
        <w:rPr>
          <w:rFonts w:eastAsia="Times New Roman"/>
          <w:szCs w:val="24"/>
          <w:lang w:eastAsia="ru-RU"/>
        </w:rPr>
      </w:pPr>
      <w:r w:rsidRPr="00806622">
        <w:rPr>
          <w:rFonts w:eastAsia="Times New Roman"/>
          <w:szCs w:val="24"/>
          <w:lang w:eastAsia="ru-RU"/>
        </w:rPr>
        <w:t xml:space="preserve">Введение в состав золя растворимых соединений различных катионов приводит к легированию </w:t>
      </w:r>
      <w:proofErr w:type="spellStart"/>
      <w:r w:rsidRPr="00806622">
        <w:rPr>
          <w:rFonts w:eastAsia="Times New Roman"/>
          <w:szCs w:val="24"/>
          <w:lang w:eastAsia="ru-RU"/>
        </w:rPr>
        <w:t>ксерогеля</w:t>
      </w:r>
      <w:proofErr w:type="spellEnd"/>
      <w:r w:rsidRPr="00806622">
        <w:rPr>
          <w:rFonts w:eastAsia="Times New Roman"/>
          <w:szCs w:val="24"/>
          <w:lang w:eastAsia="ru-RU"/>
        </w:rPr>
        <w:t xml:space="preserve"> и изменению его свойств. </w:t>
      </w:r>
      <w:proofErr w:type="spellStart"/>
      <w:r w:rsidRPr="00806622">
        <w:rPr>
          <w:rFonts w:eastAsia="Times New Roman"/>
          <w:szCs w:val="24"/>
          <w:lang w:eastAsia="ru-RU"/>
        </w:rPr>
        <w:t>Ксерогели</w:t>
      </w:r>
      <w:proofErr w:type="spellEnd"/>
      <w:r w:rsidRPr="00806622">
        <w:rPr>
          <w:rFonts w:eastAsia="Times New Roman"/>
          <w:szCs w:val="24"/>
          <w:lang w:eastAsia="ru-RU"/>
        </w:rPr>
        <w:t xml:space="preserve">, </w:t>
      </w:r>
      <w:proofErr w:type="spellStart"/>
      <w:r w:rsidRPr="00806622">
        <w:rPr>
          <w:rFonts w:eastAsia="Times New Roman"/>
          <w:szCs w:val="24"/>
          <w:lang w:eastAsia="ru-RU"/>
        </w:rPr>
        <w:t>легированые</w:t>
      </w:r>
      <w:proofErr w:type="spellEnd"/>
      <w:r w:rsidRPr="00806622">
        <w:rPr>
          <w:rFonts w:eastAsia="Times New Roman"/>
          <w:szCs w:val="24"/>
          <w:lang w:eastAsia="ru-RU"/>
        </w:rPr>
        <w:t xml:space="preserve"> лантаноидами – эрбием, тербием и европием, сформированные в </w:t>
      </w:r>
      <w:proofErr w:type="spellStart"/>
      <w:r w:rsidRPr="00806622">
        <w:rPr>
          <w:rFonts w:eastAsia="Times New Roman"/>
          <w:szCs w:val="24"/>
          <w:lang w:eastAsia="ru-RU"/>
        </w:rPr>
        <w:t>мезопористых</w:t>
      </w:r>
      <w:proofErr w:type="spellEnd"/>
      <w:r w:rsidRPr="00806622">
        <w:rPr>
          <w:rFonts w:eastAsia="Times New Roman"/>
          <w:szCs w:val="24"/>
          <w:lang w:eastAsia="ru-RU"/>
        </w:rPr>
        <w:t xml:space="preserve"> матрицах, демонстрируют интенсивную фотолюминесценцию (ФЛ) лантаноидов 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7"/>
      </w:r>
      <w:r w:rsidRPr="00806622">
        <w:rPr>
          <w:rFonts w:eastAsia="Times New Roman"/>
          <w:szCs w:val="24"/>
          <w:lang w:eastAsia="ru-RU"/>
        </w:rPr>
        <w:t xml:space="preserve">]. Ранее получены пленочные </w:t>
      </w:r>
      <w:r w:rsidRPr="00806622">
        <w:rPr>
          <w:rFonts w:eastAsia="Times New Roman"/>
          <w:szCs w:val="24"/>
          <w:lang w:eastAsia="ru-RU"/>
        </w:rPr>
        <w:lastRenderedPageBreak/>
        <w:t xml:space="preserve">преобразователи излучения на основе </w:t>
      </w:r>
      <w:proofErr w:type="spellStart"/>
      <w:r w:rsidRPr="00806622">
        <w:rPr>
          <w:rFonts w:eastAsia="Times New Roman"/>
          <w:szCs w:val="24"/>
          <w:lang w:eastAsia="ru-RU"/>
        </w:rPr>
        <w:t>ксерогелей</w:t>
      </w:r>
      <w:proofErr w:type="spellEnd"/>
      <w:r w:rsidRPr="00806622">
        <w:rPr>
          <w:rFonts w:eastAsia="Times New Roman"/>
          <w:szCs w:val="24"/>
          <w:lang w:eastAsia="ru-RU"/>
        </w:rPr>
        <w:t>, синтезированных в порах пленок пористого анодного оксида алюминия (ПАОА), сформированных на подложках кремния 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8"/>
      </w:r>
      <w:r w:rsidRPr="00806622">
        <w:rPr>
          <w:rFonts w:eastAsia="Times New Roman"/>
          <w:szCs w:val="24"/>
          <w:lang w:eastAsia="ru-RU"/>
        </w:rPr>
        <w:t xml:space="preserve">, 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9"/>
      </w:r>
      <w:r w:rsidRPr="00806622">
        <w:rPr>
          <w:rFonts w:eastAsia="Times New Roman"/>
          <w:szCs w:val="24"/>
          <w:lang w:eastAsia="ru-RU"/>
        </w:rPr>
        <w:t xml:space="preserve">]. Установлено, что легированные тербием и европием </w:t>
      </w:r>
      <w:proofErr w:type="spellStart"/>
      <w:r w:rsidRPr="00806622">
        <w:rPr>
          <w:rFonts w:eastAsia="Times New Roman"/>
          <w:szCs w:val="24"/>
          <w:lang w:eastAsia="ru-RU"/>
        </w:rPr>
        <w:t>ксерогели</w:t>
      </w:r>
      <w:proofErr w:type="spellEnd"/>
      <w:r w:rsidRPr="00806622">
        <w:rPr>
          <w:rFonts w:eastAsia="Times New Roman"/>
          <w:szCs w:val="24"/>
          <w:lang w:eastAsia="ru-RU"/>
        </w:rPr>
        <w:t xml:space="preserve">, а также алюмоиттриевые композиты, сформированные осаждением из растворов солей, демонстрируют интенсивную фото-, </w:t>
      </w:r>
      <w:proofErr w:type="spellStart"/>
      <w:r w:rsidRPr="00806622">
        <w:rPr>
          <w:rFonts w:eastAsia="Times New Roman"/>
          <w:szCs w:val="24"/>
          <w:lang w:eastAsia="ru-RU"/>
        </w:rPr>
        <w:t>катодо</w:t>
      </w:r>
      <w:proofErr w:type="spellEnd"/>
      <w:r w:rsidRPr="00806622">
        <w:rPr>
          <w:rFonts w:eastAsia="Times New Roman"/>
          <w:szCs w:val="24"/>
          <w:lang w:eastAsia="ru-RU"/>
        </w:rPr>
        <w:t xml:space="preserve">- и </w:t>
      </w:r>
      <w:proofErr w:type="spellStart"/>
      <w:r w:rsidRPr="00806622">
        <w:rPr>
          <w:rFonts w:eastAsia="Times New Roman"/>
          <w:szCs w:val="24"/>
          <w:lang w:eastAsia="ru-RU"/>
        </w:rPr>
        <w:t>радиолюминесцению</w:t>
      </w:r>
      <w:proofErr w:type="spellEnd"/>
      <w:r w:rsidRPr="00806622">
        <w:rPr>
          <w:rFonts w:eastAsia="Times New Roman"/>
          <w:szCs w:val="24"/>
          <w:lang w:eastAsia="ru-RU"/>
        </w:rPr>
        <w:t xml:space="preserve"> лантаноидов 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10"/>
      </w:r>
      <w:r w:rsidRPr="00806622">
        <w:rPr>
          <w:rFonts w:eastAsia="Times New Roman"/>
          <w:szCs w:val="24"/>
          <w:lang w:eastAsia="ru-RU"/>
        </w:rPr>
        <w:t xml:space="preserve">, 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11"/>
      </w:r>
      <w:r w:rsidRPr="00806622">
        <w:rPr>
          <w:rFonts w:eastAsia="Times New Roman"/>
          <w:szCs w:val="24"/>
          <w:lang w:eastAsia="ru-RU"/>
        </w:rPr>
        <w:t xml:space="preserve">]. Люминесценция тербия и эрбия усилена за счет многократного рассеяния и оптической анизотропии сформированных структур </w:t>
      </w:r>
      <w:proofErr w:type="spellStart"/>
      <w:r w:rsidRPr="00806622">
        <w:rPr>
          <w:rFonts w:eastAsia="Times New Roman"/>
          <w:szCs w:val="24"/>
          <w:lang w:eastAsia="ru-RU"/>
        </w:rPr>
        <w:t>ксерогель</w:t>
      </w:r>
      <w:proofErr w:type="spellEnd"/>
      <w:r w:rsidRPr="00806622">
        <w:rPr>
          <w:rFonts w:eastAsia="Times New Roman"/>
          <w:szCs w:val="24"/>
          <w:lang w:eastAsia="ru-RU"/>
        </w:rPr>
        <w:t>/ПАОА [</w:t>
      </w:r>
      <w:r w:rsidRPr="00806622">
        <w:rPr>
          <w:rFonts w:eastAsia="Times New Roman"/>
          <w:szCs w:val="24"/>
          <w:vertAlign w:val="superscript"/>
          <w:lang w:eastAsia="ru-RU"/>
        </w:rPr>
        <w:endnoteReference w:id="12"/>
      </w:r>
      <w:r w:rsidRPr="00806622">
        <w:rPr>
          <w:rFonts w:eastAsia="Times New Roman"/>
          <w:szCs w:val="24"/>
          <w:lang w:eastAsia="ru-RU"/>
        </w:rPr>
        <w:t>].</w:t>
      </w:r>
    </w:p>
    <w:p w14:paraId="0217F6A2" w14:textId="77777777" w:rsidR="00806622" w:rsidRPr="00806622" w:rsidRDefault="00806622" w:rsidP="00806622">
      <w:pPr>
        <w:spacing w:after="0" w:line="360" w:lineRule="auto"/>
        <w:rPr>
          <w:rFonts w:eastAsia="Times New Roman"/>
          <w:szCs w:val="24"/>
          <w:lang w:eastAsia="ru-RU"/>
        </w:rPr>
      </w:pPr>
      <w:r w:rsidRPr="00806622">
        <w:rPr>
          <w:rFonts w:eastAsia="Times New Roman"/>
          <w:szCs w:val="24"/>
          <w:lang w:eastAsia="ru-RU"/>
        </w:rPr>
        <w:t xml:space="preserve">В качестве легирующих добавок в различные </w:t>
      </w:r>
      <w:proofErr w:type="spellStart"/>
      <w:r w:rsidRPr="00806622">
        <w:rPr>
          <w:rFonts w:eastAsia="Times New Roman"/>
          <w:szCs w:val="24"/>
          <w:lang w:eastAsia="ru-RU"/>
        </w:rPr>
        <w:t>ксерогели</w:t>
      </w:r>
      <w:proofErr w:type="spellEnd"/>
      <w:r w:rsidRPr="00806622">
        <w:rPr>
          <w:rFonts w:eastAsia="Times New Roman"/>
          <w:szCs w:val="24"/>
          <w:lang w:eastAsia="ru-RU"/>
        </w:rPr>
        <w:t xml:space="preserve"> и композиты в настоящее время интерес представляют ионы эрбия Er</w:t>
      </w:r>
      <w:r w:rsidRPr="00806622">
        <w:rPr>
          <w:rFonts w:eastAsia="Times New Roman"/>
          <w:szCs w:val="24"/>
          <w:vertAlign w:val="superscript"/>
          <w:lang w:eastAsia="ru-RU"/>
        </w:rPr>
        <w:t>3+</w:t>
      </w:r>
      <w:r w:rsidRPr="00806622">
        <w:rPr>
          <w:rFonts w:eastAsia="Times New Roman"/>
          <w:szCs w:val="24"/>
          <w:lang w:eastAsia="ru-RU"/>
        </w:rPr>
        <w:t xml:space="preserve">, благодаря переходу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13/2</w:t>
      </w:r>
      <w:r w:rsidRPr="00806622">
        <w:rPr>
          <w:rFonts w:eastAsia="Times New Roman"/>
          <w:szCs w:val="24"/>
          <w:lang w:eastAsia="ru-RU"/>
        </w:rPr>
        <w:t xml:space="preserve"> →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15/2</w:t>
      </w:r>
      <w:r w:rsidRPr="00806622">
        <w:rPr>
          <w:rFonts w:eastAsia="Times New Roman"/>
          <w:szCs w:val="24"/>
          <w:lang w:eastAsia="ru-RU"/>
        </w:rPr>
        <w:t xml:space="preserve"> внутри 4f-оболочки, соответствующему длине волны в области 1,5 мкм, находящейся в минимуме поглощения основанных на кварце оптоволоконных систем. Поскольку инфракрасная (ИК) люминесценция в области 1,5 мкм возникает из-за переходов в 4</w:t>
      </w:r>
      <w:r w:rsidRPr="00806622">
        <w:rPr>
          <w:rFonts w:eastAsia="Times New Roman"/>
          <w:i/>
          <w:szCs w:val="24"/>
          <w:lang w:eastAsia="ru-RU"/>
        </w:rPr>
        <w:t>f</w:t>
      </w:r>
      <w:r w:rsidRPr="00806622">
        <w:rPr>
          <w:rFonts w:eastAsia="Times New Roman"/>
          <w:szCs w:val="24"/>
          <w:lang w:eastAsia="ru-RU"/>
        </w:rPr>
        <w:t xml:space="preserve">-оболочке, экранированной внешними заполненными оболочками, взаимодействие иона эрбия с окружающей матрицей ослаблено, и длина волны люминесценции практически не зависит от материала полупроводника-носителя. Ожидается, что полупроводниковые лазерные диоды и оптические усилители, работающие на переходе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13/2</w:t>
      </w:r>
      <w:r w:rsidRPr="00806622">
        <w:rPr>
          <w:rFonts w:eastAsia="Times New Roman"/>
          <w:szCs w:val="24"/>
          <w:lang w:eastAsia="ru-RU"/>
        </w:rPr>
        <w:t xml:space="preserve"> → </w:t>
      </w:r>
      <w:r w:rsidRPr="00806622">
        <w:rPr>
          <w:rFonts w:eastAsia="Times New Roman"/>
          <w:szCs w:val="24"/>
          <w:vertAlign w:val="superscript"/>
          <w:lang w:eastAsia="ru-RU"/>
        </w:rPr>
        <w:t>4</w:t>
      </w:r>
      <w:r w:rsidRPr="00806622">
        <w:rPr>
          <w:rFonts w:eastAsia="Times New Roman"/>
          <w:szCs w:val="24"/>
          <w:lang w:eastAsia="ru-RU"/>
        </w:rPr>
        <w:t>I</w:t>
      </w:r>
      <w:r w:rsidRPr="00806622">
        <w:rPr>
          <w:rFonts w:eastAsia="Times New Roman"/>
          <w:szCs w:val="24"/>
          <w:vertAlign w:val="subscript"/>
          <w:lang w:eastAsia="ru-RU"/>
        </w:rPr>
        <w:t>15/2</w:t>
      </w:r>
      <w:r w:rsidRPr="00806622">
        <w:rPr>
          <w:rFonts w:eastAsia="Times New Roman"/>
          <w:szCs w:val="24"/>
          <w:lang w:eastAsia="ru-RU"/>
        </w:rPr>
        <w:t xml:space="preserve"> ионов Er</w:t>
      </w:r>
      <w:r w:rsidRPr="00806622">
        <w:rPr>
          <w:rFonts w:eastAsia="Times New Roman"/>
          <w:szCs w:val="24"/>
          <w:vertAlign w:val="superscript"/>
          <w:lang w:eastAsia="ru-RU"/>
        </w:rPr>
        <w:t>3+</w:t>
      </w:r>
      <w:r w:rsidRPr="00806622">
        <w:rPr>
          <w:rFonts w:eastAsia="Times New Roman"/>
          <w:szCs w:val="24"/>
          <w:lang w:eastAsia="ru-RU"/>
        </w:rPr>
        <w:t xml:space="preserve">, будут менее чувствительны к температурным изменениям, чем приборы, использующие межзонную рекомбинацию </w:t>
      </w:r>
      <w:r w:rsidRPr="00806622">
        <w:rPr>
          <w:rFonts w:eastAsia="Times New Roman"/>
          <w:noProof/>
          <w:szCs w:val="24"/>
          <w:lang w:eastAsia="ru-RU"/>
        </w:rPr>
        <w:t>[</w:t>
      </w:r>
      <w:r w:rsidRPr="00806622">
        <w:rPr>
          <w:rFonts w:eastAsia="Times New Roman"/>
          <w:noProof/>
          <w:szCs w:val="24"/>
          <w:vertAlign w:val="superscript"/>
          <w:lang w:val="en-US" w:eastAsia="ru-RU"/>
        </w:rPr>
        <w:endnoteReference w:id="13"/>
      </w:r>
      <w:r w:rsidRPr="00806622">
        <w:rPr>
          <w:rFonts w:eastAsia="Times New Roman"/>
          <w:noProof/>
          <w:szCs w:val="24"/>
          <w:lang w:eastAsia="ru-RU"/>
        </w:rPr>
        <w:t>]</w:t>
      </w:r>
      <w:r w:rsidRPr="00806622">
        <w:rPr>
          <w:rFonts w:eastAsia="Times New Roman"/>
          <w:szCs w:val="24"/>
          <w:lang w:eastAsia="ru-RU"/>
        </w:rPr>
        <w:t>. Легированные эрбием и другими лантаноидами пленки являются также перспективными материалами, выполняющими роль буферных слоев между кремнием и нитридом галлия в технологии формирования светоизлучающих и других приборных структур на основе нитрида галлия на кремнии.</w:t>
      </w:r>
    </w:p>
    <w:p w14:paraId="6A73CEF1" w14:textId="77777777" w:rsidR="00B96A1A" w:rsidRDefault="00B96A1A"/>
    <w:sectPr w:rsidR="00B96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465B" w14:textId="77777777" w:rsidR="006150FB" w:rsidRDefault="006150FB" w:rsidP="00806622">
      <w:pPr>
        <w:spacing w:after="0" w:line="240" w:lineRule="auto"/>
      </w:pPr>
      <w:r>
        <w:separator/>
      </w:r>
    </w:p>
  </w:endnote>
  <w:endnote w:type="continuationSeparator" w:id="0">
    <w:p w14:paraId="717701B6" w14:textId="77777777" w:rsidR="006150FB" w:rsidRDefault="006150FB" w:rsidP="00806622">
      <w:pPr>
        <w:spacing w:after="0" w:line="240" w:lineRule="auto"/>
      </w:pPr>
      <w:r>
        <w:continuationSeparator/>
      </w:r>
    </w:p>
  </w:endnote>
  <w:endnote w:id="1">
    <w:p w14:paraId="1D84030F" w14:textId="77777777" w:rsidR="00806622" w:rsidRPr="000B3FE3" w:rsidRDefault="00806622" w:rsidP="00806622">
      <w:pPr>
        <w:spacing w:line="312" w:lineRule="auto"/>
      </w:pPr>
      <w:r>
        <w:rPr>
          <w:lang w:val="en-US"/>
        </w:rPr>
        <w:t>[</w:t>
      </w:r>
      <w:r w:rsidRPr="00C606BE">
        <w:rPr>
          <w:rStyle w:val="EndnoteReference"/>
        </w:rPr>
        <w:endnoteRef/>
      </w:r>
      <w:r>
        <w:rPr>
          <w:lang w:val="en-US"/>
        </w:rPr>
        <w:t>]</w:t>
      </w:r>
      <w:r w:rsidRPr="00C606BE">
        <w:rPr>
          <w:lang w:val="en-US"/>
        </w:rPr>
        <w:t xml:space="preserve"> </w:t>
      </w:r>
      <w:proofErr w:type="spellStart"/>
      <w:r w:rsidRPr="00C606BE">
        <w:rPr>
          <w:lang w:val="en-US"/>
        </w:rPr>
        <w:t>Hüfner</w:t>
      </w:r>
      <w:proofErr w:type="spellEnd"/>
      <w:r>
        <w:rPr>
          <w:lang w:val="en-US"/>
        </w:rPr>
        <w:t>,</w:t>
      </w:r>
      <w:r w:rsidRPr="00C606BE">
        <w:rPr>
          <w:lang w:val="en-US"/>
        </w:rPr>
        <w:t xml:space="preserve"> S. Optical spectra of transparent </w:t>
      </w:r>
      <w:r>
        <w:rPr>
          <w:lang w:val="en-US"/>
        </w:rPr>
        <w:t>rare earth compounds / S. </w:t>
      </w:r>
      <w:proofErr w:type="spellStart"/>
      <w:r w:rsidRPr="00C606BE">
        <w:rPr>
          <w:lang w:val="en-US"/>
        </w:rPr>
        <w:t>Hüfner</w:t>
      </w:r>
      <w:proofErr w:type="spellEnd"/>
      <w:r w:rsidRPr="00C606BE">
        <w:rPr>
          <w:lang w:val="en-US"/>
        </w:rPr>
        <w:t xml:space="preserve"> </w:t>
      </w:r>
      <w:r>
        <w:rPr>
          <w:lang w:val="en-US"/>
        </w:rPr>
        <w:t xml:space="preserve">// </w:t>
      </w:r>
      <w:r w:rsidRPr="009A1357">
        <w:rPr>
          <w:lang w:val="en-US"/>
        </w:rPr>
        <w:t>Academic Press.</w:t>
      </w:r>
      <w:r>
        <w:rPr>
          <w:lang w:val="en-US"/>
        </w:rPr>
        <w:t>:</w:t>
      </w:r>
      <w:r w:rsidRPr="009A1357">
        <w:rPr>
          <w:lang w:val="en-US"/>
        </w:rPr>
        <w:t xml:space="preserve"> New York</w:t>
      </w:r>
      <w:r>
        <w:rPr>
          <w:lang w:val="en-US"/>
        </w:rPr>
        <w:t>.</w:t>
      </w:r>
      <w:r w:rsidRPr="009A1357">
        <w:rPr>
          <w:lang w:val="en-US"/>
        </w:rPr>
        <w:t xml:space="preserve"> 1978. </w:t>
      </w:r>
      <w:r w:rsidRPr="00C606BE">
        <w:t>230P.</w:t>
      </w:r>
    </w:p>
  </w:endnote>
  <w:endnote w:id="2">
    <w:p w14:paraId="6C760B0C" w14:textId="77777777" w:rsidR="00806622" w:rsidRPr="00F514BB" w:rsidRDefault="00806622" w:rsidP="00806622">
      <w:pPr>
        <w:spacing w:line="312" w:lineRule="auto"/>
      </w:pPr>
      <w:r w:rsidRPr="007F04B9">
        <w:t>[</w:t>
      </w:r>
      <w:r w:rsidRPr="00C606BE">
        <w:rPr>
          <w:rStyle w:val="EndnoteReference"/>
        </w:rPr>
        <w:endnoteRef/>
      </w:r>
      <w:r>
        <w:t>]</w:t>
      </w:r>
      <w:r w:rsidRPr="00C606BE">
        <w:t xml:space="preserve"> </w:t>
      </w:r>
      <w:proofErr w:type="spellStart"/>
      <w:r w:rsidRPr="00C606BE">
        <w:t>Абрагам</w:t>
      </w:r>
      <w:proofErr w:type="spellEnd"/>
      <w:r w:rsidRPr="00C606BE">
        <w:t xml:space="preserve"> А., Электронный парамагни</w:t>
      </w:r>
      <w:r>
        <w:t xml:space="preserve">тный резонанс переходных ионов </w:t>
      </w:r>
      <w:r w:rsidRPr="009A1357">
        <w:t xml:space="preserve">/ </w:t>
      </w:r>
      <w:r w:rsidRPr="00C606BE">
        <w:t>А.</w:t>
      </w:r>
      <w:r>
        <w:rPr>
          <w:lang w:val="en-US"/>
        </w:rPr>
        <w:t> </w:t>
      </w:r>
      <w:proofErr w:type="spellStart"/>
      <w:r w:rsidRPr="00C606BE">
        <w:t>Абрагам</w:t>
      </w:r>
      <w:proofErr w:type="spellEnd"/>
      <w:r w:rsidRPr="00C606BE">
        <w:t>, Б.</w:t>
      </w:r>
      <w:r>
        <w:rPr>
          <w:lang w:val="en-US"/>
        </w:rPr>
        <w:t> </w:t>
      </w:r>
      <w:proofErr w:type="spellStart"/>
      <w:r w:rsidRPr="00C606BE">
        <w:t>Блини</w:t>
      </w:r>
      <w:proofErr w:type="spellEnd"/>
      <w:r w:rsidRPr="009A1357">
        <w:t xml:space="preserve"> // </w:t>
      </w:r>
      <w:r w:rsidRPr="00C606BE">
        <w:t>М.: Мир. 1973. Т</w:t>
      </w:r>
      <w:r w:rsidRPr="00F514BB">
        <w:t>.1. 651</w:t>
      </w:r>
      <w:r w:rsidRPr="00C606BE">
        <w:t>с</w:t>
      </w:r>
      <w:r w:rsidRPr="00F514BB">
        <w:t xml:space="preserve">., </w:t>
      </w:r>
      <w:r>
        <w:t>Т</w:t>
      </w:r>
      <w:r w:rsidRPr="00F514BB">
        <w:t>.2.</w:t>
      </w:r>
      <w:r>
        <w:rPr>
          <w:lang w:val="en-US"/>
        </w:rPr>
        <w:t> </w:t>
      </w:r>
      <w:r w:rsidRPr="00F514BB">
        <w:t>349</w:t>
      </w:r>
      <w:r w:rsidRPr="00C606BE">
        <w:t>с</w:t>
      </w:r>
      <w:r w:rsidRPr="00F514BB">
        <w:t>.</w:t>
      </w:r>
    </w:p>
  </w:endnote>
  <w:endnote w:id="3">
    <w:p w14:paraId="0792B8D5" w14:textId="77777777" w:rsidR="00806622" w:rsidRPr="00696E25" w:rsidRDefault="00806622" w:rsidP="00806622">
      <w:pPr>
        <w:spacing w:line="312" w:lineRule="auto"/>
      </w:pPr>
      <w:r w:rsidRPr="007F04B9">
        <w:t>[</w:t>
      </w:r>
      <w:r w:rsidRPr="00D72C43">
        <w:rPr>
          <w:rStyle w:val="EndnoteReference"/>
        </w:rPr>
        <w:endnoteRef/>
      </w:r>
      <w:r w:rsidRPr="007F04B9">
        <w:t>]</w:t>
      </w:r>
      <w:r>
        <w:t xml:space="preserve"> </w:t>
      </w:r>
      <w:proofErr w:type="spellStart"/>
      <w:r w:rsidRPr="00696E25">
        <w:t>Степихова</w:t>
      </w:r>
      <w:proofErr w:type="spellEnd"/>
      <w:r>
        <w:t>, М.</w:t>
      </w:r>
      <w:r w:rsidRPr="00696E25">
        <w:t xml:space="preserve">В. </w:t>
      </w:r>
      <w:r>
        <w:t xml:space="preserve">Оптически активные центры ионов эрбия в кремниевых </w:t>
      </w:r>
      <w:proofErr w:type="gramStart"/>
      <w:r>
        <w:t>матрицах</w:t>
      </w:r>
      <w:r w:rsidRPr="00696E25">
        <w:t xml:space="preserve"> :</w:t>
      </w:r>
      <w:proofErr w:type="gramEnd"/>
      <w:r w:rsidRPr="00696E25">
        <w:t xml:space="preserve"> </w:t>
      </w:r>
      <w:proofErr w:type="spellStart"/>
      <w:r w:rsidRPr="00696E25">
        <w:t>дис</w:t>
      </w:r>
      <w:proofErr w:type="spellEnd"/>
      <w:r w:rsidRPr="00696E25">
        <w:t xml:space="preserve">. ... канд. </w:t>
      </w:r>
      <w:r>
        <w:t>физ.-мат</w:t>
      </w:r>
      <w:r w:rsidRPr="00696E25">
        <w:t xml:space="preserve">. </w:t>
      </w:r>
      <w:proofErr w:type="gramStart"/>
      <w:r w:rsidRPr="00696E25">
        <w:t>наук :</w:t>
      </w:r>
      <w:proofErr w:type="gramEnd"/>
      <w:r w:rsidRPr="00696E25">
        <w:t xml:space="preserve"> </w:t>
      </w:r>
      <w:r>
        <w:t>01.04.07 / М.В. </w:t>
      </w:r>
      <w:proofErr w:type="spellStart"/>
      <w:r>
        <w:t>Степихова</w:t>
      </w:r>
      <w:proofErr w:type="spellEnd"/>
      <w:r w:rsidRPr="00696E25">
        <w:t xml:space="preserve">. – </w:t>
      </w:r>
      <w:r>
        <w:t>Нижний Новгород., 2006</w:t>
      </w:r>
      <w:r w:rsidRPr="00696E25">
        <w:t xml:space="preserve">. – </w:t>
      </w:r>
      <w:r>
        <w:t>144</w:t>
      </w:r>
      <w:r w:rsidRPr="00696E25">
        <w:t xml:space="preserve"> л.</w:t>
      </w:r>
    </w:p>
  </w:endnote>
  <w:endnote w:id="4">
    <w:p w14:paraId="22C98565" w14:textId="77777777" w:rsidR="00806622" w:rsidRPr="00F3158B" w:rsidRDefault="00806622" w:rsidP="00806622">
      <w:pPr>
        <w:spacing w:line="312" w:lineRule="auto"/>
      </w:pPr>
      <w:r w:rsidRPr="007F04B9">
        <w:t>[</w:t>
      </w:r>
      <w:r w:rsidRPr="00C606BE">
        <w:rPr>
          <w:rStyle w:val="EndnoteReference"/>
        </w:rPr>
        <w:endnoteRef/>
      </w:r>
      <w:r>
        <w:t>]</w:t>
      </w:r>
      <w:r w:rsidRPr="007F04B9">
        <w:t xml:space="preserve"> </w:t>
      </w:r>
      <w:r w:rsidRPr="00C606BE">
        <w:t>Каминский</w:t>
      </w:r>
      <w:r w:rsidRPr="009A1357">
        <w:t xml:space="preserve"> </w:t>
      </w:r>
      <w:r w:rsidRPr="00C606BE">
        <w:t>А</w:t>
      </w:r>
      <w:r w:rsidRPr="009A1357">
        <w:t>.</w:t>
      </w:r>
      <w:r w:rsidRPr="00C606BE">
        <w:t>А</w:t>
      </w:r>
      <w:r w:rsidRPr="009A1357">
        <w:t xml:space="preserve">. </w:t>
      </w:r>
      <w:r w:rsidRPr="00C606BE">
        <w:t>Лазерные</w:t>
      </w:r>
      <w:r w:rsidRPr="009A1357">
        <w:t xml:space="preserve"> </w:t>
      </w:r>
      <w:r w:rsidRPr="00C606BE">
        <w:t>кристаллы</w:t>
      </w:r>
      <w:r>
        <w:t xml:space="preserve"> </w:t>
      </w:r>
      <w:r w:rsidRPr="009A1357">
        <w:t>/ А</w:t>
      </w:r>
      <w:r>
        <w:t xml:space="preserve">.А. Каминский // </w:t>
      </w:r>
      <w:r w:rsidRPr="00C606BE">
        <w:t>М</w:t>
      </w:r>
      <w:r w:rsidRPr="009A1357">
        <w:t xml:space="preserve">.: </w:t>
      </w:r>
      <w:r w:rsidRPr="00C606BE">
        <w:t>Наука</w:t>
      </w:r>
      <w:r w:rsidRPr="009A1357">
        <w:t>.</w:t>
      </w:r>
      <w:r>
        <w:rPr>
          <w:lang w:val="en-US"/>
        </w:rPr>
        <w:t> </w:t>
      </w:r>
      <w:r w:rsidRPr="00F3158B">
        <w:t xml:space="preserve">– 1975. – 256 </w:t>
      </w:r>
      <w:r>
        <w:rPr>
          <w:lang w:val="en-US"/>
        </w:rPr>
        <w:t>c</w:t>
      </w:r>
      <w:r w:rsidRPr="00F3158B">
        <w:t>.</w:t>
      </w:r>
    </w:p>
  </w:endnote>
  <w:endnote w:id="5">
    <w:p w14:paraId="280F2825" w14:textId="77777777" w:rsidR="00806622" w:rsidRPr="00C606BE" w:rsidRDefault="00806622" w:rsidP="00806622">
      <w:pPr>
        <w:spacing w:line="312" w:lineRule="auto"/>
        <w:rPr>
          <w:lang w:val="en-US"/>
        </w:rPr>
      </w:pPr>
      <w:r>
        <w:rPr>
          <w:lang w:val="en-US"/>
        </w:rPr>
        <w:t>[</w:t>
      </w:r>
      <w:r w:rsidRPr="00C606BE">
        <w:rPr>
          <w:rStyle w:val="EndnoteReference"/>
        </w:rPr>
        <w:endnoteRef/>
      </w:r>
      <w:r>
        <w:rPr>
          <w:lang w:val="en-US"/>
        </w:rPr>
        <w:t>]</w:t>
      </w:r>
      <w:r w:rsidRPr="00C606BE">
        <w:rPr>
          <w:lang w:val="en-US"/>
        </w:rPr>
        <w:t xml:space="preserve"> </w:t>
      </w:r>
      <w:proofErr w:type="spellStart"/>
      <w:r w:rsidRPr="00E5735F">
        <w:rPr>
          <w:spacing w:val="-4"/>
          <w:lang w:val="en-US"/>
        </w:rPr>
        <w:t>Miniscalco</w:t>
      </w:r>
      <w:proofErr w:type="spellEnd"/>
      <w:r w:rsidRPr="00E5735F">
        <w:rPr>
          <w:spacing w:val="-4"/>
          <w:lang w:val="en-US"/>
        </w:rPr>
        <w:t xml:space="preserve"> W.J. Erbium-doped glasses for fiber amplifiers at 1500 nm / W.J. </w:t>
      </w:r>
      <w:proofErr w:type="spellStart"/>
      <w:r w:rsidRPr="00E5735F">
        <w:rPr>
          <w:spacing w:val="-4"/>
          <w:lang w:val="en-US"/>
        </w:rPr>
        <w:t>Miniscalco</w:t>
      </w:r>
      <w:proofErr w:type="spellEnd"/>
      <w:r w:rsidRPr="00E5735F">
        <w:rPr>
          <w:spacing w:val="-4"/>
          <w:lang w:val="en-US"/>
        </w:rPr>
        <w:t xml:space="preserve"> // Journal of Lightwave Technology. – 1991. – Vol. 9. – P. 234-250. </w:t>
      </w:r>
    </w:p>
  </w:endnote>
  <w:endnote w:id="6">
    <w:p w14:paraId="6883CC9C" w14:textId="77777777" w:rsidR="00806622" w:rsidRPr="00E5735F" w:rsidRDefault="00806622" w:rsidP="00806622">
      <w:pPr>
        <w:spacing w:line="312" w:lineRule="auto"/>
      </w:pPr>
      <w:r>
        <w:rPr>
          <w:lang w:val="en-US"/>
        </w:rPr>
        <w:t>[</w:t>
      </w:r>
      <w:r w:rsidRPr="00C606BE">
        <w:rPr>
          <w:rStyle w:val="EndnoteReference"/>
        </w:rPr>
        <w:endnoteRef/>
      </w:r>
      <w:r>
        <w:rPr>
          <w:lang w:val="en-US"/>
        </w:rPr>
        <w:t>]</w:t>
      </w:r>
      <w:r w:rsidRPr="00E5735F">
        <w:rPr>
          <w:lang w:val="en-US"/>
        </w:rPr>
        <w:t xml:space="preserve"> </w:t>
      </w:r>
      <w:proofErr w:type="spellStart"/>
      <w:r w:rsidRPr="00C606BE">
        <w:rPr>
          <w:lang w:val="en-US"/>
        </w:rPr>
        <w:t>Tünnermann</w:t>
      </w:r>
      <w:proofErr w:type="spellEnd"/>
      <w:r w:rsidRPr="00E5735F">
        <w:rPr>
          <w:lang w:val="en-US"/>
        </w:rPr>
        <w:t>,</w:t>
      </w:r>
      <w:r w:rsidRPr="00C606BE">
        <w:rPr>
          <w:lang w:val="en-US"/>
        </w:rPr>
        <w:t xml:space="preserve"> A.</w:t>
      </w:r>
      <w:r w:rsidRPr="00E5735F">
        <w:rPr>
          <w:lang w:val="en-US"/>
        </w:rPr>
        <w:t xml:space="preserve"> </w:t>
      </w:r>
      <w:proofErr w:type="spellStart"/>
      <w:r w:rsidRPr="00C606BE">
        <w:rPr>
          <w:lang w:val="en-US"/>
        </w:rPr>
        <w:t>Lasersstrahlquellen</w:t>
      </w:r>
      <w:proofErr w:type="spellEnd"/>
      <w:r w:rsidRPr="00C606BE">
        <w:rPr>
          <w:lang w:val="en-US"/>
        </w:rPr>
        <w:t xml:space="preserve"> </w:t>
      </w:r>
      <w:proofErr w:type="spellStart"/>
      <w:r w:rsidRPr="00C606BE">
        <w:rPr>
          <w:lang w:val="en-US"/>
        </w:rPr>
        <w:t>mit</w:t>
      </w:r>
      <w:proofErr w:type="spellEnd"/>
      <w:r w:rsidRPr="00C606BE">
        <w:rPr>
          <w:lang w:val="en-US"/>
        </w:rPr>
        <w:t xml:space="preserve"> </w:t>
      </w:r>
      <w:proofErr w:type="spellStart"/>
      <w:r w:rsidRPr="00C606BE">
        <w:rPr>
          <w:lang w:val="en-US"/>
        </w:rPr>
        <w:t>Emissionen</w:t>
      </w:r>
      <w:proofErr w:type="spellEnd"/>
      <w:r w:rsidRPr="00C606BE">
        <w:rPr>
          <w:lang w:val="en-US"/>
        </w:rPr>
        <w:t xml:space="preserve"> </w:t>
      </w:r>
      <w:proofErr w:type="spellStart"/>
      <w:r w:rsidRPr="00C606BE">
        <w:rPr>
          <w:lang w:val="en-US"/>
        </w:rPr>
        <w:t>im</w:t>
      </w:r>
      <w:proofErr w:type="spellEnd"/>
      <w:r w:rsidRPr="00C606BE">
        <w:rPr>
          <w:lang w:val="en-US"/>
        </w:rPr>
        <w:t xml:space="preserve"> </w:t>
      </w:r>
      <w:proofErr w:type="spellStart"/>
      <w:r w:rsidRPr="00C606BE">
        <w:rPr>
          <w:lang w:val="en-US"/>
        </w:rPr>
        <w:t>sichtbaren</w:t>
      </w:r>
      <w:proofErr w:type="spellEnd"/>
      <w:r w:rsidRPr="00C606BE">
        <w:rPr>
          <w:lang w:val="en-US"/>
        </w:rPr>
        <w:t xml:space="preserve"> </w:t>
      </w:r>
      <w:proofErr w:type="spellStart"/>
      <w:r w:rsidRPr="00C606BE">
        <w:rPr>
          <w:lang w:val="en-US"/>
        </w:rPr>
        <w:t>Spektralbereich</w:t>
      </w:r>
      <w:proofErr w:type="spellEnd"/>
      <w:r w:rsidRPr="00C606BE">
        <w:rPr>
          <w:lang w:val="en-US"/>
        </w:rPr>
        <w:t xml:space="preserve"> </w:t>
      </w:r>
      <w:r w:rsidRPr="00E5735F">
        <w:rPr>
          <w:lang w:val="en-US"/>
        </w:rPr>
        <w:t xml:space="preserve">/ </w:t>
      </w:r>
      <w:r w:rsidRPr="00C606BE">
        <w:rPr>
          <w:lang w:val="en-US"/>
        </w:rPr>
        <w:t>A.</w:t>
      </w:r>
      <w:r w:rsidRPr="00E5735F">
        <w:rPr>
          <w:lang w:val="en-US"/>
        </w:rPr>
        <w:t> </w:t>
      </w:r>
      <w:proofErr w:type="spellStart"/>
      <w:r w:rsidRPr="00C606BE">
        <w:rPr>
          <w:lang w:val="en-US"/>
        </w:rPr>
        <w:t>Tünnermann</w:t>
      </w:r>
      <w:proofErr w:type="spellEnd"/>
      <w:r w:rsidRPr="00C606BE">
        <w:rPr>
          <w:lang w:val="en-US"/>
        </w:rPr>
        <w:t>, H.</w:t>
      </w:r>
      <w:r w:rsidRPr="00E5735F">
        <w:rPr>
          <w:lang w:val="en-US"/>
        </w:rPr>
        <w:t> </w:t>
      </w:r>
      <w:proofErr w:type="spellStart"/>
      <w:r w:rsidRPr="00C606BE">
        <w:rPr>
          <w:lang w:val="en-US"/>
        </w:rPr>
        <w:t>Zellmer</w:t>
      </w:r>
      <w:proofErr w:type="spellEnd"/>
      <w:r w:rsidRPr="00C606BE">
        <w:rPr>
          <w:lang w:val="en-US"/>
        </w:rPr>
        <w:t>, H.</w:t>
      </w:r>
      <w:r w:rsidRPr="00E5735F">
        <w:rPr>
          <w:lang w:val="en-US"/>
        </w:rPr>
        <w:t> </w:t>
      </w:r>
      <w:r w:rsidRPr="00C606BE">
        <w:rPr>
          <w:lang w:val="en-US"/>
        </w:rPr>
        <w:t xml:space="preserve">Welling </w:t>
      </w:r>
      <w:r w:rsidRPr="00E5735F">
        <w:rPr>
          <w:lang w:val="en-US"/>
        </w:rPr>
        <w:t xml:space="preserve">// </w:t>
      </w:r>
      <w:proofErr w:type="spellStart"/>
      <w:r>
        <w:rPr>
          <w:lang w:val="en-US"/>
        </w:rPr>
        <w:t>Faserlaser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Neuartige</w:t>
      </w:r>
      <w:proofErr w:type="spellEnd"/>
      <w:r w:rsidRPr="00E5735F">
        <w:t xml:space="preserve"> </w:t>
      </w:r>
      <w:r w:rsidRPr="00C606BE">
        <w:rPr>
          <w:lang w:val="en-US"/>
        </w:rPr>
        <w:t>Phys</w:t>
      </w:r>
      <w:proofErr w:type="spellStart"/>
      <w:r>
        <w:t>ics</w:t>
      </w:r>
      <w:proofErr w:type="spellEnd"/>
      <w:r w:rsidRPr="00E5735F">
        <w:t xml:space="preserve">. </w:t>
      </w:r>
      <w:r w:rsidRPr="00C606BE">
        <w:rPr>
          <w:lang w:val="en-US"/>
        </w:rPr>
        <w:t>Bl</w:t>
      </w:r>
      <w:r w:rsidRPr="00E5735F">
        <w:t xml:space="preserve">. </w:t>
      </w:r>
      <w:r>
        <w:t>–</w:t>
      </w:r>
      <w:r w:rsidRPr="0035008B">
        <w:t xml:space="preserve"> </w:t>
      </w:r>
      <w:r w:rsidRPr="00E5735F">
        <w:t>1996.</w:t>
      </w:r>
      <w:r w:rsidRPr="0035008B">
        <w:t xml:space="preserve"> – </w:t>
      </w:r>
      <w:r>
        <w:rPr>
          <w:lang w:val="en-US"/>
        </w:rPr>
        <w:t>Vol</w:t>
      </w:r>
      <w:r w:rsidRPr="00E5735F">
        <w:t>.</w:t>
      </w:r>
      <w:r>
        <w:rPr>
          <w:lang w:val="en-US"/>
        </w:rPr>
        <w:t> </w:t>
      </w:r>
      <w:r w:rsidRPr="00E5735F">
        <w:t xml:space="preserve">52. </w:t>
      </w:r>
      <w:r w:rsidRPr="00C606BE">
        <w:rPr>
          <w:lang w:val="en-US"/>
        </w:rPr>
        <w:t>Nr</w:t>
      </w:r>
      <w:r w:rsidRPr="00E5735F">
        <w:t xml:space="preserve">.11. </w:t>
      </w:r>
      <w:r w:rsidRPr="00C606BE">
        <w:rPr>
          <w:lang w:val="en-US"/>
        </w:rPr>
        <w:t>P</w:t>
      </w:r>
      <w:r w:rsidRPr="00E5735F">
        <w:t>.1123.</w:t>
      </w:r>
    </w:p>
  </w:endnote>
  <w:endnote w:id="7">
    <w:p w14:paraId="234D6D37" w14:textId="77777777" w:rsidR="00806622" w:rsidRPr="00C606BE" w:rsidRDefault="00806622" w:rsidP="00806622">
      <w:pPr>
        <w:spacing w:line="312" w:lineRule="auto"/>
      </w:pPr>
      <w:r w:rsidRPr="007F04B9">
        <w:t>[</w:t>
      </w:r>
      <w:r w:rsidRPr="007F212B">
        <w:endnoteRef/>
      </w:r>
      <w:r>
        <w:t>]</w:t>
      </w:r>
      <w:r w:rsidRPr="007F212B">
        <w:rPr>
          <w:lang w:val="en-US"/>
        </w:rPr>
        <w:t> </w:t>
      </w:r>
      <w:r w:rsidRPr="007F212B">
        <w:t>Гапоненко, Н.В</w:t>
      </w:r>
      <w:r w:rsidRPr="00E5735F">
        <w:t xml:space="preserve">. </w:t>
      </w:r>
      <w:r w:rsidRPr="00C606BE">
        <w:t>Пленки</w:t>
      </w:r>
      <w:r w:rsidRPr="00E5735F">
        <w:t xml:space="preserve">, </w:t>
      </w:r>
      <w:r w:rsidRPr="00C606BE">
        <w:t>сформированные</w:t>
      </w:r>
      <w:r w:rsidRPr="00E5735F">
        <w:t xml:space="preserve"> </w:t>
      </w:r>
      <w:r w:rsidRPr="00C606BE">
        <w:t>золь</w:t>
      </w:r>
      <w:r w:rsidRPr="00E5735F">
        <w:t>-</w:t>
      </w:r>
      <w:r w:rsidRPr="00C606BE">
        <w:t>гель</w:t>
      </w:r>
      <w:r w:rsidRPr="00E5735F">
        <w:t xml:space="preserve"> </w:t>
      </w:r>
      <w:r w:rsidRPr="00C606BE">
        <w:t>методом</w:t>
      </w:r>
      <w:r w:rsidRPr="00E5735F">
        <w:t xml:space="preserve"> </w:t>
      </w:r>
      <w:r w:rsidRPr="00C606BE">
        <w:t>на</w:t>
      </w:r>
      <w:r w:rsidRPr="00E5735F">
        <w:t xml:space="preserve"> </w:t>
      </w:r>
      <w:r w:rsidRPr="00C606BE">
        <w:t>полупроводниках</w:t>
      </w:r>
      <w:r w:rsidRPr="00E5735F">
        <w:t xml:space="preserve"> </w:t>
      </w:r>
      <w:r w:rsidRPr="00C606BE">
        <w:t>и</w:t>
      </w:r>
      <w:r w:rsidRPr="00E5735F">
        <w:t xml:space="preserve"> </w:t>
      </w:r>
      <w:r w:rsidRPr="00C606BE">
        <w:t>в</w:t>
      </w:r>
      <w:r w:rsidRPr="00E5735F">
        <w:t xml:space="preserve"> </w:t>
      </w:r>
      <w:proofErr w:type="spellStart"/>
      <w:r w:rsidRPr="00C606BE">
        <w:t>мезопористых</w:t>
      </w:r>
      <w:proofErr w:type="spellEnd"/>
      <w:r w:rsidRPr="00E5735F">
        <w:t xml:space="preserve"> </w:t>
      </w:r>
      <w:r w:rsidRPr="00C606BE">
        <w:t>матрицах</w:t>
      </w:r>
      <w:r>
        <w:t xml:space="preserve"> / </w:t>
      </w:r>
      <w:r w:rsidRPr="00C606BE">
        <w:t>Н</w:t>
      </w:r>
      <w:r w:rsidRPr="00E5735F">
        <w:t>.</w:t>
      </w:r>
      <w:r w:rsidRPr="00C606BE">
        <w:t>В</w:t>
      </w:r>
      <w:r w:rsidRPr="00E5735F">
        <w:t>.</w:t>
      </w:r>
      <w:r w:rsidRPr="00E5735F">
        <w:rPr>
          <w:lang w:val="en-US"/>
        </w:rPr>
        <w:t> </w:t>
      </w:r>
      <w:r w:rsidRPr="00C606BE">
        <w:t>Гапоненко</w:t>
      </w:r>
      <w:r>
        <w:t xml:space="preserve"> //</w:t>
      </w:r>
      <w:r w:rsidRPr="00E5735F">
        <w:t xml:space="preserve"> </w:t>
      </w:r>
      <w:proofErr w:type="spellStart"/>
      <w:r w:rsidRPr="00C606BE">
        <w:t>Беларуская</w:t>
      </w:r>
      <w:proofErr w:type="spellEnd"/>
      <w:r w:rsidRPr="00C606BE">
        <w:t xml:space="preserve"> </w:t>
      </w:r>
      <w:proofErr w:type="spellStart"/>
      <w:r w:rsidRPr="00C606BE">
        <w:t>навука</w:t>
      </w:r>
      <w:proofErr w:type="spellEnd"/>
      <w:r>
        <w:t>.: Мн. – 2003. –</w:t>
      </w:r>
      <w:r w:rsidRPr="00C606BE">
        <w:t xml:space="preserve"> 136 с. </w:t>
      </w:r>
    </w:p>
  </w:endnote>
  <w:endnote w:id="8">
    <w:p w14:paraId="6C63AA13" w14:textId="77777777" w:rsidR="00806622" w:rsidRPr="00C606BE" w:rsidRDefault="00806622" w:rsidP="00806622">
      <w:pPr>
        <w:spacing w:line="312" w:lineRule="auto"/>
      </w:pPr>
      <w:r w:rsidRPr="007F04B9">
        <w:t>[</w:t>
      </w:r>
      <w:r w:rsidRPr="00C606BE">
        <w:rPr>
          <w:rStyle w:val="EndnoteReference"/>
        </w:rPr>
        <w:endnoteRef/>
      </w:r>
      <w:r>
        <w:t>]</w:t>
      </w:r>
      <w:r>
        <w:rPr>
          <w:lang w:val="en-US"/>
        </w:rPr>
        <w:t> </w:t>
      </w:r>
      <w:r w:rsidRPr="00C606BE">
        <w:t>Матричный преобразователь ионизирующего излучения (варианты): патент РФ на полезную модель № 115506 / И.А. Николаенко, С.В. Звонарев, В.А. </w:t>
      </w:r>
      <w:proofErr w:type="spellStart"/>
      <w:r w:rsidRPr="00C606BE">
        <w:t>Пустоваров</w:t>
      </w:r>
      <w:proofErr w:type="spellEnd"/>
      <w:r w:rsidRPr="00C606BE">
        <w:t xml:space="preserve">, М.В. Руденко, В.С. Кортов, Н.В. Гапоненко, заявитель − Федеральное государственное автономное образовательное учреждение высшего профессионального образования "Уральский федеральный университет имени первого Президента России Б.Н. Ельцина", заявл.01.12.2011; </w:t>
      </w:r>
      <w:proofErr w:type="spellStart"/>
      <w:r w:rsidRPr="00C606BE">
        <w:t>опубл</w:t>
      </w:r>
      <w:proofErr w:type="spellEnd"/>
      <w:r w:rsidRPr="00C606BE">
        <w:t>. 27.04.2012.</w:t>
      </w:r>
    </w:p>
  </w:endnote>
  <w:endnote w:id="9">
    <w:p w14:paraId="4680859A" w14:textId="77777777" w:rsidR="00806622" w:rsidRPr="00C606BE" w:rsidRDefault="00806622" w:rsidP="00806622">
      <w:pPr>
        <w:spacing w:line="312" w:lineRule="auto"/>
      </w:pPr>
      <w:r w:rsidRPr="007F04B9">
        <w:t>[</w:t>
      </w:r>
      <w:r w:rsidRPr="00C606BE">
        <w:rPr>
          <w:rStyle w:val="EndnoteReference"/>
        </w:rPr>
        <w:endnoteRef/>
      </w:r>
      <w:r w:rsidRPr="007F04B9">
        <w:t>]</w:t>
      </w:r>
      <w:r>
        <w:rPr>
          <w:lang w:val="en-US"/>
        </w:rPr>
        <w:t> </w:t>
      </w:r>
      <w:r w:rsidRPr="00C606BE">
        <w:t xml:space="preserve">Преобразователь ионизирующего излучения: патент РФ на полезную модель 149869 </w:t>
      </w:r>
      <w:r w:rsidRPr="00C606BE">
        <w:rPr>
          <w:bCs/>
        </w:rPr>
        <w:t>/</w:t>
      </w:r>
      <w:r w:rsidRPr="00C606BE">
        <w:t xml:space="preserve"> В.С. Кортов, Л.С. Хорошко, Н.В. Гапоненко., заявитель Федеральное государственное автономное образовательное учреждение высшего профессионального образования "Уральский федеральный университет имени первого Президента России Б.Н. Ельцина", заявка </w:t>
      </w:r>
      <w:r w:rsidRPr="00C606BE">
        <w:rPr>
          <w:bCs/>
        </w:rPr>
        <w:t>№ 2014135433/</w:t>
      </w:r>
      <w:proofErr w:type="gramStart"/>
      <w:r w:rsidRPr="00C606BE">
        <w:rPr>
          <w:bCs/>
        </w:rPr>
        <w:t>28 ;</w:t>
      </w:r>
      <w:proofErr w:type="gramEnd"/>
      <w:r w:rsidRPr="00C606BE">
        <w:rPr>
          <w:bCs/>
        </w:rPr>
        <w:t xml:space="preserve"> </w:t>
      </w:r>
      <w:proofErr w:type="spellStart"/>
      <w:r w:rsidRPr="00C606BE">
        <w:t>заявл</w:t>
      </w:r>
      <w:proofErr w:type="spellEnd"/>
      <w:r w:rsidRPr="00C606BE">
        <w:t xml:space="preserve">. </w:t>
      </w:r>
      <w:proofErr w:type="gramStart"/>
      <w:r w:rsidRPr="00C606BE">
        <w:t>29.08.14</w:t>
      </w:r>
      <w:r w:rsidRPr="00C606BE">
        <w:rPr>
          <w:bCs/>
        </w:rPr>
        <w:t xml:space="preserve"> ;</w:t>
      </w:r>
      <w:proofErr w:type="gramEnd"/>
      <w:r w:rsidRPr="00C606BE">
        <w:rPr>
          <w:bCs/>
        </w:rPr>
        <w:t xml:space="preserve"> </w:t>
      </w:r>
      <w:proofErr w:type="spellStart"/>
      <w:r w:rsidRPr="00C606BE">
        <w:rPr>
          <w:bCs/>
        </w:rPr>
        <w:t>опубл</w:t>
      </w:r>
      <w:proofErr w:type="spellEnd"/>
      <w:r w:rsidRPr="00C606BE">
        <w:rPr>
          <w:bCs/>
        </w:rPr>
        <w:t xml:space="preserve">. 20.01.2015 // Офиц. </w:t>
      </w:r>
      <w:proofErr w:type="spellStart"/>
      <w:r w:rsidRPr="00C606BE">
        <w:rPr>
          <w:bCs/>
        </w:rPr>
        <w:t>бюлл</w:t>
      </w:r>
      <w:proofErr w:type="spellEnd"/>
      <w:r w:rsidRPr="00C606BE">
        <w:rPr>
          <w:bCs/>
        </w:rPr>
        <w:t>.</w:t>
      </w:r>
      <w:r w:rsidRPr="007F04B9">
        <w:rPr>
          <w:bCs/>
        </w:rPr>
        <w:t xml:space="preserve"> </w:t>
      </w:r>
      <w:r w:rsidRPr="00C606BE">
        <w:rPr>
          <w:bCs/>
        </w:rPr>
        <w:t>Федеральной службы по интеллектуальной собственности (РОСПАТЕНТ) / ФИПС Москва, №2 (2015)</w:t>
      </w:r>
      <w:r w:rsidRPr="007F04B9">
        <w:rPr>
          <w:bCs/>
        </w:rPr>
        <w:t xml:space="preserve">. </w:t>
      </w:r>
      <w:r>
        <w:rPr>
          <w:bCs/>
        </w:rPr>
        <w:t>–</w:t>
      </w:r>
      <w:r w:rsidRPr="00C606BE">
        <w:rPr>
          <w:bCs/>
        </w:rPr>
        <w:t xml:space="preserve"> 149869</w:t>
      </w:r>
    </w:p>
  </w:endnote>
  <w:endnote w:id="10">
    <w:p w14:paraId="4B923199" w14:textId="77777777" w:rsidR="00806622" w:rsidRPr="00C606BE" w:rsidRDefault="00806622" w:rsidP="00806622">
      <w:pPr>
        <w:spacing w:line="312" w:lineRule="auto"/>
        <w:rPr>
          <w:lang w:val="en-US"/>
        </w:rPr>
      </w:pPr>
      <w:r w:rsidRPr="007F04B9">
        <w:rPr>
          <w:lang w:val="en-US"/>
        </w:rPr>
        <w:t>[</w:t>
      </w:r>
      <w:r w:rsidRPr="00C606BE">
        <w:rPr>
          <w:rStyle w:val="EndnoteReference"/>
        </w:rPr>
        <w:endnoteRef/>
      </w:r>
      <w:r>
        <w:rPr>
          <w:lang w:val="en-US"/>
        </w:rPr>
        <w:t>] </w:t>
      </w:r>
      <w:proofErr w:type="spellStart"/>
      <w:r>
        <w:rPr>
          <w:lang w:val="en-US"/>
        </w:rPr>
        <w:t>Gaponenko</w:t>
      </w:r>
      <w:proofErr w:type="spellEnd"/>
      <w:r>
        <w:rPr>
          <w:lang w:val="en-US"/>
        </w:rPr>
        <w:t>, N</w:t>
      </w:r>
      <w:r w:rsidRPr="007F04B9">
        <w:rPr>
          <w:lang w:val="en-US"/>
        </w:rPr>
        <w:t>.</w:t>
      </w:r>
      <w:r>
        <w:rPr>
          <w:lang w:val="en-US"/>
        </w:rPr>
        <w:t>V</w:t>
      </w:r>
      <w:r w:rsidRPr="007F04B9">
        <w:rPr>
          <w:lang w:val="en-US"/>
        </w:rPr>
        <w:t xml:space="preserve">. </w:t>
      </w:r>
      <w:r w:rsidRPr="00671B88">
        <w:rPr>
          <w:lang w:val="en-US"/>
        </w:rPr>
        <w:t>Inhomogeneous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nanostructured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honeycomb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optical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media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for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enhanced</w:t>
      </w:r>
      <w:r w:rsidRPr="007F04B9">
        <w:rPr>
          <w:lang w:val="en-US"/>
        </w:rPr>
        <w:t xml:space="preserve"> </w:t>
      </w:r>
      <w:proofErr w:type="spellStart"/>
      <w:r w:rsidRPr="00671B88">
        <w:rPr>
          <w:lang w:val="en-US"/>
        </w:rPr>
        <w:t>cathodo</w:t>
      </w:r>
      <w:proofErr w:type="spellEnd"/>
      <w:r w:rsidRPr="007F04B9">
        <w:rPr>
          <w:lang w:val="en-US"/>
        </w:rPr>
        <w:t xml:space="preserve">- </w:t>
      </w:r>
      <w:r w:rsidRPr="00671B88">
        <w:rPr>
          <w:lang w:val="en-US"/>
        </w:rPr>
        <w:t>and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under</w:t>
      </w:r>
      <w:r w:rsidRPr="007F04B9">
        <w:rPr>
          <w:lang w:val="en-US"/>
        </w:rPr>
        <w:t>-</w:t>
      </w:r>
      <w:r w:rsidRPr="00671B88">
        <w:rPr>
          <w:lang w:val="en-US"/>
        </w:rPr>
        <w:t>x</w:t>
      </w:r>
      <w:r w:rsidRPr="007F04B9">
        <w:rPr>
          <w:lang w:val="en-US"/>
        </w:rPr>
        <w:t>-</w:t>
      </w:r>
      <w:r w:rsidRPr="00671B88">
        <w:rPr>
          <w:lang w:val="en-US"/>
        </w:rPr>
        <w:t>ray</w:t>
      </w:r>
      <w:r w:rsidRPr="007F04B9">
        <w:rPr>
          <w:lang w:val="en-US"/>
        </w:rPr>
        <w:t xml:space="preserve"> </w:t>
      </w:r>
      <w:r w:rsidRPr="00671B88">
        <w:rPr>
          <w:lang w:val="en-US"/>
        </w:rPr>
        <w:t>luminescence</w:t>
      </w:r>
      <w:r w:rsidRPr="007F04B9">
        <w:rPr>
          <w:lang w:val="en-US"/>
        </w:rPr>
        <w:t xml:space="preserve"> / </w:t>
      </w:r>
      <w:r w:rsidRPr="00671B88">
        <w:rPr>
          <w:lang w:val="en-US"/>
        </w:rPr>
        <w:t>N</w:t>
      </w:r>
      <w:r w:rsidRPr="007F04B9">
        <w:rPr>
          <w:lang w:val="en-US"/>
        </w:rPr>
        <w:t>.</w:t>
      </w:r>
      <w:r w:rsidRPr="00671B88">
        <w:rPr>
          <w:lang w:val="en-US"/>
        </w:rPr>
        <w:t>V</w:t>
      </w:r>
      <w:r w:rsidRPr="007F04B9">
        <w:rPr>
          <w:lang w:val="en-US"/>
        </w:rPr>
        <w:t>.</w:t>
      </w:r>
      <w:r w:rsidRPr="00671B88">
        <w:rPr>
          <w:lang w:val="en-US"/>
        </w:rPr>
        <w:t> </w:t>
      </w:r>
      <w:proofErr w:type="spellStart"/>
      <w:r w:rsidRPr="00671B88">
        <w:rPr>
          <w:lang w:val="en-US"/>
        </w:rPr>
        <w:t>Gaponenko</w:t>
      </w:r>
      <w:proofErr w:type="spellEnd"/>
      <w:r w:rsidRPr="00671B88">
        <w:rPr>
          <w:lang w:val="en-US"/>
        </w:rPr>
        <w:t>, V.S. </w:t>
      </w:r>
      <w:proofErr w:type="spellStart"/>
      <w:r w:rsidRPr="00671B88">
        <w:rPr>
          <w:lang w:val="en-US"/>
        </w:rPr>
        <w:t>Kortov</w:t>
      </w:r>
      <w:proofErr w:type="spellEnd"/>
      <w:r w:rsidRPr="00671B88">
        <w:rPr>
          <w:lang w:val="en-US"/>
        </w:rPr>
        <w:t>, M.V. Rudenko, V.A. </w:t>
      </w:r>
      <w:proofErr w:type="spellStart"/>
      <w:r w:rsidRPr="00671B88">
        <w:rPr>
          <w:lang w:val="en-US"/>
        </w:rPr>
        <w:t>Pustovarov</w:t>
      </w:r>
      <w:proofErr w:type="spellEnd"/>
      <w:r w:rsidRPr="00671B88">
        <w:rPr>
          <w:lang w:val="en-US"/>
        </w:rPr>
        <w:t>, S.V. </w:t>
      </w:r>
      <w:proofErr w:type="spellStart"/>
      <w:r w:rsidRPr="00671B88">
        <w:rPr>
          <w:lang w:val="en-US"/>
        </w:rPr>
        <w:t>Zvonarev</w:t>
      </w:r>
      <w:proofErr w:type="spellEnd"/>
      <w:r w:rsidRPr="00671B88">
        <w:rPr>
          <w:lang w:val="en-US"/>
        </w:rPr>
        <w:t>, A.I. </w:t>
      </w:r>
      <w:proofErr w:type="spellStart"/>
      <w:r w:rsidRPr="00671B88">
        <w:rPr>
          <w:lang w:val="en-US"/>
        </w:rPr>
        <w:t>Slesarev</w:t>
      </w:r>
      <w:proofErr w:type="spellEnd"/>
      <w:r w:rsidRPr="00671B88">
        <w:rPr>
          <w:lang w:val="en-US"/>
        </w:rPr>
        <w:t>, I.S. </w:t>
      </w:r>
      <w:proofErr w:type="spellStart"/>
      <w:r w:rsidRPr="00671B88">
        <w:rPr>
          <w:lang w:val="en-US"/>
        </w:rPr>
        <w:t>Molchan</w:t>
      </w:r>
      <w:proofErr w:type="spellEnd"/>
      <w:r w:rsidRPr="00671B88">
        <w:rPr>
          <w:lang w:val="en-US"/>
        </w:rPr>
        <w:t xml:space="preserve">, G.E. Thompson, L.S. Khoroshko, </w:t>
      </w:r>
      <w:proofErr w:type="spellStart"/>
      <w:r w:rsidRPr="00671B88">
        <w:rPr>
          <w:lang w:val="en-US"/>
        </w:rPr>
        <w:t>S.Ya</w:t>
      </w:r>
      <w:proofErr w:type="spellEnd"/>
      <w:r w:rsidRPr="00671B88">
        <w:rPr>
          <w:lang w:val="en-US"/>
        </w:rPr>
        <w:t>. </w:t>
      </w:r>
      <w:proofErr w:type="spellStart"/>
      <w:r w:rsidRPr="00671B88">
        <w:rPr>
          <w:lang w:val="en-US"/>
        </w:rPr>
        <w:t>Prislopskii</w:t>
      </w:r>
      <w:proofErr w:type="spellEnd"/>
      <w:r w:rsidRPr="00671B88">
        <w:rPr>
          <w:lang w:val="en-US"/>
        </w:rPr>
        <w:t xml:space="preserve"> // Journal of applied </w:t>
      </w:r>
      <w:proofErr w:type="gramStart"/>
      <w:r w:rsidRPr="00671B88">
        <w:rPr>
          <w:lang w:val="en-US"/>
        </w:rPr>
        <w:t>physics.—</w:t>
      </w:r>
      <w:proofErr w:type="gramEnd"/>
      <w:r w:rsidRPr="00671B88">
        <w:rPr>
          <w:lang w:val="en-US"/>
        </w:rPr>
        <w:t>2012. – N 111. – P. 103101</w:t>
      </w:r>
      <w:r>
        <w:rPr>
          <w:lang w:val="en-US"/>
        </w:rPr>
        <w:t>-1–103101-6.</w:t>
      </w:r>
    </w:p>
  </w:endnote>
  <w:endnote w:id="11">
    <w:p w14:paraId="42858D74" w14:textId="77777777" w:rsidR="00806622" w:rsidRPr="00C606BE" w:rsidRDefault="00806622" w:rsidP="00806622">
      <w:pPr>
        <w:spacing w:line="312" w:lineRule="auto"/>
        <w:rPr>
          <w:lang w:val="en-US"/>
        </w:rPr>
      </w:pPr>
      <w:r>
        <w:rPr>
          <w:lang w:val="en-US"/>
        </w:rPr>
        <w:t>[</w:t>
      </w:r>
      <w:r w:rsidRPr="00C606BE">
        <w:rPr>
          <w:rStyle w:val="EndnoteReference"/>
        </w:rPr>
        <w:endnoteRef/>
      </w:r>
      <w:r>
        <w:rPr>
          <w:lang w:val="en-US"/>
        </w:rPr>
        <w:t>] </w:t>
      </w:r>
      <w:proofErr w:type="spellStart"/>
      <w:r>
        <w:rPr>
          <w:lang w:val="en-US"/>
        </w:rPr>
        <w:t>Lutich</w:t>
      </w:r>
      <w:proofErr w:type="spellEnd"/>
      <w:r>
        <w:rPr>
          <w:lang w:val="en-US"/>
        </w:rPr>
        <w:t xml:space="preserve">, A.A. </w:t>
      </w:r>
      <w:r w:rsidRPr="00C606BE">
        <w:rPr>
          <w:lang w:val="en-US"/>
        </w:rPr>
        <w:t xml:space="preserve">Anisotropic Light Scattering in </w:t>
      </w:r>
      <w:proofErr w:type="spellStart"/>
      <w:r w:rsidRPr="00C606BE">
        <w:rPr>
          <w:lang w:val="en-US"/>
        </w:rPr>
        <w:t>Nanoporous</w:t>
      </w:r>
      <w:proofErr w:type="spellEnd"/>
      <w:r w:rsidRPr="00C606BE">
        <w:rPr>
          <w:lang w:val="en-US"/>
        </w:rPr>
        <w:t xml:space="preserve"> Materials:  A Photon Density of States Effect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/ </w:t>
      </w:r>
      <w:r w:rsidRPr="00C606BE">
        <w:rPr>
          <w:lang w:val="en-US"/>
        </w:rPr>
        <w:t xml:space="preserve"> A.A.</w:t>
      </w:r>
      <w:proofErr w:type="gramEnd"/>
      <w:r>
        <w:rPr>
          <w:lang w:val="en-US"/>
        </w:rPr>
        <w:t> </w:t>
      </w:r>
      <w:proofErr w:type="spellStart"/>
      <w:r w:rsidRPr="00C606BE">
        <w:rPr>
          <w:lang w:val="en-US"/>
        </w:rPr>
        <w:t>Lutich</w:t>
      </w:r>
      <w:proofErr w:type="spellEnd"/>
      <w:r w:rsidRPr="00C606BE">
        <w:rPr>
          <w:lang w:val="en-US"/>
        </w:rPr>
        <w:t xml:space="preserve">, </w:t>
      </w:r>
      <w:r>
        <w:rPr>
          <w:lang w:val="en-US"/>
        </w:rPr>
        <w:t>S.V. </w:t>
      </w:r>
      <w:proofErr w:type="spellStart"/>
      <w:r w:rsidRPr="00C606BE">
        <w:rPr>
          <w:lang w:val="en-US"/>
        </w:rPr>
        <w:t>Gaponenko</w:t>
      </w:r>
      <w:proofErr w:type="spellEnd"/>
      <w:r w:rsidRPr="00C606BE">
        <w:rPr>
          <w:lang w:val="en-US"/>
        </w:rPr>
        <w:t>,</w:t>
      </w:r>
      <w:r>
        <w:rPr>
          <w:lang w:val="en-US"/>
        </w:rPr>
        <w:t xml:space="preserve"> N.V. </w:t>
      </w:r>
      <w:proofErr w:type="spellStart"/>
      <w:r w:rsidRPr="00C606BE">
        <w:rPr>
          <w:lang w:val="en-US"/>
        </w:rPr>
        <w:t>Gaponenko</w:t>
      </w:r>
      <w:proofErr w:type="spellEnd"/>
      <w:r w:rsidRPr="00C606BE">
        <w:rPr>
          <w:lang w:val="en-US"/>
        </w:rPr>
        <w:t xml:space="preserve">, </w:t>
      </w:r>
      <w:r>
        <w:rPr>
          <w:lang w:val="en-US"/>
        </w:rPr>
        <w:t>I.S. </w:t>
      </w:r>
      <w:proofErr w:type="spellStart"/>
      <w:r w:rsidRPr="00C606BE">
        <w:rPr>
          <w:lang w:val="en-US"/>
        </w:rPr>
        <w:t>Molchan</w:t>
      </w:r>
      <w:proofErr w:type="spellEnd"/>
      <w:r w:rsidRPr="00C606BE">
        <w:rPr>
          <w:lang w:val="en-US"/>
        </w:rPr>
        <w:t xml:space="preserve">, </w:t>
      </w:r>
      <w:r>
        <w:rPr>
          <w:lang w:val="en-US"/>
        </w:rPr>
        <w:t>V.A. </w:t>
      </w:r>
      <w:r w:rsidRPr="00C606BE">
        <w:rPr>
          <w:lang w:val="en-US"/>
        </w:rPr>
        <w:t>Sokol</w:t>
      </w:r>
      <w:r>
        <w:rPr>
          <w:lang w:val="en-US"/>
        </w:rPr>
        <w:t>, V. </w:t>
      </w:r>
      <w:proofErr w:type="spellStart"/>
      <w:r w:rsidRPr="00C606BE">
        <w:rPr>
          <w:lang w:val="en-US"/>
        </w:rPr>
        <w:t>Parkhutik</w:t>
      </w:r>
      <w:proofErr w:type="spellEnd"/>
      <w:r w:rsidRPr="00C606BE">
        <w:rPr>
          <w:lang w:val="en-US"/>
        </w:rPr>
        <w:t xml:space="preserve"> // </w:t>
      </w:r>
      <w:r w:rsidRPr="00671B88">
        <w:rPr>
          <w:rStyle w:val="HTMLCite"/>
          <w:lang w:val="en-US"/>
        </w:rPr>
        <w:t>Nano Letters</w:t>
      </w:r>
      <w:r>
        <w:rPr>
          <w:rStyle w:val="HTMLCite"/>
          <w:lang w:val="en-US"/>
        </w:rPr>
        <w:t xml:space="preserve">. – </w:t>
      </w:r>
      <w:r w:rsidRPr="00C606BE">
        <w:rPr>
          <w:lang w:val="en-US"/>
        </w:rPr>
        <w:t xml:space="preserve"> </w:t>
      </w:r>
      <w:r w:rsidRPr="00C606BE">
        <w:rPr>
          <w:rStyle w:val="citationyear"/>
          <w:lang w:val="en-US"/>
        </w:rPr>
        <w:t>2004</w:t>
      </w:r>
      <w:r>
        <w:rPr>
          <w:rStyle w:val="citationyear"/>
          <w:lang w:val="en-US"/>
        </w:rPr>
        <w:t>. – N</w:t>
      </w:r>
      <w:r w:rsidRPr="00C606BE">
        <w:rPr>
          <w:lang w:val="en-US"/>
        </w:rPr>
        <w:t xml:space="preserve"> </w:t>
      </w:r>
      <w:r w:rsidRPr="00C606BE">
        <w:rPr>
          <w:rStyle w:val="citationvolume"/>
          <w:lang w:val="en-US"/>
        </w:rPr>
        <w:t>4</w:t>
      </w:r>
      <w:r w:rsidRPr="00C606BE">
        <w:rPr>
          <w:lang w:val="en-US"/>
        </w:rPr>
        <w:t xml:space="preserve"> (9)</w:t>
      </w:r>
      <w:r>
        <w:rPr>
          <w:lang w:val="en-US"/>
        </w:rPr>
        <w:t>. – P. </w:t>
      </w:r>
      <w:r w:rsidRPr="00C606BE">
        <w:rPr>
          <w:lang w:val="en-US"/>
        </w:rPr>
        <w:t>1755–1758</w:t>
      </w:r>
    </w:p>
  </w:endnote>
  <w:endnote w:id="12">
    <w:p w14:paraId="189070F0" w14:textId="77777777" w:rsidR="00806622" w:rsidRPr="007F04B9" w:rsidRDefault="00806622" w:rsidP="00806622">
      <w:pPr>
        <w:spacing w:line="312" w:lineRule="auto"/>
        <w:rPr>
          <w:spacing w:val="-4"/>
          <w:szCs w:val="28"/>
          <w:lang w:val="en-US"/>
        </w:rPr>
      </w:pPr>
      <w:r>
        <w:rPr>
          <w:lang w:val="en-US"/>
        </w:rPr>
        <w:t>[</w:t>
      </w:r>
      <w:r w:rsidRPr="00C606BE">
        <w:rPr>
          <w:rStyle w:val="EndnoteReference"/>
        </w:rPr>
        <w:endnoteRef/>
      </w:r>
      <w:r>
        <w:rPr>
          <w:lang w:val="en-US"/>
        </w:rPr>
        <w:t>] </w:t>
      </w:r>
      <w:proofErr w:type="spellStart"/>
      <w:r>
        <w:rPr>
          <w:lang w:val="en-US"/>
        </w:rPr>
        <w:t>Gaponenko</w:t>
      </w:r>
      <w:proofErr w:type="spellEnd"/>
      <w:r>
        <w:rPr>
          <w:lang w:val="en-US"/>
        </w:rPr>
        <w:t>, N.V.</w:t>
      </w:r>
      <w:r w:rsidRPr="00C606BE">
        <w:rPr>
          <w:lang w:val="en-US"/>
        </w:rPr>
        <w:t xml:space="preserve"> </w:t>
      </w:r>
      <w:r w:rsidRPr="00C606BE">
        <w:rPr>
          <w:lang w:val="en-GB"/>
        </w:rPr>
        <w:t xml:space="preserve">Erbium and terbium photoluminescence in silica sol-gel films on </w:t>
      </w:r>
      <w:r w:rsidRPr="007F04B9">
        <w:rPr>
          <w:spacing w:val="-4"/>
          <w:lang w:val="en-GB"/>
        </w:rPr>
        <w:t>porous alumina /N.V. </w:t>
      </w:r>
      <w:proofErr w:type="spellStart"/>
      <w:r w:rsidRPr="007F04B9">
        <w:rPr>
          <w:spacing w:val="-4"/>
          <w:lang w:val="en-GB"/>
        </w:rPr>
        <w:t>Gaponenko</w:t>
      </w:r>
      <w:proofErr w:type="spellEnd"/>
      <w:r w:rsidRPr="007F04B9">
        <w:rPr>
          <w:spacing w:val="-4"/>
          <w:lang w:val="en-US"/>
        </w:rPr>
        <w:t>, V.M. </w:t>
      </w:r>
      <w:proofErr w:type="spellStart"/>
      <w:r w:rsidRPr="007F04B9">
        <w:rPr>
          <w:spacing w:val="-4"/>
          <w:lang w:val="en-GB"/>
        </w:rPr>
        <w:t>Parkun</w:t>
      </w:r>
      <w:proofErr w:type="spellEnd"/>
      <w:r w:rsidRPr="007F04B9">
        <w:rPr>
          <w:spacing w:val="-4"/>
          <w:lang w:val="en-US"/>
        </w:rPr>
        <w:t>, O.S. </w:t>
      </w:r>
      <w:proofErr w:type="spellStart"/>
      <w:r w:rsidRPr="007F04B9">
        <w:rPr>
          <w:spacing w:val="-4"/>
          <w:lang w:val="en-GB"/>
        </w:rPr>
        <w:t>Katernoga</w:t>
      </w:r>
      <w:proofErr w:type="spellEnd"/>
      <w:r w:rsidRPr="007F04B9">
        <w:rPr>
          <w:spacing w:val="-4"/>
          <w:lang w:val="en-US"/>
        </w:rPr>
        <w:t>, V.E. </w:t>
      </w:r>
      <w:proofErr w:type="spellStart"/>
      <w:r w:rsidRPr="007F04B9">
        <w:rPr>
          <w:spacing w:val="-4"/>
          <w:lang w:val="en-GB"/>
        </w:rPr>
        <w:t>Borisenko</w:t>
      </w:r>
      <w:proofErr w:type="spellEnd"/>
      <w:r w:rsidRPr="007F04B9">
        <w:rPr>
          <w:spacing w:val="-4"/>
          <w:lang w:val="en-US"/>
        </w:rPr>
        <w:t>, A.V. </w:t>
      </w:r>
      <w:proofErr w:type="spellStart"/>
      <w:r w:rsidRPr="007F04B9">
        <w:rPr>
          <w:spacing w:val="-4"/>
          <w:lang w:val="en-GB"/>
        </w:rPr>
        <w:t>Mudryi</w:t>
      </w:r>
      <w:proofErr w:type="spellEnd"/>
      <w:r w:rsidRPr="007F04B9">
        <w:rPr>
          <w:spacing w:val="-4"/>
          <w:lang w:val="en-US"/>
        </w:rPr>
        <w:t>, E.A. </w:t>
      </w:r>
      <w:r w:rsidRPr="007F04B9">
        <w:rPr>
          <w:spacing w:val="-4"/>
          <w:lang w:val="en-GB"/>
        </w:rPr>
        <w:t>Stepanova</w:t>
      </w:r>
      <w:r w:rsidRPr="007F04B9">
        <w:rPr>
          <w:spacing w:val="-4"/>
          <w:lang w:val="en-US"/>
        </w:rPr>
        <w:t>, A.I. </w:t>
      </w:r>
      <w:r w:rsidRPr="007F04B9">
        <w:rPr>
          <w:spacing w:val="-4"/>
          <w:lang w:val="en-GB"/>
        </w:rPr>
        <w:t>Rat</w:t>
      </w:r>
      <w:r w:rsidRPr="007F04B9">
        <w:rPr>
          <w:spacing w:val="-4"/>
          <w:lang w:val="en-US"/>
        </w:rPr>
        <w:t>’</w:t>
      </w:r>
      <w:r w:rsidRPr="007F04B9">
        <w:rPr>
          <w:spacing w:val="-4"/>
          <w:lang w:val="en-GB"/>
        </w:rPr>
        <w:t>ko</w:t>
      </w:r>
      <w:r w:rsidRPr="007F04B9">
        <w:rPr>
          <w:spacing w:val="-4"/>
          <w:lang w:val="en-US"/>
        </w:rPr>
        <w:t>, M. </w:t>
      </w:r>
      <w:r w:rsidRPr="007F04B9">
        <w:rPr>
          <w:spacing w:val="-4"/>
          <w:lang w:val="en-GB"/>
        </w:rPr>
        <w:t>Cavanagh</w:t>
      </w:r>
      <w:r w:rsidRPr="007F04B9">
        <w:rPr>
          <w:spacing w:val="-4"/>
          <w:lang w:val="en-US"/>
        </w:rPr>
        <w:t>, B. </w:t>
      </w:r>
      <w:r w:rsidRPr="007F04B9">
        <w:rPr>
          <w:spacing w:val="-4"/>
          <w:szCs w:val="28"/>
          <w:lang w:val="en-GB"/>
        </w:rPr>
        <w:t>O</w:t>
      </w:r>
      <w:r w:rsidRPr="007F04B9">
        <w:rPr>
          <w:spacing w:val="-4"/>
          <w:szCs w:val="28"/>
          <w:lang w:val="en-US"/>
        </w:rPr>
        <w:t>’</w:t>
      </w:r>
      <w:r w:rsidRPr="007F04B9">
        <w:rPr>
          <w:spacing w:val="-4"/>
          <w:szCs w:val="28"/>
          <w:lang w:val="en-GB"/>
        </w:rPr>
        <w:t>Kelly</w:t>
      </w:r>
      <w:r w:rsidRPr="007F04B9">
        <w:rPr>
          <w:spacing w:val="-4"/>
          <w:szCs w:val="28"/>
          <w:lang w:val="en-US"/>
        </w:rPr>
        <w:t>, J.F. </w:t>
      </w:r>
      <w:proofErr w:type="spellStart"/>
      <w:r w:rsidRPr="007F04B9">
        <w:rPr>
          <w:spacing w:val="-4"/>
          <w:szCs w:val="28"/>
          <w:lang w:val="en-GB"/>
        </w:rPr>
        <w:t>McGilp</w:t>
      </w:r>
      <w:proofErr w:type="spellEnd"/>
      <w:r w:rsidRPr="007F04B9">
        <w:rPr>
          <w:spacing w:val="-4"/>
          <w:szCs w:val="28"/>
          <w:lang w:val="en-US"/>
        </w:rPr>
        <w:t xml:space="preserve"> // </w:t>
      </w:r>
      <w:r w:rsidRPr="007F04B9">
        <w:rPr>
          <w:spacing w:val="-4"/>
          <w:szCs w:val="28"/>
          <w:lang w:val="en-GB"/>
        </w:rPr>
        <w:t>Thin</w:t>
      </w:r>
      <w:r w:rsidRPr="007F04B9">
        <w:rPr>
          <w:spacing w:val="-4"/>
          <w:szCs w:val="28"/>
          <w:lang w:val="en-US"/>
        </w:rPr>
        <w:t xml:space="preserve"> </w:t>
      </w:r>
      <w:r w:rsidRPr="007F04B9">
        <w:rPr>
          <w:spacing w:val="-4"/>
          <w:szCs w:val="28"/>
          <w:lang w:val="en-GB"/>
        </w:rPr>
        <w:t>Solid</w:t>
      </w:r>
      <w:r w:rsidRPr="007F04B9">
        <w:rPr>
          <w:spacing w:val="-4"/>
          <w:szCs w:val="28"/>
          <w:lang w:val="en-US"/>
        </w:rPr>
        <w:t xml:space="preserve"> </w:t>
      </w:r>
      <w:r w:rsidRPr="007F04B9">
        <w:rPr>
          <w:spacing w:val="-4"/>
          <w:szCs w:val="28"/>
          <w:lang w:val="en-GB"/>
        </w:rPr>
        <w:t>Films</w:t>
      </w:r>
      <w:r w:rsidRPr="007F04B9">
        <w:rPr>
          <w:spacing w:val="-4"/>
          <w:szCs w:val="28"/>
          <w:lang w:val="en-US"/>
        </w:rPr>
        <w:t xml:space="preserve">. – 1997. – </w:t>
      </w:r>
      <w:r w:rsidRPr="007F04B9">
        <w:rPr>
          <w:spacing w:val="-4"/>
          <w:szCs w:val="28"/>
          <w:lang w:val="en-GB"/>
        </w:rPr>
        <w:t>Vol</w:t>
      </w:r>
      <w:r w:rsidRPr="007F04B9">
        <w:rPr>
          <w:spacing w:val="-4"/>
          <w:szCs w:val="28"/>
          <w:lang w:val="en-US"/>
        </w:rPr>
        <w:t>. 297, N</w:t>
      </w:r>
      <w:r w:rsidRPr="007F04B9">
        <w:rPr>
          <w:spacing w:val="-4"/>
          <w:szCs w:val="28"/>
          <w:lang w:val="en-GB"/>
        </w:rPr>
        <w:t> </w:t>
      </w:r>
      <w:r w:rsidRPr="007F04B9">
        <w:rPr>
          <w:spacing w:val="-4"/>
          <w:szCs w:val="28"/>
          <w:lang w:val="en-US"/>
        </w:rPr>
        <w:t xml:space="preserve">1–2. – </w:t>
      </w:r>
      <w:r w:rsidRPr="007F04B9">
        <w:rPr>
          <w:spacing w:val="-4"/>
          <w:szCs w:val="28"/>
          <w:lang w:val="en-GB"/>
        </w:rPr>
        <w:t>P</w:t>
      </w:r>
      <w:r w:rsidRPr="007F04B9">
        <w:rPr>
          <w:spacing w:val="-4"/>
          <w:szCs w:val="28"/>
          <w:lang w:val="en-US"/>
        </w:rPr>
        <w:t>. 202–206.</w:t>
      </w:r>
    </w:p>
  </w:endnote>
  <w:endnote w:id="13">
    <w:p w14:paraId="784959D6" w14:textId="77777777" w:rsidR="00806622" w:rsidRPr="00671B88" w:rsidRDefault="00806622" w:rsidP="00806622">
      <w:pPr>
        <w:spacing w:line="312" w:lineRule="auto"/>
      </w:pPr>
      <w:r w:rsidRPr="007F04B9">
        <w:t>[</w:t>
      </w:r>
      <w:r w:rsidRPr="00C606BE">
        <w:rPr>
          <w:rStyle w:val="EndnoteReference"/>
        </w:rPr>
        <w:endnoteRef/>
      </w:r>
      <w:r w:rsidRPr="007F04B9">
        <w:t>]</w:t>
      </w:r>
      <w:r>
        <w:rPr>
          <w:lang w:val="en-US"/>
        </w:rPr>
        <w:t> </w:t>
      </w:r>
      <w:proofErr w:type="spellStart"/>
      <w:r w:rsidRPr="00671B88">
        <w:t>Бабунц</w:t>
      </w:r>
      <w:proofErr w:type="spellEnd"/>
      <w:r w:rsidRPr="00671B88">
        <w:t xml:space="preserve">, Р.А. </w:t>
      </w:r>
      <w:r w:rsidRPr="00C606BE">
        <w:t>Свойства</w:t>
      </w:r>
      <w:r w:rsidRPr="00671B88">
        <w:t xml:space="preserve"> </w:t>
      </w:r>
      <w:r w:rsidRPr="00C606BE">
        <w:t>люминесценции</w:t>
      </w:r>
      <w:r w:rsidRPr="00671B88">
        <w:t xml:space="preserve"> </w:t>
      </w:r>
      <w:r w:rsidRPr="00C606BE">
        <w:t>эрбия</w:t>
      </w:r>
      <w:r w:rsidRPr="00671B88">
        <w:t xml:space="preserve"> </w:t>
      </w:r>
      <w:r w:rsidRPr="00C606BE">
        <w:t>в</w:t>
      </w:r>
      <w:r w:rsidRPr="00671B88">
        <w:t xml:space="preserve"> </w:t>
      </w:r>
      <w:r w:rsidRPr="00C606BE">
        <w:t>объемных</w:t>
      </w:r>
      <w:r w:rsidRPr="00671B88">
        <w:t xml:space="preserve"> </w:t>
      </w:r>
      <w:r w:rsidRPr="00C606BE">
        <w:t>кристаллах</w:t>
      </w:r>
      <w:r w:rsidRPr="00671B88">
        <w:t xml:space="preserve"> </w:t>
      </w:r>
      <w:r w:rsidRPr="00C606BE">
        <w:t>карбида</w:t>
      </w:r>
      <w:r w:rsidRPr="00671B88">
        <w:t xml:space="preserve"> </w:t>
      </w:r>
      <w:proofErr w:type="gramStart"/>
      <w:r w:rsidRPr="00C606BE">
        <w:t>кремния</w:t>
      </w:r>
      <w:r w:rsidRPr="00671B88">
        <w:t xml:space="preserve">  /</w:t>
      </w:r>
      <w:proofErr w:type="gramEnd"/>
      <w:r w:rsidRPr="00671B88">
        <w:t xml:space="preserve"> </w:t>
      </w:r>
      <w:r w:rsidRPr="00C606BE">
        <w:t>Р</w:t>
      </w:r>
      <w:r w:rsidRPr="00671B88">
        <w:t>.</w:t>
      </w:r>
      <w:r w:rsidRPr="00C606BE">
        <w:t>А</w:t>
      </w:r>
      <w:r w:rsidRPr="00671B88">
        <w:t xml:space="preserve">. </w:t>
      </w:r>
      <w:proofErr w:type="spellStart"/>
      <w:r w:rsidRPr="00C606BE">
        <w:t>Бабунц</w:t>
      </w:r>
      <w:proofErr w:type="spellEnd"/>
      <w:r w:rsidRPr="00671B88">
        <w:t xml:space="preserve">, </w:t>
      </w:r>
      <w:r w:rsidRPr="00C606BE">
        <w:t>В</w:t>
      </w:r>
      <w:r w:rsidRPr="00671B88">
        <w:t>.</w:t>
      </w:r>
      <w:r w:rsidRPr="00C606BE">
        <w:t>А</w:t>
      </w:r>
      <w:r w:rsidRPr="00671B88">
        <w:t xml:space="preserve">. </w:t>
      </w:r>
      <w:r w:rsidRPr="00C606BE">
        <w:t>Ветров</w:t>
      </w:r>
      <w:r w:rsidRPr="00671B88">
        <w:t xml:space="preserve">, </w:t>
      </w:r>
      <w:r w:rsidRPr="00C606BE">
        <w:t>И</w:t>
      </w:r>
      <w:r w:rsidRPr="00671B88">
        <w:t>.</w:t>
      </w:r>
      <w:r w:rsidRPr="00C606BE">
        <w:t>В</w:t>
      </w:r>
      <w:r w:rsidRPr="00671B88">
        <w:t xml:space="preserve">. </w:t>
      </w:r>
      <w:r w:rsidRPr="00C606BE">
        <w:t>Ильин</w:t>
      </w:r>
      <w:r w:rsidRPr="00671B88">
        <w:t xml:space="preserve">, </w:t>
      </w:r>
      <w:r w:rsidRPr="00C606BE">
        <w:t>Е</w:t>
      </w:r>
      <w:r w:rsidRPr="00671B88">
        <w:t>.</w:t>
      </w:r>
      <w:r w:rsidRPr="00C606BE">
        <w:t>Н</w:t>
      </w:r>
      <w:r w:rsidRPr="00671B88">
        <w:t xml:space="preserve">. </w:t>
      </w:r>
      <w:r w:rsidRPr="00C606BE">
        <w:t>Мохов</w:t>
      </w:r>
      <w:r w:rsidRPr="00671B88">
        <w:t xml:space="preserve">, </w:t>
      </w:r>
      <w:r w:rsidRPr="00C606BE">
        <w:t>Н</w:t>
      </w:r>
      <w:r w:rsidRPr="00671B88">
        <w:t>.</w:t>
      </w:r>
      <w:r w:rsidRPr="00C606BE">
        <w:t>Г</w:t>
      </w:r>
      <w:r w:rsidRPr="00671B88">
        <w:t xml:space="preserve">. </w:t>
      </w:r>
      <w:r w:rsidRPr="00C606BE">
        <w:t>Романов</w:t>
      </w:r>
      <w:r w:rsidRPr="00671B88">
        <w:t xml:space="preserve">, </w:t>
      </w:r>
      <w:r w:rsidRPr="00C606BE">
        <w:t>В</w:t>
      </w:r>
      <w:r w:rsidRPr="00671B88">
        <w:t>.</w:t>
      </w:r>
      <w:r w:rsidRPr="00C606BE">
        <w:t>А</w:t>
      </w:r>
      <w:r w:rsidRPr="00671B88">
        <w:t xml:space="preserve">. </w:t>
      </w:r>
      <w:r w:rsidRPr="00C606BE">
        <w:t>Храмцов</w:t>
      </w:r>
      <w:r w:rsidRPr="00671B88">
        <w:t xml:space="preserve">, </w:t>
      </w:r>
      <w:r w:rsidRPr="00C606BE">
        <w:t>П</w:t>
      </w:r>
      <w:r w:rsidRPr="00671B88">
        <w:t>.</w:t>
      </w:r>
      <w:r w:rsidRPr="00C606BE">
        <w:t>Г</w:t>
      </w:r>
      <w:r w:rsidRPr="00671B88">
        <w:t xml:space="preserve">. </w:t>
      </w:r>
      <w:r w:rsidRPr="00C606BE">
        <w:t>Баранов</w:t>
      </w:r>
      <w:r w:rsidRPr="00671B88">
        <w:t xml:space="preserve"> // </w:t>
      </w:r>
      <w:r>
        <w:t>Физика</w:t>
      </w:r>
      <w:r w:rsidRPr="00671B88">
        <w:t xml:space="preserve"> </w:t>
      </w:r>
      <w:r>
        <w:t>твердого</w:t>
      </w:r>
      <w:r w:rsidRPr="00671B88">
        <w:t xml:space="preserve"> </w:t>
      </w:r>
      <w:r>
        <w:t>тела</w:t>
      </w:r>
      <w:r w:rsidRPr="00671B88">
        <w:t xml:space="preserve">. – 2000. – </w:t>
      </w:r>
      <w:r>
        <w:t>Т</w:t>
      </w:r>
      <w:r w:rsidRPr="00671B88">
        <w:t xml:space="preserve">. 42, </w:t>
      </w:r>
      <w:proofErr w:type="spellStart"/>
      <w:r w:rsidRPr="00C606BE">
        <w:t>вып</w:t>
      </w:r>
      <w:proofErr w:type="spellEnd"/>
      <w:r w:rsidRPr="00671B88">
        <w:t>. 5. –</w:t>
      </w:r>
      <w:r>
        <w:t xml:space="preserve"> С. 809–</w:t>
      </w:r>
      <w:r w:rsidRPr="00671B88">
        <w:t>815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E576" w14:textId="77777777" w:rsidR="006150FB" w:rsidRDefault="006150FB" w:rsidP="00806622">
      <w:pPr>
        <w:spacing w:after="0" w:line="240" w:lineRule="auto"/>
      </w:pPr>
      <w:r>
        <w:separator/>
      </w:r>
    </w:p>
  </w:footnote>
  <w:footnote w:type="continuationSeparator" w:id="0">
    <w:p w14:paraId="4D3216FB" w14:textId="77777777" w:rsidR="006150FB" w:rsidRDefault="006150FB" w:rsidP="00806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22"/>
    <w:rsid w:val="002979DA"/>
    <w:rsid w:val="00374213"/>
    <w:rsid w:val="005F4980"/>
    <w:rsid w:val="006150FB"/>
    <w:rsid w:val="00806622"/>
    <w:rsid w:val="00B72AC3"/>
    <w:rsid w:val="00B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BA0"/>
  <w15:chartTrackingRefBased/>
  <w15:docId w15:val="{1307C858-7E6C-4903-9247-1350F01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C3"/>
    <w:pPr>
      <w:spacing w:after="120"/>
      <w:ind w:firstLine="709"/>
      <w:jc w:val="both"/>
    </w:pPr>
    <w:rPr>
      <w:rFonts w:ascii="Times New Roman" w:hAnsi="Times New Roman" w:cs="Times New Roman"/>
      <w:kern w:val="0"/>
      <w:sz w:val="28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uiPriority w:val="99"/>
    <w:unhideWhenUsed/>
    <w:qFormat/>
    <w:rsid w:val="00806622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806622"/>
    <w:rPr>
      <w:i/>
      <w:iCs/>
    </w:rPr>
  </w:style>
  <w:style w:type="character" w:customStyle="1" w:styleId="citationyear">
    <w:name w:val="citation_year"/>
    <w:basedOn w:val="DefaultParagraphFont"/>
    <w:rsid w:val="00806622"/>
  </w:style>
  <w:style w:type="character" w:customStyle="1" w:styleId="citationvolume">
    <w:name w:val="citation_volume"/>
    <w:basedOn w:val="DefaultParagraphFont"/>
    <w:rsid w:val="0080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Khoroshko</dc:creator>
  <cp:keywords/>
  <dc:description/>
  <cp:lastModifiedBy>Milla Khoroshko</cp:lastModifiedBy>
  <cp:revision>1</cp:revision>
  <dcterms:created xsi:type="dcterms:W3CDTF">2023-05-26T10:52:00Z</dcterms:created>
  <dcterms:modified xsi:type="dcterms:W3CDTF">2023-05-26T10:52:00Z</dcterms:modified>
</cp:coreProperties>
</file>