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astronometria-project-context-v1"/>
    <w:p>
      <w:pPr>
        <w:pStyle w:val="Heading1"/>
      </w:pPr>
      <w:r>
        <w:t xml:space="preserve">Astronometria – Project Context (v1)</w:t>
      </w:r>
    </w:p>
    <w:p>
      <w:r>
        <w:pict>
          <v:rect style="width:0;height:1.5pt" o:hralign="center" o:hrstd="t" o:hr="t"/>
        </w:pict>
      </w:r>
    </w:p>
    <w:bookmarkStart w:id="22" w:name="vision-scope"/>
    <w:p>
      <w:pPr>
        <w:pStyle w:val="Heading2"/>
      </w:pPr>
      <w:r>
        <w:t xml:space="preserve">1. Vision &amp; Scope</w:t>
      </w:r>
    </w:p>
    <w:p>
      <w:pPr>
        <w:pStyle w:val="FirstParagraph"/>
      </w:pPr>
      <w:r>
        <w:t xml:space="preserve">Astronometria is a long-term hobby project (2–3 years) aiming to build a scientifically precise and didactically usable astronomy application.</w:t>
      </w:r>
    </w:p>
    <w:p>
      <w:pPr>
        <w:pStyle w:val="BodyText"/>
      </w:pPr>
      <w:r>
        <w:t xml:space="preserve">The system is intentionally designed as a hybrid tool:</w:t>
      </w:r>
    </w:p>
    <w:p>
      <w:pPr>
        <w:pStyle w:val="Compact"/>
        <w:numPr>
          <w:ilvl w:val="0"/>
          <w:numId w:val="1001"/>
        </w:numPr>
      </w:pPr>
      <w:r>
        <w:t xml:space="preserve">Interactive for exploration and teaching</w:t>
      </w:r>
    </w:p>
    <w:p>
      <w:pPr>
        <w:pStyle w:val="Compact"/>
        <w:numPr>
          <w:ilvl w:val="0"/>
          <w:numId w:val="1001"/>
        </w:numPr>
      </w:pPr>
      <w:r>
        <w:t xml:space="preserve">Algorithmically precise for simulation and analysis</w:t>
      </w:r>
    </w:p>
    <w:bookmarkStart w:id="20" w:name="core-objectives"/>
    <w:p>
      <w:pPr>
        <w:pStyle w:val="Heading3"/>
      </w:pPr>
      <w:r>
        <w:t xml:space="preserve">Core Objectives</w:t>
      </w:r>
    </w:p>
    <w:p>
      <w:pPr>
        <w:pStyle w:val="Compact"/>
        <w:numPr>
          <w:ilvl w:val="0"/>
          <w:numId w:val="1002"/>
        </w:numPr>
      </w:pPr>
      <w:r>
        <w:t xml:space="preserve">High-precision astronomical computation (~1 arcsecond target accuracy)</w:t>
      </w:r>
    </w:p>
    <w:p>
      <w:pPr>
        <w:pStyle w:val="Compact"/>
        <w:numPr>
          <w:ilvl w:val="0"/>
          <w:numId w:val="1002"/>
        </w:numPr>
      </w:pPr>
      <w:r>
        <w:t xml:space="preserve">Interactive sky maps in multiple projections</w:t>
      </w:r>
    </w:p>
    <w:p>
      <w:pPr>
        <w:pStyle w:val="Compact"/>
        <w:numPr>
          <w:ilvl w:val="0"/>
          <w:numId w:val="1002"/>
        </w:numPr>
      </w:pPr>
      <w:r>
        <w:t xml:space="preserve">Simulation and long-term event detection</w:t>
      </w:r>
    </w:p>
    <w:p>
      <w:pPr>
        <w:pStyle w:val="Compact"/>
        <w:numPr>
          <w:ilvl w:val="0"/>
          <w:numId w:val="1002"/>
        </w:numPr>
      </w:pPr>
      <w:r>
        <w:t xml:space="preserve">Automated generation of monthly astronomical reports</w:t>
      </w:r>
    </w:p>
    <w:p>
      <w:pPr>
        <w:pStyle w:val="Compact"/>
        <w:numPr>
          <w:ilvl w:val="0"/>
          <w:numId w:val="1002"/>
        </w:numPr>
      </w:pPr>
      <w:r>
        <w:t xml:space="preserve">Modular extensibility (e.g., planetary moon systems)</w:t>
      </w:r>
    </w:p>
    <w:bookmarkEnd w:id="20"/>
    <w:bookmarkStart w:id="21" w:name="target-users"/>
    <w:p>
      <w:pPr>
        <w:pStyle w:val="Heading3"/>
      </w:pPr>
      <w:r>
        <w:t xml:space="preserve">Target Users</w:t>
      </w:r>
    </w:p>
    <w:p>
      <w:pPr>
        <w:pStyle w:val="Compact"/>
        <w:numPr>
          <w:ilvl w:val="0"/>
          <w:numId w:val="1003"/>
        </w:numPr>
      </w:pPr>
      <w:r>
        <w:t xml:space="preserve">Primary: personal use (advanced mode)</w:t>
      </w:r>
    </w:p>
    <w:p>
      <w:pPr>
        <w:pStyle w:val="Compact"/>
        <w:numPr>
          <w:ilvl w:val="0"/>
          <w:numId w:val="1003"/>
        </w:numPr>
      </w:pPr>
      <w:r>
        <w:t xml:space="preserve">Secondary: educational usage (beginner-friendly mode)</w:t>
      </w:r>
    </w:p>
    <w:p>
      <w:pPr>
        <w:pStyle w:val="FirstParagraph"/>
      </w:pPr>
      <w:r>
        <w:t xml:space="preserve">Dual-mode philosophy: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Professional Mode</w:t>
      </w:r>
      <w:r>
        <w:t xml:space="preserve"> </w:t>
      </w:r>
      <w:r>
        <w:t xml:space="preserve">– full numerical transparency and control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Beginner Mode</w:t>
      </w:r>
      <w:r>
        <w:t xml:space="preserve"> </w:t>
      </w:r>
      <w:r>
        <w:t xml:space="preserve">– intuitive, reduced interface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scientific-mathematical-foundations"/>
    <w:p>
      <w:pPr>
        <w:pStyle w:val="Heading2"/>
      </w:pPr>
      <w:r>
        <w:t xml:space="preserve">2. Scientific &amp; Mathematical Foundations</w:t>
      </w:r>
    </w:p>
    <w:bookmarkStart w:id="23" w:name="angle-model"/>
    <w:p>
      <w:pPr>
        <w:pStyle w:val="Heading3"/>
      </w:pPr>
      <w:r>
        <w:t xml:space="preserve">Angle Model</w:t>
      </w:r>
    </w:p>
    <w:p>
      <w:pPr>
        <w:pStyle w:val="Compact"/>
        <w:numPr>
          <w:ilvl w:val="0"/>
          <w:numId w:val="1005"/>
        </w:numPr>
      </w:pPr>
      <w:r>
        <w:t xml:space="preserve">Internal unit:</w:t>
      </w:r>
      <w:r>
        <w:t xml:space="preserve"> </w:t>
      </w:r>
      <w:r>
        <w:rPr>
          <w:b/>
          <w:bCs/>
        </w:rPr>
        <w:t xml:space="preserve">radians</w:t>
      </w:r>
    </w:p>
    <w:p>
      <w:pPr>
        <w:pStyle w:val="Compact"/>
        <w:numPr>
          <w:ilvl w:val="0"/>
          <w:numId w:val="1005"/>
        </w:numPr>
      </w:pPr>
      <w:r>
        <w:t xml:space="preserve">Public API: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 </w:t>
      </w:r>
      <w:r>
        <w:t xml:space="preserve">struct</w:t>
      </w:r>
    </w:p>
    <w:p>
      <w:pPr>
        <w:pStyle w:val="Compact"/>
        <w:numPr>
          <w:ilvl w:val="0"/>
          <w:numId w:val="1005"/>
        </w:numPr>
      </w:pPr>
      <w:r>
        <w:t xml:space="preserve">External representation (tests, UI): degrees</w:t>
      </w:r>
    </w:p>
    <w:p>
      <w:pPr>
        <w:pStyle w:val="Compact"/>
        <w:numPr>
          <w:ilvl w:val="0"/>
          <w:numId w:val="1005"/>
        </w:numPr>
      </w:pPr>
      <w:r>
        <w:t xml:space="preserve">Strict separation between numerical core and presentation</w:t>
      </w:r>
    </w:p>
    <w:p>
      <w:pPr>
        <w:pStyle w:val="FirstParagraph"/>
      </w:pPr>
      <w:r>
        <w:t xml:space="preserve">Principle:</w:t>
      </w:r>
    </w:p>
    <w:p>
      <w:pPr>
        <w:pStyle w:val="BlockText"/>
      </w:pPr>
      <w:r>
        <w:t xml:space="preserve">Numerics in radians, transparency in degrees.</w:t>
      </w:r>
    </w:p>
    <w:p>
      <w:r>
        <w:pict>
          <v:rect style="width:0;height:1.5pt" o:hralign="center" o:hrstd="t" o:hr="t"/>
        </w:pict>
      </w:r>
    </w:p>
    <w:bookmarkEnd w:id="23"/>
    <w:bookmarkStart w:id="24" w:name="time-model"/>
    <w:p>
      <w:pPr>
        <w:pStyle w:val="Heading3"/>
      </w:pPr>
      <w:r>
        <w:t xml:space="preserve">Time Model</w:t>
      </w:r>
    </w:p>
    <w:p>
      <w:pPr>
        <w:pStyle w:val="FirstParagraph"/>
      </w:pPr>
      <w:r>
        <w:t xml:space="preserve">GUI Level:</w:t>
      </w:r>
    </w:p>
    <w:p>
      <w:pPr>
        <w:pStyle w:val="Compact"/>
        <w:numPr>
          <w:ilvl w:val="0"/>
          <w:numId w:val="1006"/>
        </w:numPr>
      </w:pPr>
      <w:r>
        <w:t xml:space="preserve">Local system time</w:t>
      </w:r>
    </w:p>
    <w:p>
      <w:pPr>
        <w:pStyle w:val="FirstParagraph"/>
      </w:pPr>
      <w:r>
        <w:t xml:space="preserve">Core Level:</w:t>
      </w:r>
    </w:p>
    <w:p>
      <w:pPr>
        <w:pStyle w:val="Compact"/>
        <w:numPr>
          <w:ilvl w:val="0"/>
          <w:numId w:val="1007"/>
        </w:numPr>
      </w:pPr>
      <w:r>
        <w:t xml:space="preserve">UTC as input</w:t>
      </w:r>
    </w:p>
    <w:p>
      <w:pPr>
        <w:pStyle w:val="Compact"/>
        <w:numPr>
          <w:ilvl w:val="0"/>
          <w:numId w:val="1007"/>
        </w:numPr>
      </w:pPr>
      <w:r>
        <w:t xml:space="preserve">Conversion to TT using ΔT (Meeus model)</w:t>
      </w:r>
    </w:p>
    <w:p>
      <w:pPr>
        <w:pStyle w:val="Compact"/>
        <w:numPr>
          <w:ilvl w:val="0"/>
          <w:numId w:val="1007"/>
        </w:numPr>
      </w:pPr>
      <w:r>
        <w:t xml:space="preserve">Ephemeris calculations based on JDE (TT): Julian Date with Dynamical Time</w:t>
      </w:r>
    </w:p>
    <w:p>
      <w:pPr>
        <w:pStyle w:val="FirstParagraph"/>
      </w:pPr>
      <w:r>
        <w:t xml:space="preserve">Decisions:</w:t>
      </w:r>
    </w:p>
    <w:p>
      <w:pPr>
        <w:pStyle w:val="Compact"/>
        <w:numPr>
          <w:ilvl w:val="0"/>
          <w:numId w:val="1008"/>
        </w:numPr>
      </w:pPr>
      <w:r>
        <w:t xml:space="preserve">ΔT model according to Meeus</w:t>
      </w:r>
    </w:p>
    <w:p>
      <w:pPr>
        <w:pStyle w:val="Compact"/>
        <w:numPr>
          <w:ilvl w:val="0"/>
          <w:numId w:val="1008"/>
        </w:numPr>
      </w:pPr>
      <w:r>
        <w:t xml:space="preserve">No explicit UT1 modeling: UT1 too complex and not needed for 1” accuracy</w:t>
      </w:r>
    </w:p>
    <w:p>
      <w:pPr>
        <w:pStyle w:val="Compact"/>
        <w:numPr>
          <w:ilvl w:val="0"/>
          <w:numId w:val="1008"/>
        </w:numPr>
      </w:pPr>
      <w:r>
        <w:t xml:space="preserve">UTC ≈ UT for sidereal time purposes</w:t>
      </w:r>
    </w:p>
    <w:p>
      <w:pPr>
        <w:pStyle w:val="Compact"/>
        <w:numPr>
          <w:ilvl w:val="0"/>
          <w:numId w:val="1008"/>
        </w:numPr>
      </w:pPr>
      <w:r>
        <w:t xml:space="preserve">Valid time range: 1600–2500 (model dependent)</w:t>
      </w:r>
    </w:p>
    <w:p>
      <w:r>
        <w:pict>
          <v:rect style="width:0;height:1.5pt" o:hralign="center" o:hrstd="t" o:hr="t"/>
        </w:pict>
      </w:r>
    </w:p>
    <w:bookmarkEnd w:id="24"/>
    <w:bookmarkStart w:id="25" w:name="reference-frame"/>
    <w:p>
      <w:pPr>
        <w:pStyle w:val="Heading3"/>
      </w:pPr>
      <w:r>
        <w:t xml:space="preserve">Reference Frame</w:t>
      </w:r>
    </w:p>
    <w:p>
      <w:pPr>
        <w:pStyle w:val="Compact"/>
        <w:numPr>
          <w:ilvl w:val="0"/>
          <w:numId w:val="1009"/>
        </w:numPr>
      </w:pPr>
      <w:r>
        <w:t xml:space="preserve">Inertial system based on J2000.0</w:t>
      </w:r>
    </w:p>
    <w:p>
      <w:pPr>
        <w:pStyle w:val="Compact"/>
        <w:numPr>
          <w:ilvl w:val="0"/>
          <w:numId w:val="1009"/>
        </w:numPr>
      </w:pPr>
      <w:r>
        <w:t xml:space="preserve">Effectively compatible with ICRS at ~1” level</w:t>
      </w:r>
    </w:p>
    <w:p>
      <w:pPr>
        <w:pStyle w:val="Compact"/>
        <w:numPr>
          <w:ilvl w:val="0"/>
          <w:numId w:val="1009"/>
        </w:numPr>
      </w:pPr>
      <w:r>
        <w:t xml:space="preserve">No explicit FK5 implementation</w:t>
      </w:r>
    </w:p>
    <w:p>
      <w:pPr>
        <w:pStyle w:val="Compact"/>
        <w:numPr>
          <w:ilvl w:val="0"/>
          <w:numId w:val="1009"/>
        </w:numPr>
      </w:pPr>
      <w:r>
        <w:t xml:space="preserve">No high-precision ICRS transformation (overengineering avoided)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imulation-model"/>
    <w:p>
      <w:pPr>
        <w:pStyle w:val="Heading2"/>
      </w:pPr>
      <w:r>
        <w:t xml:space="preserve">3. Simulation Model</w:t>
      </w:r>
    </w:p>
    <w:p>
      <w:pPr>
        <w:pStyle w:val="Compact"/>
        <w:numPr>
          <w:ilvl w:val="0"/>
          <w:numId w:val="1010"/>
        </w:numPr>
      </w:pPr>
      <w:r>
        <w:t xml:space="preserve">Purely analytical</w:t>
      </w:r>
    </w:p>
    <w:p>
      <w:pPr>
        <w:pStyle w:val="Compact"/>
        <w:numPr>
          <w:ilvl w:val="0"/>
          <w:numId w:val="1010"/>
        </w:numPr>
      </w:pPr>
      <w:r>
        <w:t xml:space="preserve">Stateless design</w:t>
      </w:r>
    </w:p>
    <w:p>
      <w:pPr>
        <w:pStyle w:val="Compact"/>
        <w:numPr>
          <w:ilvl w:val="0"/>
          <w:numId w:val="1010"/>
        </w:numPr>
      </w:pPr>
      <w:r>
        <w:t xml:space="preserve">No numerical N-body integration</w:t>
      </w:r>
    </w:p>
    <w:p>
      <w:pPr>
        <w:pStyle w:val="Compact"/>
        <w:numPr>
          <w:ilvl w:val="0"/>
          <w:numId w:val="1010"/>
        </w:numPr>
      </w:pPr>
      <w:r>
        <w:t xml:space="preserve">Time supplied exclusively via</w:t>
      </w:r>
      <w:r>
        <w:t xml:space="preserve"> </w:t>
      </w:r>
      <w:r>
        <w:rPr>
          <w:rStyle w:val="VerbatimChar"/>
        </w:rPr>
        <w:t xml:space="preserve">ITimeProvider</w:t>
      </w:r>
    </w:p>
    <w:p>
      <w:pPr>
        <w:pStyle w:val="Compact"/>
        <w:numPr>
          <w:ilvl w:val="0"/>
          <w:numId w:val="1010"/>
        </w:numPr>
      </w:pPr>
      <w:r>
        <w:t xml:space="preserve">Ephemeris access via</w:t>
      </w:r>
      <w:r>
        <w:t xml:space="preserve"> </w:t>
      </w:r>
      <w:r>
        <w:rPr>
          <w:rStyle w:val="VerbatimChar"/>
        </w:rPr>
        <w:t xml:space="preserve">IEphemerisProvider</w:t>
      </w:r>
    </w:p>
    <w:p>
      <w:pPr>
        <w:pStyle w:val="FirstParagraph"/>
      </w:pPr>
      <w:r>
        <w:t xml:space="preserve">Principle:</w:t>
      </w:r>
    </w:p>
    <w:p>
      <w:pPr>
        <w:pStyle w:val="BlockText"/>
      </w:pPr>
      <w:r>
        <w:t xml:space="preserve">Avoid unnecessary complexity. Prefer analytical models over integrators.</w:t>
      </w:r>
    </w:p>
    <w:p>
      <w:pPr>
        <w:pStyle w:val="FirstParagraph"/>
      </w:pPr>
      <w:r>
        <w:t xml:space="preserve">Motivation rule:</w:t>
      </w:r>
    </w:p>
    <w:p>
      <w:pPr>
        <w:pStyle w:val="Compact"/>
        <w:numPr>
          <w:ilvl w:val="0"/>
          <w:numId w:val="1011"/>
        </w:numPr>
      </w:pPr>
      <w:r>
        <w:t xml:space="preserve">Visible results and progress take precedence over theoretical completeness.</w:t>
      </w:r>
    </w:p>
    <w:p>
      <w:r>
        <w:pict>
          <v:rect style="width:0;height:1.5pt" o:hralign="center" o:hrstd="t" o:hr="t"/>
        </w:pict>
      </w:r>
    </w:p>
    <w:bookmarkEnd w:id="27"/>
    <w:bookmarkStart w:id="28" w:name="architecture-overview"/>
    <w:p>
      <w:pPr>
        <w:pStyle w:val="Heading2"/>
      </w:pPr>
      <w:r>
        <w:t xml:space="preserve">4. Architecture Overview</w:t>
      </w:r>
    </w:p>
    <w:p>
      <w:pPr>
        <w:pStyle w:val="FirstParagraph"/>
      </w:pPr>
      <w:r>
        <w:t xml:space="preserve">Layered architecture (strict upward dependency only):</w:t>
      </w:r>
    </w:p>
    <w:p>
      <w:pPr>
        <w:pStyle w:val="Compact"/>
        <w:numPr>
          <w:ilvl w:val="0"/>
          <w:numId w:val="1012"/>
        </w:numPr>
      </w:pPr>
      <w:r>
        <w:t xml:space="preserve">UI / Rendering</w:t>
      </w:r>
    </w:p>
    <w:p>
      <w:pPr>
        <w:pStyle w:val="Compact"/>
        <w:numPr>
          <w:ilvl w:val="0"/>
          <w:numId w:val="1012"/>
        </w:numPr>
      </w:pPr>
      <w:r>
        <w:t xml:space="preserve">Viewport / Interaction</w:t>
      </w:r>
    </w:p>
    <w:p>
      <w:pPr>
        <w:pStyle w:val="Compact"/>
        <w:numPr>
          <w:ilvl w:val="0"/>
          <w:numId w:val="1012"/>
        </w:numPr>
      </w:pPr>
      <w:r>
        <w:t xml:space="preserve">Map Projections</w:t>
      </w:r>
    </w:p>
    <w:p>
      <w:pPr>
        <w:pStyle w:val="Compact"/>
        <w:numPr>
          <w:ilvl w:val="0"/>
          <w:numId w:val="1012"/>
        </w:numPr>
      </w:pPr>
      <w:r>
        <w:t xml:space="preserve">Coordinate Transforms</w:t>
      </w:r>
    </w:p>
    <w:p>
      <w:pPr>
        <w:pStyle w:val="Compact"/>
        <w:numPr>
          <w:ilvl w:val="0"/>
          <w:numId w:val="1012"/>
        </w:numPr>
      </w:pPr>
      <w:r>
        <w:t xml:space="preserve">Simulation Engine</w:t>
      </w:r>
    </w:p>
    <w:p>
      <w:pPr>
        <w:pStyle w:val="Compact"/>
        <w:numPr>
          <w:ilvl w:val="0"/>
          <w:numId w:val="1012"/>
        </w:numPr>
      </w:pPr>
      <w:r>
        <w:t xml:space="preserve">Ephemerides</w:t>
      </w:r>
    </w:p>
    <w:p>
      <w:pPr>
        <w:pStyle w:val="Compact"/>
        <w:numPr>
          <w:ilvl w:val="0"/>
          <w:numId w:val="1012"/>
        </w:numPr>
      </w:pPr>
      <w:r>
        <w:t xml:space="preserve">Domain Objects</w:t>
      </w:r>
    </w:p>
    <w:p>
      <w:pPr>
        <w:pStyle w:val="Compact"/>
        <w:numPr>
          <w:ilvl w:val="0"/>
          <w:numId w:val="1012"/>
        </w:numPr>
      </w:pPr>
      <w:r>
        <w:t xml:space="preserve">Data Import / Parser</w:t>
      </w:r>
    </w:p>
    <w:p>
      <w:pPr>
        <w:pStyle w:val="FirstParagraph"/>
      </w:pPr>
      <w:r>
        <w:t xml:space="preserve">Rendering is fully separated from simulation and ephemeris logic.</w:t>
      </w:r>
    </w:p>
    <w:p>
      <w:r>
        <w:pict>
          <v:rect style="width:0;height:1.5pt" o:hralign="center" o:hrstd="t" o:hr="t"/>
        </w:pict>
      </w:r>
    </w:p>
    <w:bookmarkEnd w:id="28"/>
    <w:bookmarkStart w:id="34" w:name="data-policy"/>
    <w:p>
      <w:pPr>
        <w:pStyle w:val="Heading2"/>
      </w:pPr>
      <w:r>
        <w:t xml:space="preserve">5. Data Policy</w:t>
      </w:r>
    </w:p>
    <w:bookmarkStart w:id="29" w:name="general-principles"/>
    <w:p>
      <w:pPr>
        <w:pStyle w:val="Heading3"/>
      </w:pPr>
      <w:r>
        <w:t xml:space="preserve">General Principles</w:t>
      </w:r>
    </w:p>
    <w:p>
      <w:pPr>
        <w:pStyle w:val="Compact"/>
        <w:numPr>
          <w:ilvl w:val="0"/>
          <w:numId w:val="1013"/>
        </w:numPr>
      </w:pPr>
      <w:r>
        <w:t xml:space="preserve">Raw data is never parsed at runtime</w:t>
      </w:r>
    </w:p>
    <w:p>
      <w:pPr>
        <w:pStyle w:val="Compact"/>
        <w:numPr>
          <w:ilvl w:val="0"/>
          <w:numId w:val="1013"/>
        </w:numPr>
      </w:pPr>
      <w:r>
        <w:t xml:space="preserve">Parsing generates optimized internal data structures</w:t>
      </w:r>
    </w:p>
    <w:p>
      <w:pPr>
        <w:pStyle w:val="Compact"/>
        <w:numPr>
          <w:ilvl w:val="0"/>
          <w:numId w:val="1013"/>
        </w:numPr>
      </w:pPr>
      <w:r>
        <w:t xml:space="preserve">External data updates are manual only</w:t>
      </w:r>
    </w:p>
    <w:p>
      <w:pPr>
        <w:pStyle w:val="Compact"/>
        <w:numPr>
          <w:ilvl w:val="0"/>
          <w:numId w:val="1013"/>
        </w:numPr>
      </w:pPr>
      <w:r>
        <w:t xml:space="preserve">Data sets are versionable</w:t>
      </w:r>
    </w:p>
    <w:p>
      <w:pPr>
        <w:pStyle w:val="Compact"/>
        <w:numPr>
          <w:ilvl w:val="0"/>
          <w:numId w:val="1013"/>
        </w:numPr>
      </w:pPr>
      <w:r>
        <w:t xml:space="preserve">Old snapshots remain reproducible</w:t>
      </w:r>
    </w:p>
    <w:p>
      <w:r>
        <w:pict>
          <v:rect style="width:0;height:1.5pt" o:hralign="center" o:hrstd="t" o:hr="t"/>
        </w:pict>
      </w:r>
    </w:p>
    <w:bookmarkEnd w:id="29"/>
    <w:bookmarkStart w:id="30" w:name="ephemerides"/>
    <w:p>
      <w:pPr>
        <w:pStyle w:val="Heading3"/>
      </w:pPr>
      <w:r>
        <w:t xml:space="preserve">Ephemerides</w:t>
      </w:r>
    </w:p>
    <w:p>
      <w:pPr>
        <w:pStyle w:val="Compact"/>
        <w:numPr>
          <w:ilvl w:val="0"/>
          <w:numId w:val="1014"/>
        </w:numPr>
      </w:pPr>
      <w:r>
        <w:t xml:space="preserve">VSOP87A as planetary basis</w:t>
      </w:r>
    </w:p>
    <w:p>
      <w:pPr>
        <w:pStyle w:val="Compact"/>
        <w:numPr>
          <w:ilvl w:val="0"/>
          <w:numId w:val="1014"/>
        </w:numPr>
      </w:pPr>
      <w:r>
        <w:t xml:space="preserve">Original data archived</w:t>
      </w:r>
    </w:p>
    <w:p>
      <w:pPr>
        <w:pStyle w:val="Compact"/>
        <w:numPr>
          <w:ilvl w:val="0"/>
          <w:numId w:val="1014"/>
        </w:numPr>
      </w:pPr>
      <w:r>
        <w:t xml:space="preserve">Internal compiled representation used at runtime</w:t>
      </w:r>
    </w:p>
    <w:p>
      <w:pPr>
        <w:pStyle w:val="Compact"/>
        <w:numPr>
          <w:ilvl w:val="0"/>
          <w:numId w:val="1014"/>
        </w:numPr>
      </w:pPr>
      <w:r>
        <w:t xml:space="preserve">Versioning foreseen</w:t>
      </w:r>
    </w:p>
    <w:p>
      <w:r>
        <w:pict>
          <v:rect style="width:0;height:1.5pt" o:hralign="center" o:hrstd="t" o:hr="t"/>
        </w:pict>
      </w:r>
    </w:p>
    <w:bookmarkEnd w:id="30"/>
    <w:bookmarkStart w:id="31" w:name="star-catalog"/>
    <w:p>
      <w:pPr>
        <w:pStyle w:val="Heading3"/>
      </w:pPr>
      <w:r>
        <w:t xml:space="preserve">Star Catalog</w:t>
      </w:r>
    </w:p>
    <w:p>
      <w:pPr>
        <w:pStyle w:val="Compact"/>
        <w:numPr>
          <w:ilvl w:val="0"/>
          <w:numId w:val="1015"/>
        </w:numPr>
      </w:pPr>
      <w:r>
        <w:t xml:space="preserve">Basis: Tycho/Gaia subset</w:t>
      </w:r>
    </w:p>
    <w:p>
      <w:pPr>
        <w:pStyle w:val="Compact"/>
        <w:numPr>
          <w:ilvl w:val="0"/>
          <w:numId w:val="1015"/>
        </w:numPr>
      </w:pPr>
      <w:r>
        <w:t xml:space="preserve">Limiting magnitude: mag 12</w:t>
      </w:r>
    </w:p>
    <w:p>
      <w:pPr>
        <w:pStyle w:val="Compact"/>
        <w:numPr>
          <w:ilvl w:val="0"/>
          <w:numId w:val="1015"/>
        </w:numPr>
      </w:pPr>
      <w:r>
        <w:t xml:space="preserve">No proper motion (v1)</w:t>
      </w:r>
    </w:p>
    <w:p>
      <w:pPr>
        <w:pStyle w:val="Compact"/>
        <w:numPr>
          <w:ilvl w:val="0"/>
          <w:numId w:val="1015"/>
        </w:numPr>
      </w:pPr>
      <w:r>
        <w:t xml:space="preserve">Catalog exchangeable via interface</w:t>
      </w:r>
    </w:p>
    <w:p>
      <w:pPr>
        <w:pStyle w:val="FirstParagraph"/>
      </w:pPr>
      <w:r>
        <w:t xml:space="preserve">Storage strategy:</w:t>
      </w:r>
    </w:p>
    <w:p>
      <w:pPr>
        <w:pStyle w:val="Compact"/>
        <w:numPr>
          <w:ilvl w:val="0"/>
          <w:numId w:val="1016"/>
        </w:numPr>
      </w:pPr>
      <w:r>
        <w:t xml:space="preserve">RA/Dec binning</w:t>
      </w:r>
    </w:p>
    <w:p>
      <w:pPr>
        <w:pStyle w:val="Compact"/>
        <w:numPr>
          <w:ilvl w:val="0"/>
          <w:numId w:val="1016"/>
        </w:numPr>
      </w:pPr>
      <w:r>
        <w:t xml:space="preserve">2° × 2° cells</w:t>
      </w:r>
    </w:p>
    <w:p>
      <w:pPr>
        <w:pStyle w:val="Compact"/>
        <w:numPr>
          <w:ilvl w:val="0"/>
          <w:numId w:val="1016"/>
        </w:numPr>
      </w:pPr>
      <w:r>
        <w:t xml:space="preserve">Fully indexed at application startup</w:t>
      </w:r>
    </w:p>
    <w:p>
      <w:pPr>
        <w:pStyle w:val="Compact"/>
        <w:numPr>
          <w:ilvl w:val="0"/>
          <w:numId w:val="1016"/>
        </w:numPr>
      </w:pPr>
      <w:r>
        <w:t xml:space="preserve">Magnitude filtering handled at rendering level</w:t>
      </w:r>
    </w:p>
    <w:p>
      <w:r>
        <w:pict>
          <v:rect style="width:0;height:1.5pt" o:hralign="center" o:hrstd="t" o:hr="t"/>
        </w:pict>
      </w:r>
    </w:p>
    <w:bookmarkEnd w:id="31"/>
    <w:bookmarkStart w:id="32" w:name="minor-bodies"/>
    <w:p>
      <w:pPr>
        <w:pStyle w:val="Heading3"/>
      </w:pPr>
      <w:r>
        <w:t xml:space="preserve">Minor Bodies</w:t>
      </w:r>
    </w:p>
    <w:p>
      <w:pPr>
        <w:pStyle w:val="Compact"/>
        <w:numPr>
          <w:ilvl w:val="0"/>
          <w:numId w:val="1017"/>
        </w:numPr>
      </w:pPr>
      <w:r>
        <w:t xml:space="preserve">Source: MPC</w:t>
      </w:r>
    </w:p>
    <w:p>
      <w:pPr>
        <w:pStyle w:val="Compact"/>
        <w:numPr>
          <w:ilvl w:val="0"/>
          <w:numId w:val="1017"/>
        </w:numPr>
      </w:pPr>
      <w:r>
        <w:t xml:space="preserve">Manual snapshot updates</w:t>
      </w:r>
    </w:p>
    <w:p>
      <w:pPr>
        <w:pStyle w:val="Compact"/>
        <w:numPr>
          <w:ilvl w:val="0"/>
          <w:numId w:val="1017"/>
        </w:numPr>
      </w:pPr>
      <w:r>
        <w:t xml:space="preserve">Elliptical elements only (v1)</w:t>
      </w:r>
    </w:p>
    <w:p>
      <w:pPr>
        <w:pStyle w:val="Compact"/>
        <w:numPr>
          <w:ilvl w:val="0"/>
          <w:numId w:val="1017"/>
        </w:numPr>
      </w:pPr>
      <w:r>
        <w:t xml:space="preserve">Dataset version stored for reproducibility</w:t>
      </w:r>
    </w:p>
    <w:p>
      <w:r>
        <w:pict>
          <v:rect style="width:0;height:1.5pt" o:hralign="center" o:hrstd="t" o:hr="t"/>
        </w:pict>
      </w:r>
    </w:p>
    <w:bookmarkEnd w:id="32"/>
    <w:bookmarkStart w:id="33" w:name="reproducibility"/>
    <w:p>
      <w:pPr>
        <w:pStyle w:val="Heading3"/>
      </w:pPr>
      <w:r>
        <w:t xml:space="preserve">Reproducibility</w:t>
      </w:r>
    </w:p>
    <w:p>
      <w:pPr>
        <w:pStyle w:val="FirstParagraph"/>
      </w:pPr>
      <w:r>
        <w:t xml:space="preserve">Reports shall store:</w:t>
      </w:r>
    </w:p>
    <w:p>
      <w:pPr>
        <w:pStyle w:val="Compact"/>
        <w:numPr>
          <w:ilvl w:val="0"/>
          <w:numId w:val="1018"/>
        </w:numPr>
      </w:pPr>
      <w:r>
        <w:t xml:space="preserve">Dataset version</w:t>
      </w:r>
    </w:p>
    <w:p>
      <w:pPr>
        <w:pStyle w:val="Compact"/>
        <w:numPr>
          <w:ilvl w:val="0"/>
          <w:numId w:val="1018"/>
        </w:numPr>
      </w:pPr>
      <w:r>
        <w:t xml:space="preserve">Time model (UTC + ΔT)</w:t>
      </w:r>
    </w:p>
    <w:p>
      <w:pPr>
        <w:pStyle w:val="Compact"/>
        <w:numPr>
          <w:ilvl w:val="0"/>
          <w:numId w:val="1018"/>
        </w:numPr>
      </w:pPr>
      <w:r>
        <w:t xml:space="preserve">Optional code version</w:t>
      </w:r>
    </w:p>
    <w:p>
      <w:pPr>
        <w:pStyle w:val="FirstParagraph"/>
      </w:pPr>
      <w:r>
        <w:t xml:space="preserve">Goal:</w:t>
      </w:r>
    </w:p>
    <w:p>
      <w:pPr>
        <w:pStyle w:val="BlockText"/>
      </w:pPr>
      <w:r>
        <w:t xml:space="preserve">A report must be reproducible years later.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ndering-status-current-state"/>
    <w:p>
      <w:pPr>
        <w:pStyle w:val="Heading2"/>
      </w:pPr>
      <w:r>
        <w:t xml:space="preserve">6. Rendering Status (Current State)</w:t>
      </w:r>
    </w:p>
    <w:p>
      <w:pPr>
        <w:pStyle w:val="FirstParagraph"/>
      </w:pPr>
      <w:r>
        <w:t xml:space="preserve">Current prototype:</w:t>
      </w:r>
    </w:p>
    <w:p>
      <w:pPr>
        <w:pStyle w:val="Compact"/>
        <w:numPr>
          <w:ilvl w:val="0"/>
          <w:numId w:val="1019"/>
        </w:numPr>
      </w:pPr>
      <w:r>
        <w:t xml:space="preserve">Polar projection (Polaris-centered)</w:t>
      </w:r>
    </w:p>
    <w:p>
      <w:pPr>
        <w:pStyle w:val="Compact"/>
        <w:numPr>
          <w:ilvl w:val="0"/>
          <w:numId w:val="1019"/>
        </w:numPr>
      </w:pPr>
      <w:r>
        <w:t xml:space="preserve">Spectral-type based star coloring (temperature derived from BSC spectral class)</w:t>
      </w:r>
    </w:p>
    <w:p>
      <w:pPr>
        <w:pStyle w:val="Compact"/>
        <w:numPr>
          <w:ilvl w:val="0"/>
          <w:numId w:val="1019"/>
        </w:numPr>
      </w:pPr>
      <w:r>
        <w:t xml:space="preserve">Monolithic rendering in</w:t>
      </w:r>
      <w:r>
        <w:t xml:space="preserve"> </w:t>
      </w:r>
      <w:r>
        <w:rPr>
          <w:rStyle w:val="VerbatimChar"/>
        </w:rPr>
        <w:t xml:space="preserve">StarMapControl.OnRender()</w:t>
      </w:r>
    </w:p>
    <w:p>
      <w:pPr>
        <w:pStyle w:val="Compact"/>
        <w:numPr>
          <w:ilvl w:val="0"/>
          <w:numId w:val="1019"/>
        </w:numPr>
      </w:pPr>
      <w:r>
        <w:t xml:space="preserve">CPU-based WPF drawing</w:t>
      </w:r>
    </w:p>
    <w:p>
      <w:pPr>
        <w:pStyle w:val="Compact"/>
        <w:numPr>
          <w:ilvl w:val="0"/>
          <w:numId w:val="1019"/>
        </w:numPr>
      </w:pPr>
      <w:r>
        <w:t xml:space="preserve">Toggleable visual elements (Stars, Constellations, Planets, Circles, Star Colors)</w:t>
      </w:r>
    </w:p>
    <w:p>
      <w:pPr>
        <w:pStyle w:val="FirstParagraph"/>
      </w:pPr>
      <w:r>
        <w:t xml:space="preserve">Rendering refactoring postponed until after ephemeris integration.</w:t>
      </w:r>
    </w:p>
    <w:p>
      <w:r>
        <w:pict>
          <v:rect style="width:0;height:1.5pt" o:hralign="center" o:hrstd="t" o:hr="t"/>
        </w:pict>
      </w:r>
    </w:p>
    <w:bookmarkEnd w:id="35"/>
    <w:bookmarkStart w:id="36" w:name="documentation-strategy"/>
    <w:p>
      <w:pPr>
        <w:pStyle w:val="Heading2"/>
      </w:pPr>
      <w:r>
        <w:t xml:space="preserve">7. Documentation Strategy</w:t>
      </w:r>
    </w:p>
    <w:p>
      <w:pPr>
        <w:pStyle w:val="FirstParagraph"/>
      </w:pPr>
      <w:r>
        <w:t xml:space="preserve">Chat discussion language: German</w:t>
      </w:r>
    </w:p>
    <w:p>
      <w:pPr>
        <w:pStyle w:val="BodyText"/>
      </w:pPr>
      <w:r>
        <w:t xml:space="preserve">Project documentation (working version): German</w:t>
      </w:r>
    </w:p>
    <w:p>
      <w:pPr>
        <w:pStyle w:val="BodyText"/>
      </w:pPr>
      <w:r>
        <w:t xml:space="preserve">Source code (C#, XML comments, public API): English</w:t>
      </w:r>
    </w:p>
    <w:p>
      <w:pPr>
        <w:pStyle w:val="BodyText"/>
      </w:pPr>
      <w:r>
        <w:t xml:space="preserve">Detailed architectural documentation maintained in Markdown files inside repository.</w:t>
      </w:r>
    </w:p>
    <w:p>
      <w:r>
        <w:pict>
          <v:rect style="width:0;height:1.5pt" o:hralign="center" o:hrstd="t" o:hr="t"/>
        </w:pict>
      </w:r>
    </w:p>
    <w:bookmarkEnd w:id="36"/>
    <w:bookmarkStart w:id="37" w:name="guiding-principles"/>
    <w:p>
      <w:pPr>
        <w:pStyle w:val="Heading2"/>
      </w:pPr>
      <w:r>
        <w:t xml:space="preserve">8. Guiding Principles</w:t>
      </w:r>
    </w:p>
    <w:p>
      <w:pPr>
        <w:pStyle w:val="Compact"/>
        <w:numPr>
          <w:ilvl w:val="0"/>
          <w:numId w:val="1020"/>
        </w:numPr>
      </w:pPr>
      <w:r>
        <w:t xml:space="preserve">Clean separation of concerns</w:t>
      </w:r>
    </w:p>
    <w:p>
      <w:pPr>
        <w:pStyle w:val="Compact"/>
        <w:numPr>
          <w:ilvl w:val="0"/>
          <w:numId w:val="1020"/>
        </w:numPr>
      </w:pPr>
      <w:r>
        <w:t xml:space="preserve">Deterministic and testable numerical core</w:t>
      </w:r>
    </w:p>
    <w:p>
      <w:pPr>
        <w:pStyle w:val="Compact"/>
        <w:numPr>
          <w:ilvl w:val="0"/>
          <w:numId w:val="1020"/>
        </w:numPr>
      </w:pPr>
      <w:r>
        <w:t xml:space="preserve">Avoid overengineering</w:t>
      </w:r>
    </w:p>
    <w:p>
      <w:pPr>
        <w:pStyle w:val="Compact"/>
        <w:numPr>
          <w:ilvl w:val="0"/>
          <w:numId w:val="1020"/>
        </w:numPr>
      </w:pPr>
      <w:r>
        <w:t xml:space="preserve">Prefer clarity over premature optimization</w:t>
      </w:r>
    </w:p>
    <w:p>
      <w:pPr>
        <w:pStyle w:val="Compact"/>
        <w:numPr>
          <w:ilvl w:val="0"/>
          <w:numId w:val="1020"/>
        </w:numPr>
      </w:pPr>
      <w:r>
        <w:t xml:space="preserve">Preserve long-term maintainability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Project Context v1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2026-02-14T11:35:46Z</dcterms:created>
  <dcterms:modified xsi:type="dcterms:W3CDTF">2026-02-14T11:35:46Z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