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phemerides-validation-report-v1"/>
    <w:p>
      <w:pPr>
        <w:pStyle w:val="Heading1"/>
      </w:pPr>
      <w:r>
        <w:t xml:space="preserve">Ephemerides Validation Report – V1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Astronometria</w:t>
      </w:r>
      <w:r>
        <w:br/>
      </w:r>
      <w:r>
        <w:rPr>
          <w:b/>
          <w:bCs/>
        </w:rPr>
        <w:t xml:space="preserve">Layer:</w:t>
      </w:r>
      <w:r>
        <w:t xml:space="preserve"> </w:t>
      </w:r>
      <w:r>
        <w:t xml:space="preserve">Ephemerides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VALIDATED (v1)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2026-02-14</w:t>
      </w:r>
    </w:p>
    <w:p>
      <w:r>
        <w:pict>
          <v:rect style="width:0;height:1.5pt" o:hralign="center" o:hrstd="t" o:hr="t"/>
        </w:pic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Validation of the complete analytical ephemeris pipeline:</w:t>
      </w:r>
    </w:p>
    <w:p>
      <w:pPr>
        <w:pStyle w:val="SourceCode"/>
      </w:pPr>
      <w:r>
        <w:rPr>
          <w:rStyle w:val="VerbatimChar"/>
        </w:rPr>
        <w:t xml:space="preserve">VSOP87A (heliocentric, J2000, TT)</w:t>
      </w:r>
      <w:r>
        <w:br/>
      </w:r>
      <w:r>
        <w:rPr>
          <w:rStyle w:val="VerbatimChar"/>
        </w:rPr>
        <w:t xml:space="preserve">→ Earth subtraction (geocentric, ecliptic)</w:t>
      </w:r>
      <w:r>
        <w:br/>
      </w:r>
      <w:r>
        <w:rPr>
          <w:rStyle w:val="VerbatimChar"/>
        </w:rPr>
        <w:t xml:space="preserve">→ Obliquity rotation (equatorial, J2000)</w:t>
      </w:r>
      <w:r>
        <w:br/>
      </w:r>
      <w:r>
        <w:rPr>
          <w:rStyle w:val="VerbatimChar"/>
        </w:rPr>
        <w:t xml:space="preserve">→ RA/Dec derivation</w:t>
      </w:r>
    </w:p>
    <w:p>
      <w:pPr>
        <w:pStyle w:val="FirstParagraph"/>
      </w:pPr>
      <w:r>
        <w:t xml:space="preserve">Velocity support is implemented and internally verified but not yet required in production rendering.</w:t>
      </w:r>
    </w:p>
    <w:p>
      <w:r>
        <w:pict>
          <v:rect style="width:0;height:1.5pt" o:hralign="center" o:hrstd="t" o:hr="t"/>
        </w:pict>
      </w:r>
    </w:p>
    <w:bookmarkEnd w:id="20"/>
    <w:bookmarkStart w:id="24" w:name="reference-frame-definition"/>
    <w:p>
      <w:pPr>
        <w:pStyle w:val="Heading2"/>
      </w:pPr>
      <w:r>
        <w:t xml:space="preserve">2. Reference Frame Definition</w:t>
      </w:r>
    </w:p>
    <w:bookmarkStart w:id="21" w:name="ecliptic-reference-frame-j2000"/>
    <w:p>
      <w:pPr>
        <w:pStyle w:val="Heading3"/>
      </w:pPr>
      <w:r>
        <w:t xml:space="preserve">Ecliptic Reference Frame (J2000)</w:t>
      </w:r>
    </w:p>
    <w:p>
      <w:pPr>
        <w:pStyle w:val="Compact"/>
        <w:numPr>
          <w:ilvl w:val="0"/>
          <w:numId w:val="1001"/>
        </w:numPr>
      </w:pPr>
      <w:r>
        <w:t xml:space="preserve">Origin: Sun (heliocentric) / Earth (after subtraction)</w:t>
      </w:r>
    </w:p>
    <w:p>
      <w:pPr>
        <w:pStyle w:val="Compact"/>
        <w:numPr>
          <w:ilvl w:val="0"/>
          <w:numId w:val="1001"/>
        </w:numPr>
      </w:pPr>
      <w:r>
        <w:t xml:space="preserve">X-axis: Direction of the dynamical vernal equinox (J2000)</w:t>
      </w:r>
    </w:p>
    <w:p>
      <w:pPr>
        <w:pStyle w:val="Compact"/>
        <w:numPr>
          <w:ilvl w:val="0"/>
          <w:numId w:val="1001"/>
        </w:numPr>
      </w:pPr>
      <w:r>
        <w:t xml:space="preserve">Z-axis: North pole of the ecliptic (J2000)</w:t>
      </w:r>
    </w:p>
    <w:p>
      <w:pPr>
        <w:pStyle w:val="Compact"/>
        <w:numPr>
          <w:ilvl w:val="0"/>
          <w:numId w:val="1001"/>
        </w:numPr>
      </w:pPr>
      <w:r>
        <w:t xml:space="preserve">Y-axis: Completes a right-handed system</w:t>
      </w:r>
    </w:p>
    <w:bookmarkEnd w:id="21"/>
    <w:bookmarkStart w:id="22" w:name="equatorial-reference-frame-j2000"/>
    <w:p>
      <w:pPr>
        <w:pStyle w:val="Heading3"/>
      </w:pPr>
      <w:r>
        <w:t xml:space="preserve">Equatorial Reference Frame (J2000)</w:t>
      </w:r>
    </w:p>
    <w:p>
      <w:pPr>
        <w:pStyle w:val="Compact"/>
        <w:numPr>
          <w:ilvl w:val="0"/>
          <w:numId w:val="1002"/>
        </w:numPr>
      </w:pPr>
      <w:r>
        <w:t xml:space="preserve">Obtained via rotation by mean obliquity ε₀</w:t>
      </w:r>
    </w:p>
    <w:p>
      <w:pPr>
        <w:pStyle w:val="Compact"/>
        <w:numPr>
          <w:ilvl w:val="0"/>
          <w:numId w:val="1002"/>
        </w:numPr>
      </w:pPr>
      <w:r>
        <w:t xml:space="preserve">Mean equator of J2000</w:t>
      </w:r>
    </w:p>
    <w:p>
      <w:pPr>
        <w:pStyle w:val="Compact"/>
        <w:numPr>
          <w:ilvl w:val="0"/>
          <w:numId w:val="1002"/>
        </w:numPr>
      </w:pPr>
      <w:r>
        <w:t xml:space="preserve">Validated against ICRF (JPL Horizons)</w:t>
      </w:r>
    </w:p>
    <w:bookmarkEnd w:id="22"/>
    <w:bookmarkStart w:id="23" w:name="time-model"/>
    <w:p>
      <w:pPr>
        <w:pStyle w:val="Heading3"/>
      </w:pPr>
      <w:r>
        <w:t xml:space="preserve">Time Model</w:t>
      </w:r>
    </w:p>
    <w:p>
      <w:pPr>
        <w:pStyle w:val="Compact"/>
        <w:numPr>
          <w:ilvl w:val="0"/>
          <w:numId w:val="1003"/>
        </w:numPr>
      </w:pPr>
      <w:r>
        <w:t xml:space="preserve">Internal ephemeris time: TT (Julian Date TT)</w:t>
      </w:r>
    </w:p>
    <w:p>
      <w:pPr>
        <w:pStyle w:val="Compact"/>
        <w:numPr>
          <w:ilvl w:val="0"/>
          <w:numId w:val="1003"/>
        </w:numPr>
      </w:pPr>
      <w:r>
        <w:t xml:space="preserve">ΔT: Meeus polynomial approximation</w:t>
      </w:r>
    </w:p>
    <w:p>
      <w:pPr>
        <w:pStyle w:val="Compact"/>
        <w:numPr>
          <w:ilvl w:val="0"/>
          <w:numId w:val="1003"/>
        </w:numPr>
      </w:pPr>
      <w:r>
        <w:t xml:space="preserve">External validation performed using TDB (JPL Horizons)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validation-layers"/>
    <w:p>
      <w:pPr>
        <w:pStyle w:val="Heading2"/>
      </w:pPr>
      <w:r>
        <w:t xml:space="preserve">3. Validation Layers</w:t>
      </w:r>
    </w:p>
    <w:bookmarkStart w:id="25" w:name="vsop87a-heliocentric-validation"/>
    <w:p>
      <w:pPr>
        <w:pStyle w:val="Heading3"/>
      </w:pPr>
      <w:r>
        <w:t xml:space="preserve">3.1 VSOP87A – Heliocentric Validation</w:t>
      </w:r>
    </w:p>
    <w:p>
      <w:pPr>
        <w:pStyle w:val="FirstParagraph"/>
      </w:pPr>
      <w:r>
        <w:t xml:space="preserve">Reference source: IMCCE</w:t>
      </w:r>
      <w:r>
        <w:t xml:space="preserve"> </w:t>
      </w:r>
      <w:r>
        <w:rPr>
          <w:rStyle w:val="VerbatimChar"/>
        </w:rPr>
        <w:t xml:space="preserve">vsop87.chk</w:t>
      </w:r>
    </w:p>
    <w:p>
      <w:pPr>
        <w:pStyle w:val="Compact"/>
        <w:numPr>
          <w:ilvl w:val="0"/>
          <w:numId w:val="1004"/>
        </w:numPr>
      </w:pPr>
      <w:r>
        <w:t xml:space="preserve">10 reference epochs per planet</w:t>
      </w:r>
    </w:p>
    <w:p>
      <w:pPr>
        <w:pStyle w:val="Compact"/>
        <w:numPr>
          <w:ilvl w:val="0"/>
          <w:numId w:val="1004"/>
        </w:numPr>
      </w:pPr>
      <w:r>
        <w:t xml:space="preserve">Tolerance:</w:t>
      </w:r>
      <w:r>
        <w:t xml:space="preserve"> </w:t>
      </w:r>
      <w:r>
        <w:rPr>
          <w:rStyle w:val="VerbatimChar"/>
        </w:rPr>
        <w:t xml:space="preserve">1e-10 AU</w:t>
      </w:r>
    </w:p>
    <w:p>
      <w:pPr>
        <w:pStyle w:val="Compact"/>
        <w:numPr>
          <w:ilvl w:val="0"/>
          <w:numId w:val="1004"/>
        </w:numPr>
      </w:pPr>
      <w:r>
        <w:t xml:space="preserve">All tests green</w:t>
      </w:r>
    </w:p>
    <w:p>
      <w:pPr>
        <w:pStyle w:val="FirstParagraph"/>
      </w:pPr>
      <w:r>
        <w:rPr>
          <w:b/>
          <w:bCs/>
        </w:rPr>
        <w:t xml:space="preserve">Result:</w:t>
      </w:r>
      <w:r>
        <w:br/>
      </w:r>
      <w:r>
        <w:t xml:space="preserve">Heliocentric state vectors numerically verified.</w:t>
      </w:r>
    </w:p>
    <w:p>
      <w:r>
        <w:pict>
          <v:rect style="width:0;height:1.5pt" o:hralign="center" o:hrstd="t" o:hr="t"/>
        </w:pict>
      </w:r>
    </w:p>
    <w:bookmarkEnd w:id="25"/>
    <w:bookmarkStart w:id="26" w:name="geocentric-ecliptic-validation"/>
    <w:p>
      <w:pPr>
        <w:pStyle w:val="Heading3"/>
      </w:pPr>
      <w:r>
        <w:t xml:space="preserve">3.2 Geocentric (Ecliptic) Validation</w:t>
      </w:r>
    </w:p>
    <w:p>
      <w:pPr>
        <w:pStyle w:val="FirstParagraph"/>
      </w:pPr>
      <w:r>
        <w:t xml:space="preserve">Algebraic validation:</w:t>
      </w:r>
    </w:p>
    <w:p>
      <w:pPr>
        <w:pStyle w:val="SourceCode"/>
      </w:pPr>
      <w:r>
        <w:rPr>
          <w:rStyle w:val="VerbatimChar"/>
        </w:rPr>
        <w:t xml:space="preserve">Geo = HelioPlanet − HelioEarth</w:t>
      </w:r>
    </w:p>
    <w:p>
      <w:pPr>
        <w:pStyle w:val="FirstParagraph"/>
      </w:pPr>
      <w:r>
        <w:t xml:space="preserve">Test planets:</w:t>
      </w:r>
      <w:r>
        <w:t xml:space="preserve"> </w:t>
      </w:r>
      <w:r>
        <w:t xml:space="preserve">- Mars</w:t>
      </w:r>
      <w:r>
        <w:t xml:space="preserve"> </w:t>
      </w:r>
      <w:r>
        <w:t xml:space="preserve">- Venus</w:t>
      </w:r>
      <w:r>
        <w:t xml:space="preserve"> </w:t>
      </w:r>
      <w:r>
        <w:t xml:space="preserve">- Jupiter</w:t>
      </w:r>
    </w:p>
    <w:p>
      <w:pPr>
        <w:pStyle w:val="BodyText"/>
      </w:pPr>
      <w:r>
        <w:t xml:space="preserve">Test epochs: 1800–2000 range</w:t>
      </w:r>
    </w:p>
    <w:p>
      <w:pPr>
        <w:pStyle w:val="BodyText"/>
      </w:pPr>
      <w:r>
        <w:t xml:space="preserve">Tolerance:</w:t>
      </w:r>
      <w:r>
        <w:t xml:space="preserve"> </w:t>
      </w:r>
      <w:r>
        <w:rPr>
          <w:rStyle w:val="VerbatimChar"/>
        </w:rPr>
        <w:t xml:space="preserve">1e-10 AU</w:t>
      </w:r>
    </w:p>
    <w:p>
      <w:pPr>
        <w:pStyle w:val="BodyText"/>
      </w:pPr>
      <w:r>
        <w:rPr>
          <w:b/>
          <w:bCs/>
        </w:rPr>
        <w:t xml:space="preserve">Result:</w:t>
      </w:r>
      <w:r>
        <w:br/>
      </w:r>
      <w:r>
        <w:t xml:space="preserve">Earth subtraction and geocentric transformation confirmed.</w:t>
      </w:r>
    </w:p>
    <w:p>
      <w:r>
        <w:pict>
          <v:rect style="width:0;height:1.5pt" o:hralign="center" o:hrstd="t" o:hr="t"/>
        </w:pict>
      </w:r>
    </w:p>
    <w:bookmarkEnd w:id="26"/>
    <w:bookmarkStart w:id="27" w:name="geocentric-equatorial-j2000-validation"/>
    <w:p>
      <w:pPr>
        <w:pStyle w:val="Heading3"/>
      </w:pPr>
      <w:r>
        <w:t xml:space="preserve">3.3 Geocentric Equatorial (J2000) Validation</w:t>
      </w:r>
    </w:p>
    <w:p>
      <w:pPr>
        <w:pStyle w:val="FirstParagraph"/>
      </w:pPr>
      <w:r>
        <w:t xml:space="preserve">Reference source: JPL Horizons</w:t>
      </w:r>
    </w:p>
    <w:p>
      <w:pPr>
        <w:pStyle w:val="BodyText"/>
      </w:pPr>
      <w:r>
        <w:t xml:space="preserve">Horizons configuration:</w:t>
      </w:r>
    </w:p>
    <w:p>
      <w:pPr>
        <w:pStyle w:val="Compact"/>
        <w:numPr>
          <w:ilvl w:val="0"/>
          <w:numId w:val="1005"/>
        </w:numPr>
      </w:pPr>
      <w:r>
        <w:t xml:space="preserve">Vector table</w:t>
      </w:r>
    </w:p>
    <w:p>
      <w:pPr>
        <w:pStyle w:val="Compact"/>
        <w:numPr>
          <w:ilvl w:val="0"/>
          <w:numId w:val="1005"/>
        </w:numPr>
      </w:pPr>
      <w:r>
        <w:t xml:space="preserve">Observer:</w:t>
      </w:r>
      <w:r>
        <w:t xml:space="preserve"> </w:t>
      </w:r>
      <w:r>
        <w:t xml:space="preserve">@399</w:t>
      </w:r>
      <w:r>
        <w:t xml:space="preserve"> </w:t>
      </w:r>
      <w:r>
        <w:t xml:space="preserve">(Earth)</w:t>
      </w:r>
    </w:p>
    <w:p>
      <w:pPr>
        <w:pStyle w:val="Compact"/>
        <w:numPr>
          <w:ilvl w:val="0"/>
          <w:numId w:val="1005"/>
        </w:numPr>
      </w:pPr>
      <w:r>
        <w:t xml:space="preserve">Frame: ICRF</w:t>
      </w:r>
    </w:p>
    <w:p>
      <w:pPr>
        <w:pStyle w:val="Compact"/>
        <w:numPr>
          <w:ilvl w:val="0"/>
          <w:numId w:val="1005"/>
        </w:numPr>
      </w:pPr>
      <w:r>
        <w:t xml:space="preserve">Reference plane: equatorial-aligned inertial</w:t>
      </w:r>
    </w:p>
    <w:p>
      <w:pPr>
        <w:pStyle w:val="Compact"/>
        <w:numPr>
          <w:ilvl w:val="0"/>
          <w:numId w:val="1005"/>
        </w:numPr>
      </w:pPr>
      <w:r>
        <w:t xml:space="preserve">Vector correction: geometric states</w:t>
      </w:r>
    </w:p>
    <w:p>
      <w:pPr>
        <w:pStyle w:val="Compact"/>
        <w:numPr>
          <w:ilvl w:val="0"/>
          <w:numId w:val="1005"/>
        </w:numPr>
      </w:pPr>
      <w:r>
        <w:t xml:space="preserve">Time scale: TDB</w:t>
      </w:r>
    </w:p>
    <w:p>
      <w:pPr>
        <w:pStyle w:val="Compact"/>
        <w:numPr>
          <w:ilvl w:val="0"/>
          <w:numId w:val="1005"/>
        </w:numPr>
      </w:pPr>
      <w:r>
        <w:t xml:space="preserve">Units: AU-D</w:t>
      </w:r>
    </w:p>
    <w:p>
      <w:pPr>
        <w:pStyle w:val="FirstParagraph"/>
      </w:pPr>
      <w:r>
        <w:t xml:space="preserve">Test planets:</w:t>
      </w:r>
      <w:r>
        <w:t xml:space="preserve"> </w:t>
      </w:r>
      <w:r>
        <w:t xml:space="preserve">- Mars</w:t>
      </w:r>
      <w:r>
        <w:t xml:space="preserve"> </w:t>
      </w:r>
      <w:r>
        <w:t xml:space="preserve">- Venus</w:t>
      </w:r>
      <w:r>
        <w:t xml:space="preserve"> </w:t>
      </w:r>
      <w:r>
        <w:t xml:space="preserve">- Jupiter</w:t>
      </w:r>
    </w:p>
    <w:p>
      <w:pPr>
        <w:pStyle w:val="BodyText"/>
      </w:pPr>
      <w:r>
        <w:t xml:space="preserve">Test epochs:</w:t>
      </w:r>
      <w:r>
        <w:t xml:space="preserve"> </w:t>
      </w:r>
      <w:r>
        <w:t xml:space="preserve">- JD 2451545.0</w:t>
      </w:r>
      <w:r>
        <w:t xml:space="preserve"> </w:t>
      </w:r>
      <w:r>
        <w:t xml:space="preserve">- JD 2415020.0</w:t>
      </w:r>
      <w:r>
        <w:t xml:space="preserve"> </w:t>
      </w:r>
      <w:r>
        <w:t xml:space="preserve">- JD 2378495.0 (where applicable)</w:t>
      </w:r>
    </w:p>
    <w:p>
      <w:pPr>
        <w:pStyle w:val="BodyText"/>
      </w:pPr>
      <w:r>
        <w:t xml:space="preserve">Tolerance:</w:t>
      </w:r>
      <w:r>
        <w:t xml:space="preserve"> </w:t>
      </w:r>
      <w:r>
        <w:rPr>
          <w:rStyle w:val="VerbatimChar"/>
        </w:rPr>
        <w:t xml:space="preserve">5e-7 AU</w:t>
      </w:r>
    </w:p>
    <w:p>
      <w:pPr>
        <w:pStyle w:val="BodyText"/>
      </w:pPr>
      <w:r>
        <w:t xml:space="preserve">Observed deviations:</w:t>
      </w:r>
      <w:r>
        <w:t xml:space="preserve"> </w:t>
      </w:r>
      <w:r>
        <w:t xml:space="preserve">Within expected VSOP vs DE ephemeris differences (tens of meters).</w:t>
      </w:r>
    </w:p>
    <w:p>
      <w:pPr>
        <w:pStyle w:val="BodyText"/>
      </w:pPr>
      <w:r>
        <w:rPr>
          <w:b/>
          <w:bCs/>
        </w:rPr>
        <w:t xml:space="preserve">Result:</w:t>
      </w:r>
      <w:r>
        <w:br/>
      </w:r>
      <w:r>
        <w:t xml:space="preserve">Independent external validation successful.</w:t>
      </w:r>
    </w:p>
    <w:p>
      <w:r>
        <w:pict>
          <v:rect style="width:0;height:1.5pt" o:hralign="center" o:hrstd="t" o:hr="t"/>
        </w:pict>
      </w:r>
    </w:p>
    <w:bookmarkEnd w:id="27"/>
    <w:bookmarkStart w:id="28" w:name="quadrant-angle-robustness"/>
    <w:p>
      <w:pPr>
        <w:pStyle w:val="Heading3"/>
      </w:pPr>
      <w:r>
        <w:t xml:space="preserve">3.4 Quadrant &amp; Angle Robustness</w:t>
      </w:r>
    </w:p>
    <w:p>
      <w:pPr>
        <w:pStyle w:val="FirstParagraph"/>
      </w:pPr>
      <w:r>
        <w:t xml:space="preserve">Additional validation ensured:</w:t>
      </w:r>
    </w:p>
    <w:p>
      <w:pPr>
        <w:pStyle w:val="Compact"/>
        <w:numPr>
          <w:ilvl w:val="0"/>
          <w:numId w:val="1006"/>
        </w:numPr>
      </w:pPr>
      <w:r>
        <w:t xml:space="preserve">RA normalization to [0°, 360°)</w:t>
      </w:r>
    </w:p>
    <w:p>
      <w:pPr>
        <w:pStyle w:val="Compact"/>
        <w:numPr>
          <w:ilvl w:val="0"/>
          <w:numId w:val="1006"/>
        </w:numPr>
      </w:pPr>
      <w:r>
        <w:t xml:space="preserve">Correct quadrant handling using atan2</w:t>
      </w:r>
    </w:p>
    <w:p>
      <w:pPr>
        <w:pStyle w:val="Compact"/>
        <w:numPr>
          <w:ilvl w:val="0"/>
          <w:numId w:val="1006"/>
        </w:numPr>
      </w:pPr>
      <w:r>
        <w:t xml:space="preserve">Stable declination sign</w:t>
      </w:r>
    </w:p>
    <w:p>
      <w:pPr>
        <w:pStyle w:val="Compact"/>
        <w:numPr>
          <w:ilvl w:val="0"/>
          <w:numId w:val="1006"/>
        </w:numPr>
      </w:pPr>
      <w:r>
        <w:t xml:space="preserve">No NaN or infinity in edge cases</w:t>
      </w:r>
    </w:p>
    <w:p>
      <w:pPr>
        <w:pStyle w:val="FirstParagraph"/>
      </w:pPr>
      <w:r>
        <w:t xml:space="preserve">All tests green.</w:t>
      </w:r>
    </w:p>
    <w:p>
      <w:r>
        <w:pict>
          <v:rect style="width:0;height:1.5pt" o:hralign="center" o:hrstd="t" o:hr="t"/>
        </w:pict>
      </w:r>
    </w:p>
    <w:bookmarkEnd w:id="28"/>
    <w:bookmarkStart w:id="29" w:name="time-model-validation"/>
    <w:p>
      <w:pPr>
        <w:pStyle w:val="Heading3"/>
      </w:pPr>
      <w:r>
        <w:t xml:space="preserve">3.5 Time Model Validation</w:t>
      </w:r>
    </w:p>
    <w:p>
      <w:pPr>
        <w:pStyle w:val="FirstParagraph"/>
      </w:pPr>
      <w:r>
        <w:t xml:space="preserve">Validated:</w:t>
      </w:r>
    </w:p>
    <w:p>
      <w:pPr>
        <w:pStyle w:val="Compact"/>
        <w:numPr>
          <w:ilvl w:val="0"/>
          <w:numId w:val="1007"/>
        </w:numPr>
      </w:pPr>
      <w:r>
        <w:t xml:space="preserve">Calendar → JD_TT conversion</w:t>
      </w:r>
    </w:p>
    <w:p>
      <w:pPr>
        <w:pStyle w:val="Compact"/>
        <w:numPr>
          <w:ilvl w:val="0"/>
          <w:numId w:val="1007"/>
        </w:numPr>
      </w:pPr>
      <w:r>
        <w:t xml:space="preserve">Direct JD_TT constructor</w:t>
      </w:r>
    </w:p>
    <w:p>
      <w:pPr>
        <w:pStyle w:val="Compact"/>
        <w:numPr>
          <w:ilvl w:val="0"/>
          <w:numId w:val="1007"/>
        </w:numPr>
      </w:pPr>
      <w:r>
        <w:t xml:space="preserve">Julian millennia since J2000 consistency</w:t>
      </w:r>
    </w:p>
    <w:p>
      <w:pPr>
        <w:pStyle w:val="FirstParagraph"/>
      </w:pPr>
      <w:r>
        <w:t xml:space="preserve">Tolerance:</w:t>
      </w:r>
      <w:r>
        <w:t xml:space="preserve"> </w:t>
      </w:r>
      <w:r>
        <w:rPr>
          <w:rStyle w:val="VerbatimChar"/>
        </w:rPr>
        <w:t xml:space="preserve">1e-12</w:t>
      </w:r>
    </w:p>
    <w:p>
      <w:pPr>
        <w:pStyle w:val="BodyText"/>
      </w:pPr>
      <w:r>
        <w:rPr>
          <w:b/>
          <w:bCs/>
        </w:rPr>
        <w:t xml:space="preserve">Result:</w:t>
      </w:r>
      <w:r>
        <w:br/>
      </w:r>
      <w:r>
        <w:t xml:space="preserve">Time conversion deterministic and numerically stable.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ritical-debug-milestone"/>
    <w:p>
      <w:pPr>
        <w:pStyle w:val="Heading2"/>
      </w:pPr>
      <w:r>
        <w:t xml:space="preserve">4. Critical Debug Milestone</w:t>
      </w:r>
    </w:p>
    <w:p>
      <w:pPr>
        <w:pStyle w:val="FirstParagraph"/>
      </w:pPr>
      <w:r>
        <w:t xml:space="preserve">A temporary 90° discrepancy was observed during early Horizons comparison.</w:t>
      </w:r>
    </w:p>
    <w:p>
      <w:pPr>
        <w:pStyle w:val="BodyText"/>
      </w:pPr>
      <w:r>
        <w:t xml:space="preserve">Root cause:</w:t>
      </w:r>
      <w:r>
        <w:t xml:space="preserve"> </w:t>
      </w:r>
      <w:r>
        <w:t xml:space="preserve">Incorrect Horizons reference plane setting</w:t>
      </w:r>
      <w:r>
        <w:br/>
      </w:r>
      <w:r>
        <w:t xml:space="preserve">(</w:t>
      </w:r>
      <w:r>
        <w:t xml:space="preserve">“body mean equator and node of date”</w:t>
      </w:r>
      <w:r>
        <w:t xml:space="preserve">)</w:t>
      </w:r>
    </w:p>
    <w:p>
      <w:pPr>
        <w:pStyle w:val="BodyText"/>
      </w:pPr>
      <w:r>
        <w:t xml:space="preserve">Resolution:</w:t>
      </w:r>
      <w:r>
        <w:t xml:space="preserve"> </w:t>
      </w:r>
      <w:r>
        <w:t xml:space="preserve">Switched to equatorial-aligned inertial frame.</w:t>
      </w:r>
    </w:p>
    <w:p>
      <w:pPr>
        <w:pStyle w:val="BodyText"/>
      </w:pPr>
      <w:r>
        <w:t xml:space="preserve">Conclusion:</w:t>
      </w:r>
      <w:r>
        <w:t xml:space="preserve"> </w:t>
      </w:r>
      <w:r>
        <w:t xml:space="preserve">The implementation was correct; the discrepancy originated from external configuration.</w:t>
      </w:r>
    </w:p>
    <w:p>
      <w:pPr>
        <w:pStyle w:val="BodyText"/>
      </w:pPr>
      <w:r>
        <w:t xml:space="preserve">This prevented the introduction of an unnecessary coordinate rotation and preserved frame consistency.</w:t>
      </w:r>
    </w:p>
    <w:p>
      <w:r>
        <w:pict>
          <v:rect style="width:0;height:1.5pt" o:hralign="center" o:hrstd="t" o:hr="t"/>
        </w:pict>
      </w:r>
    </w:p>
    <w:bookmarkEnd w:id="31"/>
    <w:bookmarkStart w:id="32" w:name="numerical-quality-assessment"/>
    <w:p>
      <w:pPr>
        <w:pStyle w:val="Heading2"/>
      </w:pPr>
      <w:r>
        <w:t xml:space="preserve">5. Numerical Quality Assessment</w:t>
      </w:r>
    </w:p>
    <w:p>
      <w:pPr>
        <w:pStyle w:val="FirstParagraph"/>
      </w:pPr>
      <w:r>
        <w:t xml:space="preserve">Typical agreement with JPL DE ephemerides:</w:t>
      </w:r>
    </w:p>
    <w:p>
      <w:pPr>
        <w:pStyle w:val="Compact"/>
        <w:numPr>
          <w:ilvl w:val="0"/>
          <w:numId w:val="1008"/>
        </w:numPr>
      </w:pPr>
      <w:r>
        <w:t xml:space="preserve">Position differences: ~10⁻⁷ AU</w:t>
      </w:r>
    </w:p>
    <w:p>
      <w:pPr>
        <w:pStyle w:val="Compact"/>
        <w:numPr>
          <w:ilvl w:val="0"/>
          <w:numId w:val="1008"/>
        </w:numPr>
      </w:pPr>
      <w:r>
        <w:t xml:space="preserve">Equivalent to tens of meters</w:t>
      </w:r>
    </w:p>
    <w:p>
      <w:pPr>
        <w:pStyle w:val="FirstParagraph"/>
      </w:pPr>
      <w:r>
        <w:t xml:space="preserve">Fully consistent with analytical VSOP87A limitations.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analytical ephemeris pipeline is:</w:t>
      </w:r>
    </w:p>
    <w:p>
      <w:pPr>
        <w:pStyle w:val="Compact"/>
        <w:numPr>
          <w:ilvl w:val="0"/>
          <w:numId w:val="1009"/>
        </w:numPr>
      </w:pPr>
      <w:r>
        <w:t xml:space="preserve">Numerically stable</w:t>
      </w:r>
    </w:p>
    <w:p>
      <w:pPr>
        <w:pStyle w:val="Compact"/>
        <w:numPr>
          <w:ilvl w:val="0"/>
          <w:numId w:val="1009"/>
        </w:numPr>
      </w:pPr>
      <w:r>
        <w:t xml:space="preserve">Frame-consistent</w:t>
      </w:r>
    </w:p>
    <w:p>
      <w:pPr>
        <w:pStyle w:val="Compact"/>
        <w:numPr>
          <w:ilvl w:val="0"/>
          <w:numId w:val="1009"/>
        </w:numPr>
      </w:pPr>
      <w:r>
        <w:t xml:space="preserve">Externally validated</w:t>
      </w:r>
    </w:p>
    <w:p>
      <w:pPr>
        <w:pStyle w:val="Compact"/>
        <w:numPr>
          <w:ilvl w:val="0"/>
          <w:numId w:val="1009"/>
        </w:numPr>
      </w:pPr>
      <w:r>
        <w:t xml:space="preserve">Scientifically robust</w:t>
      </w:r>
    </w:p>
    <w:p>
      <w:pPr>
        <w:pStyle w:val="FirstParagraph"/>
      </w:pPr>
      <w:r>
        <w:t xml:space="preserve">The Ephemerides layer is therefore declared:</w:t>
      </w:r>
    </w:p>
    <w:p>
      <w:pPr>
        <w:pStyle w:val="BlockText"/>
      </w:pPr>
      <w:r>
        <w:rPr>
          <w:b/>
          <w:bCs/>
        </w:rPr>
        <w:t xml:space="preserve">Validated v1 – Scientifically Cross-Verified</w:t>
      </w:r>
    </w:p>
    <w:p>
      <w:pPr>
        <w:pStyle w:val="FirstParagraph"/>
      </w:pPr>
      <w:r>
        <w:t xml:space="preserve">Ready for:</w:t>
      </w:r>
    </w:p>
    <w:p>
      <w:pPr>
        <w:pStyle w:val="Compact"/>
        <w:numPr>
          <w:ilvl w:val="0"/>
          <w:numId w:val="1010"/>
        </w:numPr>
      </w:pPr>
      <w:r>
        <w:t xml:space="preserve">Integration into rendering</w:t>
      </w:r>
    </w:p>
    <w:p>
      <w:pPr>
        <w:pStyle w:val="Compact"/>
        <w:numPr>
          <w:ilvl w:val="0"/>
          <w:numId w:val="1010"/>
        </w:numPr>
      </w:pPr>
      <w:r>
        <w:t xml:space="preserve">RA/Dec projection usage</w:t>
      </w:r>
    </w:p>
    <w:p>
      <w:pPr>
        <w:pStyle w:val="Compact"/>
        <w:numPr>
          <w:ilvl w:val="0"/>
          <w:numId w:val="1010"/>
        </w:numPr>
      </w:pPr>
      <w:r>
        <w:t xml:space="preserve">Simulation layer expansion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Ephemerides Validation Report – V1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2026-02-14T20:35:03Z</dcterms:created>
  <dcterms:modified xsi:type="dcterms:W3CDTF">2026-02-14T20:35:03Z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