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BD2D5D">
      <w:pPr>
        <w:spacing w:line="240" w:lineRule="auto"/>
        <w:ind w:firstLine="0" w:firstLineChars="0"/>
        <w:rPr>
          <w:rFonts w:ascii="Times New Roman" w:hAnsi="Times New Roman" w:cs="Times New Roman"/>
          <w:sz w:val="21"/>
          <w:szCs w:val="20"/>
        </w:rPr>
      </w:pPr>
    </w:p>
    <w:p w14:paraId="40822732">
      <w:pPr>
        <w:spacing w:line="240" w:lineRule="auto"/>
        <w:ind w:firstLine="0" w:firstLineChars="0"/>
        <w:rPr>
          <w:rFonts w:ascii="Times New Roman" w:hAnsi="Times New Roman" w:cs="Times New Roman"/>
          <w:vanish/>
          <w:sz w:val="21"/>
          <w:szCs w:val="20"/>
        </w:rPr>
      </w:pPr>
    </w:p>
    <w:p w14:paraId="5C267DE8">
      <w:pPr>
        <w:spacing w:line="240" w:lineRule="auto"/>
        <w:ind w:firstLineChars="100"/>
        <w:rPr>
          <w:rFonts w:ascii="Times New Roman" w:hAnsi="Times New Roman" w:cs="Times New Roman"/>
          <w:kern w:val="0"/>
          <w:sz w:val="20"/>
          <w:szCs w:val="20"/>
        </w:rPr>
      </w:pPr>
    </w:p>
    <w:p w14:paraId="4BB917D4">
      <w:pPr>
        <w:spacing w:line="240" w:lineRule="auto"/>
        <w:ind w:firstLineChars="100"/>
        <w:rPr>
          <w:rFonts w:ascii="Times New Roman" w:hAnsi="Times New Roman" w:cs="Times New Roman"/>
          <w:kern w:val="0"/>
          <w:sz w:val="20"/>
          <w:szCs w:val="20"/>
        </w:rPr>
      </w:pPr>
    </w:p>
    <w:p w14:paraId="16D40519">
      <w:pPr>
        <w:spacing w:line="240" w:lineRule="auto"/>
        <w:ind w:firstLine="0" w:firstLineChars="0"/>
        <w:rPr>
          <w:rFonts w:ascii="Times New Roman" w:hAnsi="Times New Roman" w:cs="Times New Roman"/>
          <w:kern w:val="0"/>
          <w:sz w:val="20"/>
          <w:szCs w:val="20"/>
        </w:rPr>
      </w:pPr>
    </w:p>
    <w:p w14:paraId="5ED444D4">
      <w:pPr>
        <w:spacing w:line="240" w:lineRule="auto"/>
        <w:ind w:firstLine="0" w:firstLineChars="0"/>
        <w:rPr>
          <w:rFonts w:ascii="Times New Roman" w:hAnsi="Times New Roman" w:cs="Times New Roman"/>
          <w:kern w:val="0"/>
          <w:sz w:val="20"/>
          <w:szCs w:val="20"/>
        </w:rPr>
      </w:pPr>
    </w:p>
    <w:p w14:paraId="1061746D">
      <w:pPr>
        <w:spacing w:line="240" w:lineRule="auto"/>
        <w:ind w:firstLine="0" w:firstLineChars="0"/>
        <w:jc w:val="center"/>
        <w:rPr>
          <w:rFonts w:hint="eastAsia" w:cs="Times New Roman"/>
          <w:b/>
          <w:sz w:val="52"/>
          <w:szCs w:val="52"/>
        </w:rPr>
      </w:pPr>
      <w:r>
        <w:rPr>
          <w:rFonts w:hint="eastAsia" w:cs="Times New Roman"/>
          <w:b/>
          <w:sz w:val="52"/>
          <w:szCs w:val="52"/>
        </w:rPr>
        <w:t>华南农业大学数信学院</w:t>
      </w:r>
    </w:p>
    <w:p w14:paraId="05BC334C">
      <w:pPr>
        <w:spacing w:line="240" w:lineRule="auto"/>
        <w:ind w:firstLine="0" w:firstLineChars="0"/>
        <w:jc w:val="center"/>
        <w:rPr>
          <w:rFonts w:hint="eastAsia" w:cs="Times New Roman"/>
          <w:b/>
          <w:sz w:val="52"/>
          <w:szCs w:val="52"/>
        </w:rPr>
      </w:pPr>
      <w:r>
        <w:rPr>
          <w:rFonts w:hint="eastAsia" w:cs="Times New Roman"/>
          <w:b/>
          <w:sz w:val="52"/>
          <w:szCs w:val="52"/>
        </w:rPr>
        <w:t>本科生课程设计报告</w:t>
      </w:r>
    </w:p>
    <w:p w14:paraId="200898D8">
      <w:pPr>
        <w:spacing w:line="240" w:lineRule="auto"/>
        <w:ind w:left="480" w:firstLine="0" w:firstLineChars="0"/>
        <w:jc w:val="center"/>
        <w:rPr>
          <w:rFonts w:hint="eastAsia" w:ascii="楷体_GB2312" w:eastAsia="楷体_GB2312" w:cs="Times New Roman"/>
          <w:sz w:val="21"/>
          <w:szCs w:val="20"/>
        </w:rPr>
      </w:pPr>
    </w:p>
    <w:p w14:paraId="04DC4CB9">
      <w:pPr>
        <w:spacing w:line="240" w:lineRule="auto"/>
        <w:ind w:left="480" w:firstLine="0" w:firstLineChars="0"/>
        <w:jc w:val="center"/>
        <w:rPr>
          <w:rFonts w:hint="eastAsia" w:ascii="楷体_GB2312" w:eastAsia="楷体_GB2312" w:cs="Times New Roman"/>
          <w:sz w:val="21"/>
          <w:szCs w:val="20"/>
        </w:rPr>
      </w:pPr>
    </w:p>
    <w:p w14:paraId="1277F5CE">
      <w:pPr>
        <w:spacing w:line="240" w:lineRule="auto"/>
        <w:ind w:left="480" w:firstLine="0" w:firstLineChars="0"/>
        <w:jc w:val="center"/>
        <w:rPr>
          <w:rFonts w:hint="eastAsia" w:cs="Times New Roman"/>
          <w:sz w:val="21"/>
          <w:szCs w:val="20"/>
        </w:rPr>
      </w:pPr>
    </w:p>
    <w:p w14:paraId="1F1D93D7">
      <w:pPr>
        <w:spacing w:line="640" w:lineRule="exact"/>
        <w:ind w:firstLine="0" w:firstLineChars="0"/>
        <w:jc w:val="center"/>
        <w:rPr>
          <w:rFonts w:ascii="黑体" w:hAnsi="Times New Roman" w:eastAsia="黑体" w:cs="Times New Roman"/>
          <w:b/>
          <w:sz w:val="44"/>
          <w:szCs w:val="44"/>
        </w:rPr>
      </w:pPr>
    </w:p>
    <w:p w14:paraId="4CBD54D4">
      <w:pPr>
        <w:spacing w:line="240" w:lineRule="auto"/>
        <w:ind w:firstLine="0" w:firstLineChars="0"/>
        <w:jc w:val="center"/>
        <w:rPr>
          <w:rFonts w:hint="eastAsia" w:cs="Times New Roman"/>
          <w:sz w:val="21"/>
          <w:szCs w:val="20"/>
        </w:rPr>
      </w:pPr>
      <w:r>
        <w:rPr>
          <w:rFonts w:hint="eastAsia" w:ascii="黑体" w:hAnsi="Times New Roman" w:eastAsia="黑体" w:cs="Times New Roman"/>
          <w:b/>
          <w:sz w:val="44"/>
          <w:szCs w:val="44"/>
        </w:rPr>
        <w:t>人工智能智慧交通实训报告</w:t>
      </w:r>
    </w:p>
    <w:p w14:paraId="166C2BED">
      <w:pPr>
        <w:spacing w:line="240" w:lineRule="auto"/>
        <w:ind w:left="480" w:firstLine="0" w:firstLineChars="0"/>
        <w:jc w:val="center"/>
        <w:rPr>
          <w:rFonts w:hint="eastAsia" w:cs="Times New Roman"/>
          <w:sz w:val="21"/>
          <w:szCs w:val="20"/>
        </w:rPr>
      </w:pPr>
    </w:p>
    <w:p w14:paraId="4EDDCD95">
      <w:pPr>
        <w:spacing w:line="240" w:lineRule="auto"/>
        <w:ind w:left="480" w:firstLine="0" w:firstLineChars="0"/>
        <w:jc w:val="center"/>
        <w:rPr>
          <w:rFonts w:hint="eastAsia" w:cs="Times New Roman"/>
          <w:sz w:val="21"/>
          <w:szCs w:val="20"/>
        </w:rPr>
      </w:pPr>
    </w:p>
    <w:p w14:paraId="2E24A698">
      <w:pPr>
        <w:spacing w:line="240" w:lineRule="auto"/>
        <w:ind w:left="480" w:firstLine="0" w:firstLineChars="0"/>
        <w:jc w:val="center"/>
        <w:rPr>
          <w:rFonts w:hint="eastAsia" w:cs="Times New Roman"/>
          <w:sz w:val="21"/>
          <w:szCs w:val="20"/>
        </w:rPr>
      </w:pPr>
    </w:p>
    <w:p w14:paraId="4F17EA69">
      <w:pPr>
        <w:spacing w:line="240" w:lineRule="auto"/>
        <w:ind w:left="480" w:firstLine="0" w:firstLineChars="0"/>
        <w:jc w:val="center"/>
        <w:rPr>
          <w:rFonts w:hint="eastAsia" w:cs="Times New Roman"/>
          <w:sz w:val="21"/>
          <w:szCs w:val="20"/>
        </w:rPr>
      </w:pPr>
    </w:p>
    <w:p w14:paraId="6388AC23">
      <w:pPr>
        <w:spacing w:line="240" w:lineRule="auto"/>
        <w:ind w:firstLine="0" w:firstLineChars="0"/>
        <w:rPr>
          <w:rFonts w:ascii="Times New Roman" w:hAnsi="Times New Roman" w:cs="Times New Roman"/>
          <w:sz w:val="21"/>
          <w:szCs w:val="20"/>
        </w:rPr>
      </w:pPr>
    </w:p>
    <w:p w14:paraId="0D40AD6F">
      <w:pPr>
        <w:spacing w:line="480" w:lineRule="auto"/>
        <w:ind w:firstLine="0" w:firstLineChars="0"/>
        <w:rPr>
          <w:rFonts w:hint="eastAsia" w:cs="Times New Roman"/>
          <w:sz w:val="30"/>
          <w:szCs w:val="30"/>
        </w:rPr>
      </w:pPr>
      <w:r>
        <w:rPr>
          <w:rFonts w:cs="Times New Roman"/>
          <w:sz w:val="30"/>
          <w:szCs w:val="30"/>
        </w:rPr>
        <w:t>专 业 名 称  ： [在此填写专业]</w:t>
      </w:r>
    </w:p>
    <w:p w14:paraId="054A3253">
      <w:pPr>
        <w:spacing w:line="480" w:lineRule="auto"/>
        <w:ind w:firstLine="0" w:firstLineChars="0"/>
        <w:rPr>
          <w:rFonts w:hint="eastAsia" w:cs="Times New Roman"/>
          <w:sz w:val="30"/>
          <w:szCs w:val="30"/>
        </w:rPr>
      </w:pPr>
      <w:r>
        <w:rPr>
          <w:rFonts w:cs="Times New Roman"/>
          <w:sz w:val="30"/>
          <w:szCs w:val="30"/>
        </w:rPr>
        <w:t>课 程 名 称  ： 人工智能智慧交通项目实训</w:t>
      </w:r>
    </w:p>
    <w:p w14:paraId="0A795A12">
      <w:pPr>
        <w:spacing w:line="480" w:lineRule="auto"/>
        <w:ind w:firstLine="0" w:firstLineChars="0"/>
        <w:rPr>
          <w:rFonts w:hint="eastAsia" w:cs="Times New Roman"/>
          <w:sz w:val="30"/>
          <w:szCs w:val="30"/>
        </w:rPr>
      </w:pPr>
      <w:r>
        <w:rPr>
          <w:rFonts w:cs="Times New Roman"/>
          <w:sz w:val="30"/>
          <w:szCs w:val="30"/>
        </w:rPr>
        <w:t>指 导 教 师  ： 赵国权</w:t>
      </w:r>
    </w:p>
    <w:p w14:paraId="2EE314D4">
      <w:pPr>
        <w:spacing w:line="480" w:lineRule="auto"/>
        <w:ind w:firstLine="0" w:firstLineChars="0"/>
        <w:rPr>
          <w:rFonts w:hint="eastAsia" w:cs="Times New Roman"/>
          <w:sz w:val="30"/>
          <w:szCs w:val="30"/>
        </w:rPr>
      </w:pPr>
      <w:r>
        <w:rPr>
          <w:rFonts w:cs="Times New Roman"/>
          <w:sz w:val="30"/>
          <w:szCs w:val="30"/>
        </w:rPr>
        <w:tab/>
      </w:r>
      <w:r>
        <w:rPr>
          <w:rFonts w:cs="Times New Roman"/>
          <w:sz w:val="30"/>
          <w:szCs w:val="30"/>
        </w:rPr>
        <w:tab/>
      </w:r>
      <w:r>
        <w:rPr>
          <w:rFonts w:cs="Times New Roman"/>
          <w:sz w:val="30"/>
          <w:szCs w:val="30"/>
        </w:rPr>
        <w:tab/>
      </w:r>
      <w:r>
        <w:rPr>
          <w:rFonts w:cs="Times New Roman"/>
          <w:sz w:val="30"/>
          <w:szCs w:val="30"/>
        </w:rPr>
        <w:tab/>
      </w:r>
      <w:r>
        <w:rPr>
          <w:rFonts w:cs="Times New Roman"/>
          <w:sz w:val="30"/>
          <w:szCs w:val="30"/>
        </w:rPr>
        <w:tab/>
      </w:r>
    </w:p>
    <w:p w14:paraId="2F2A0723">
      <w:pPr>
        <w:spacing w:line="480" w:lineRule="auto"/>
        <w:ind w:firstLine="0" w:firstLineChars="0"/>
        <w:rPr>
          <w:rFonts w:hint="eastAsia" w:cs="Times New Roman"/>
          <w:sz w:val="30"/>
          <w:szCs w:val="30"/>
        </w:rPr>
      </w:pPr>
      <w:r>
        <w:rPr>
          <w:rFonts w:cs="Times New Roman"/>
          <w:sz w:val="30"/>
          <w:szCs w:val="30"/>
        </w:rPr>
        <w:t>学 生 学 号  ： [在此填写学号]</w:t>
      </w:r>
    </w:p>
    <w:p w14:paraId="7A60897A">
      <w:pPr>
        <w:spacing w:line="480" w:lineRule="auto"/>
        <w:ind w:firstLine="0" w:firstLineChars="0"/>
        <w:rPr>
          <w:rFonts w:hint="eastAsia" w:cs="Times New Roman"/>
          <w:sz w:val="30"/>
          <w:szCs w:val="30"/>
        </w:rPr>
      </w:pPr>
      <w:r>
        <w:rPr>
          <w:rFonts w:cs="Times New Roman"/>
          <w:sz w:val="30"/>
          <w:szCs w:val="30"/>
        </w:rPr>
        <w:t>学 生 姓 名  ： [在此填写姓名]</w:t>
      </w:r>
    </w:p>
    <w:p w14:paraId="6486FD43">
      <w:pPr>
        <w:spacing w:line="480" w:lineRule="auto"/>
        <w:ind w:left="550" w:leftChars="229" w:firstLine="2880" w:firstLineChars="1200"/>
        <w:rPr>
          <w:rFonts w:ascii="Times New Roman" w:hAnsi="Times New Roman" w:cs="Times New Roman"/>
          <w:szCs w:val="20"/>
        </w:rPr>
      </w:pPr>
      <w:r>
        <w:rPr>
          <w:rFonts w:hint="eastAsia" w:ascii="Times New Roman" w:hAnsi="Times New Roman" w:cs="Times New Roman"/>
          <w:szCs w:val="20"/>
        </w:rPr>
        <w:t xml:space="preserve">          </w:t>
      </w:r>
    </w:p>
    <w:p w14:paraId="29AEDB91">
      <w:pPr>
        <w:spacing w:line="240" w:lineRule="auto"/>
        <w:ind w:firstLine="0" w:firstLineChars="0"/>
        <w:rPr>
          <w:rFonts w:ascii="Times New Roman" w:hAnsi="Times New Roman" w:cs="Times New Roman"/>
          <w:sz w:val="21"/>
          <w:szCs w:val="20"/>
        </w:rPr>
      </w:pPr>
    </w:p>
    <w:p w14:paraId="342A168E">
      <w:pPr>
        <w:spacing w:line="240" w:lineRule="auto"/>
        <w:ind w:firstLine="0" w:firstLineChars="0"/>
        <w:jc w:val="center"/>
        <w:rPr>
          <w:rFonts w:hint="eastAsia" w:cs="Times New Roman"/>
          <w:sz w:val="36"/>
          <w:szCs w:val="36"/>
        </w:rPr>
      </w:pPr>
      <w:r>
        <w:rPr>
          <w:rFonts w:hint="eastAsia" w:cs="Times New Roman"/>
          <w:sz w:val="36"/>
          <w:szCs w:val="36"/>
        </w:rPr>
        <w:t>二○二六年九月</w:t>
      </w:r>
    </w:p>
    <w:p w14:paraId="4DB006FF">
      <w:pPr>
        <w:widowControl/>
        <w:spacing w:line="240" w:lineRule="auto"/>
        <w:ind w:firstLine="0" w:firstLineChars="0"/>
        <w:jc w:val="center"/>
        <w:rPr>
          <w:rFonts w:hint="eastAsia" w:cs="Times New Roman"/>
          <w:b/>
          <w:kern w:val="0"/>
          <w:sz w:val="30"/>
          <w:szCs w:val="30"/>
        </w:rPr>
      </w:pPr>
    </w:p>
    <w:p w14:paraId="7509546D">
      <w:pPr>
        <w:spacing w:line="440" w:lineRule="exact"/>
        <w:ind w:firstLine="883"/>
        <w:jc w:val="center"/>
        <w:rPr>
          <w:rFonts w:hint="eastAsia" w:cs="Times New Roman"/>
          <w:b/>
          <w:sz w:val="44"/>
          <w:szCs w:val="44"/>
        </w:rPr>
      </w:pPr>
    </w:p>
    <w:p w14:paraId="307428DF">
      <w:pPr>
        <w:spacing w:line="440" w:lineRule="exact"/>
        <w:ind w:firstLine="883"/>
        <w:jc w:val="center"/>
        <w:rPr>
          <w:rFonts w:hint="eastAsia" w:cs="Times New Roman"/>
          <w:b/>
          <w:sz w:val="44"/>
          <w:szCs w:val="44"/>
        </w:rPr>
      </w:pPr>
    </w:p>
    <w:p w14:paraId="01F8DA1B">
      <w:pPr>
        <w:spacing w:line="440" w:lineRule="exact"/>
        <w:ind w:firstLine="883"/>
        <w:jc w:val="center"/>
        <w:rPr>
          <w:rFonts w:hint="eastAsia" w:cs="Times New Roman"/>
          <w:b/>
          <w:sz w:val="44"/>
          <w:szCs w:val="44"/>
        </w:rPr>
      </w:pPr>
    </w:p>
    <w:p w14:paraId="42D3DEB4">
      <w:pPr>
        <w:spacing w:line="440" w:lineRule="exact"/>
        <w:ind w:firstLine="0" w:firstLineChars="0"/>
        <w:jc w:val="center"/>
        <w:rPr>
          <w:rFonts w:hint="eastAsia" w:cs="Times New Roman"/>
          <w:b/>
          <w:sz w:val="44"/>
          <w:szCs w:val="44"/>
        </w:rPr>
      </w:pPr>
      <w:r>
        <w:rPr>
          <w:rFonts w:hint="eastAsia" w:cs="Times New Roman"/>
          <w:b/>
          <w:sz w:val="44"/>
          <w:szCs w:val="44"/>
        </w:rPr>
        <w:t>郑 重 声 明</w:t>
      </w:r>
    </w:p>
    <w:p w14:paraId="55136F44">
      <w:pPr>
        <w:spacing w:line="440" w:lineRule="exact"/>
        <w:ind w:firstLine="720" w:firstLineChars="0"/>
        <w:jc w:val="left"/>
        <w:rPr>
          <w:rFonts w:hint="eastAsia" w:cs="Times New Roman"/>
          <w:szCs w:val="20"/>
        </w:rPr>
      </w:pPr>
    </w:p>
    <w:p w14:paraId="65A0664F">
      <w:pPr>
        <w:spacing w:line="460" w:lineRule="exact"/>
        <w:ind w:firstLine="560"/>
        <w:jc w:val="left"/>
        <w:rPr>
          <w:rFonts w:hint="eastAsia" w:cs="Times New Roman"/>
          <w:sz w:val="28"/>
          <w:szCs w:val="28"/>
        </w:rPr>
      </w:pPr>
      <w:r>
        <w:rPr>
          <w:rFonts w:hint="eastAsia" w:cs="Times New Roman"/>
          <w:sz w:val="28"/>
          <w:szCs w:val="28"/>
        </w:rPr>
        <w:t>本人呈交的实验报告，是在指导老师的指导下，独立进行实验工作所取得的成果，所有数据、图片资料真实可靠。尽我所知，除文中已经注明引用的内容外，本实验报告不包含他人享有著作权的内容。对本实验报告做出贡献的其他个人和集体，均已在文中以明确的方式标明。本实验报告的知识产权归属于培养单位。</w:t>
      </w:r>
    </w:p>
    <w:p w14:paraId="5581C009">
      <w:pPr>
        <w:spacing w:line="440" w:lineRule="exact"/>
        <w:ind w:firstLine="720" w:firstLineChars="0"/>
        <w:jc w:val="left"/>
        <w:rPr>
          <w:rFonts w:hint="eastAsia" w:cs="Times New Roman"/>
          <w:sz w:val="28"/>
          <w:szCs w:val="28"/>
        </w:rPr>
      </w:pPr>
    </w:p>
    <w:p w14:paraId="6DB10337">
      <w:pPr>
        <w:spacing w:line="440" w:lineRule="exact"/>
        <w:ind w:firstLine="720" w:firstLineChars="0"/>
        <w:jc w:val="left"/>
        <w:rPr>
          <w:rFonts w:hint="eastAsia" w:cs="Times New Roman"/>
          <w:sz w:val="28"/>
          <w:szCs w:val="28"/>
        </w:rPr>
      </w:pPr>
    </w:p>
    <w:p w14:paraId="3AD54F0A">
      <w:pPr>
        <w:spacing w:line="440" w:lineRule="exact"/>
        <w:ind w:firstLine="720" w:firstLineChars="0"/>
        <w:jc w:val="left"/>
        <w:rPr>
          <w:rFonts w:hint="eastAsia" w:cs="Times New Roman"/>
          <w:sz w:val="28"/>
          <w:szCs w:val="28"/>
        </w:rPr>
      </w:pPr>
    </w:p>
    <w:p w14:paraId="2446086D">
      <w:pPr>
        <w:spacing w:line="440" w:lineRule="exact"/>
        <w:ind w:firstLine="720" w:firstLineChars="0"/>
        <w:jc w:val="left"/>
        <w:rPr>
          <w:rFonts w:hint="eastAsia" w:cs="Times New Roman"/>
          <w:sz w:val="28"/>
          <w:szCs w:val="28"/>
        </w:rPr>
      </w:pPr>
    </w:p>
    <w:p w14:paraId="13B7E8A5">
      <w:pPr>
        <w:spacing w:line="440" w:lineRule="exact"/>
        <w:ind w:firstLine="720" w:firstLineChars="0"/>
        <w:jc w:val="left"/>
        <w:rPr>
          <w:rFonts w:hint="eastAsia" w:cs="Times New Roman"/>
          <w:sz w:val="28"/>
          <w:szCs w:val="28"/>
        </w:rPr>
      </w:pPr>
      <w:r>
        <w:t>本人签名：                      日期：       2026.09.05</w:t>
      </w:r>
    </w:p>
    <w:p w14:paraId="07B71F85">
      <w:pPr>
        <w:ind w:firstLine="0" w:firstLineChars="0"/>
        <w:jc w:val="center"/>
        <w:rPr>
          <w:rFonts w:ascii="黑体" w:hAnsi="Times New Roman" w:eastAsia="黑体" w:cs="Times New Roman"/>
          <w:sz w:val="36"/>
          <w:szCs w:val="36"/>
        </w:rPr>
      </w:pPr>
      <w:bookmarkStart w:id="0" w:name="_Hlk169972152"/>
      <w:r>
        <w:rPr>
          <w:rFonts w:hint="eastAsia" w:ascii="黑体" w:hAnsi="Times New Roman" w:eastAsia="黑体" w:cs="Times New Roman"/>
          <w:sz w:val="36"/>
          <w:szCs w:val="36"/>
        </w:rPr>
        <w:t xml:space="preserve">摘 </w:t>
      </w:r>
      <w:r>
        <w:rPr>
          <w:rFonts w:ascii="黑体" w:hAnsi="Times New Roman" w:eastAsia="黑体" w:cs="Times New Roman"/>
          <w:sz w:val="36"/>
          <w:szCs w:val="36"/>
        </w:rPr>
        <w:t xml:space="preserve"> </w:t>
      </w:r>
      <w:r>
        <w:rPr>
          <w:rFonts w:hint="eastAsia" w:ascii="黑体" w:hAnsi="Times New Roman" w:eastAsia="黑体" w:cs="Times New Roman"/>
          <w:sz w:val="36"/>
          <w:szCs w:val="36"/>
        </w:rPr>
        <w:t>要</w:t>
      </w:r>
    </w:p>
    <w:bookmarkEnd w:id="0"/>
    <w:p w14:paraId="1740DA9B">
      <w:pPr>
        <w:ind w:firstLine="480"/>
        <w:jc w:val="center"/>
        <w:rPr>
          <w:rFonts w:ascii="楷体_GB2312" w:hAnsi="Times New Roman" w:eastAsia="楷体_GB2312" w:cs="Times New Roman"/>
          <w:szCs w:val="21"/>
        </w:rPr>
      </w:pPr>
    </w:p>
    <w:p w14:paraId="1C09FD87">
      <w:pPr>
        <w:ind w:firstLine="480"/>
        <w:rPr>
          <w:rFonts w:hint="eastAsia" w:cs="Times New Roman"/>
        </w:rPr>
      </w:pPr>
      <w:r>
        <w:rPr>
          <w:rFonts w:ascii="宋体" w:hAnsi="宋体" w:eastAsia="宋体"/>
          <w:color w:val="000000"/>
          <w:sz w:val="21"/>
        </w:rPr>
        <w:t>本实训报告基于“人工智能智慧交通”项目，记录从视频采集、车辆与车牌识别、违章事件生成，到Kafka异步流转、TimescaleDB时序存储、PyTorch时序预测、ONNX服务化和Streamlit WebGIS展示的工程实践。当前版本已形成OpenCV/YOLO/PaddleOCR—Kafka—TimescaleDB—FastAPI/ONNX—Streamlit的单机原型链路，并使用Pandas与DuckDB完成离线分析。中国交通流LSTM模型属于研究候选，边缘侧已完成通用ONNX导出与CPU验证，尚未形成目标设备量化制品。课件提出的Flink SQL实时计算、Milvus Lite法规知识库、Traffic Cop Agent、CrewAI与Qwen-VL应急协同仍需建设，本报告据此给出满足度审计和分阶段实施计划。</w:t>
      </w:r>
    </w:p>
    <w:p w14:paraId="5109B984">
      <w:pPr>
        <w:ind w:firstLine="0" w:firstLineChars="0"/>
        <w:rPr>
          <w:rFonts w:hint="eastAsia" w:cs="Times New Roman"/>
        </w:rPr>
      </w:pPr>
      <w:r>
        <w:t>关键词：智慧交通；YOLOv8目标检测；PaddleOCR车牌识别；PyTorch LSTM时序预测；TimescaleDB时序数据库</w:t>
      </w:r>
    </w:p>
    <w:p w14:paraId="60C10FF8">
      <w:pPr>
        <w:widowControl/>
        <w:ind w:firstLine="480"/>
        <w:jc w:val="left"/>
        <w:rPr>
          <w:rFonts w:hint="eastAsia"/>
        </w:rPr>
      </w:pPr>
    </w:p>
    <w:p w14:paraId="61D5EBA5">
      <w:pPr>
        <w:widowControl/>
        <w:spacing w:line="240" w:lineRule="auto"/>
        <w:ind w:firstLine="0" w:firstLineChars="0"/>
        <w:jc w:val="left"/>
        <w:rPr>
          <w:rFonts w:hint="eastAsia"/>
        </w:rPr>
      </w:pPr>
    </w:p>
    <w:tbl>
      <w:tblPr>
        <w:tblStyle w:val="2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296"/>
      </w:tblGrid>
      <w:tr w14:paraId="6FE1DF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24" w:hRule="atLeast"/>
        </w:trPr>
        <w:tc>
          <w:tcPr>
            <w:tcW w:w="8296" w:type="dxa"/>
          </w:tcPr>
          <w:p w14:paraId="5CEF1A53">
            <w:pPr>
              <w:spacing w:line="240" w:lineRule="auto"/>
              <w:ind w:firstLine="0" w:firstLineChars="0"/>
              <w:rPr>
                <w:rFonts w:hint="eastAsia" w:cs="Times New Roman"/>
                <w:sz w:val="28"/>
                <w:szCs w:val="28"/>
              </w:rPr>
            </w:pPr>
            <w:r>
              <w:rPr>
                <w:rFonts w:hint="eastAsia" w:cs="Times New Roman"/>
                <w:sz w:val="28"/>
                <w:szCs w:val="28"/>
              </w:rPr>
              <w:t>【结论】：</w:t>
            </w:r>
          </w:p>
          <w:p w14:paraId="7A5A7006">
            <w:pPr>
              <w:spacing w:line="240" w:lineRule="auto"/>
              <w:ind w:firstLine="0" w:firstLineChars="0"/>
              <w:rPr>
                <w:rFonts w:hint="eastAsia" w:cs="Times New Roman"/>
                <w:sz w:val="28"/>
                <w:szCs w:val="28"/>
              </w:rPr>
            </w:pPr>
            <w:r>
              <w:rPr>
                <w:rFonts w:hint="eastAsia" w:cs="Times New Roman"/>
                <w:sz w:val="28"/>
                <w:szCs w:val="28"/>
              </w:rPr>
              <w:t>通过四个综合项目的实施，成功验证了</w:t>
            </w:r>
            <w:r>
              <w:rPr>
                <w:rFonts w:cs="Times New Roman"/>
                <w:sz w:val="28"/>
                <w:szCs w:val="28"/>
              </w:rPr>
              <w:t>JETLinks、ThingsBoard、Kaa IoT平台及JMeter在物联网系统开发与数据库性能测试中的高效性与实用性，为智能场景应用提供了技术支持。</w:t>
            </w:r>
          </w:p>
          <w:p w14:paraId="18F7A782">
            <w:pPr>
              <w:spacing w:line="240" w:lineRule="auto"/>
              <w:ind w:firstLine="0" w:firstLineChars="0"/>
              <w:rPr>
                <w:rFonts w:hint="eastAsia" w:cs="Times New Roman"/>
                <w:sz w:val="28"/>
                <w:szCs w:val="28"/>
              </w:rPr>
            </w:pPr>
          </w:p>
        </w:tc>
      </w:tr>
      <w:tr w14:paraId="2633F9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24" w:hRule="atLeast"/>
        </w:trPr>
        <w:tc>
          <w:tcPr>
            <w:tcW w:w="8296" w:type="dxa"/>
          </w:tcPr>
          <w:p w14:paraId="4741365D">
            <w:pPr>
              <w:spacing w:line="240" w:lineRule="auto"/>
              <w:ind w:firstLine="0" w:firstLineChars="0"/>
              <w:jc w:val="left"/>
              <w:rPr>
                <w:rFonts w:hint="eastAsia" w:cs="Times New Roman"/>
                <w:sz w:val="28"/>
                <w:szCs w:val="28"/>
              </w:rPr>
            </w:pPr>
            <w:r>
              <w:rPr>
                <w:rFonts w:hint="eastAsia" w:cs="Times New Roman"/>
                <w:sz w:val="28"/>
                <w:szCs w:val="28"/>
              </w:rPr>
              <w:t>【小结】：</w:t>
            </w:r>
          </w:p>
          <w:p w14:paraId="544DCA9F">
            <w:pPr>
              <w:spacing w:line="240" w:lineRule="auto"/>
              <w:ind w:firstLine="0" w:firstLineChars="0"/>
              <w:jc w:val="left"/>
              <w:rPr>
                <w:rFonts w:hint="eastAsia" w:cs="Times New Roman"/>
                <w:sz w:val="28"/>
                <w:szCs w:val="28"/>
              </w:rPr>
            </w:pPr>
            <w:r>
              <w:rPr>
                <w:rFonts w:hint="eastAsia" w:cs="Times New Roman"/>
                <w:sz w:val="28"/>
                <w:szCs w:val="28"/>
              </w:rPr>
              <w:t>本次实验通过</w:t>
            </w:r>
            <w:r>
              <w:rPr>
                <w:rFonts w:cs="Times New Roman"/>
                <w:sz w:val="28"/>
                <w:szCs w:val="28"/>
              </w:rPr>
              <w:t>JETLinks、ThingsBoard、Kaa及JMeter项目的实践，全面掌握了物联网平台配置、设备通信、数据可视化、安全认证及性能测试技术，提升了综合开发能力。</w:t>
            </w:r>
          </w:p>
          <w:p w14:paraId="4E657B32">
            <w:pPr>
              <w:spacing w:line="240" w:lineRule="auto"/>
              <w:ind w:firstLine="0" w:firstLineChars="0"/>
              <w:jc w:val="left"/>
              <w:rPr>
                <w:rFonts w:hint="eastAsia" w:cs="Times New Roman"/>
                <w:sz w:val="28"/>
                <w:szCs w:val="28"/>
              </w:rPr>
            </w:pPr>
          </w:p>
        </w:tc>
      </w:tr>
      <w:tr w14:paraId="39FCAD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6" w:hRule="atLeast"/>
        </w:trPr>
        <w:tc>
          <w:tcPr>
            <w:tcW w:w="8296" w:type="dxa"/>
          </w:tcPr>
          <w:p w14:paraId="32EC9AD5">
            <w:pPr>
              <w:spacing w:line="240" w:lineRule="auto"/>
              <w:ind w:firstLine="0" w:firstLineChars="0"/>
              <w:jc w:val="left"/>
              <w:rPr>
                <w:rFonts w:hint="eastAsia" w:cs="Times New Roman"/>
                <w:sz w:val="28"/>
                <w:szCs w:val="28"/>
              </w:rPr>
            </w:pPr>
            <w:r>
              <w:rPr>
                <w:rFonts w:hint="eastAsia" w:cs="Times New Roman"/>
                <w:sz w:val="28"/>
                <w:szCs w:val="28"/>
              </w:rPr>
              <w:t>指导老师评语及成绩</w:t>
            </w:r>
          </w:p>
        </w:tc>
      </w:tr>
      <w:tr w14:paraId="4BBE8D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9" w:hRule="atLeast"/>
        </w:trPr>
        <w:tc>
          <w:tcPr>
            <w:tcW w:w="8296" w:type="dxa"/>
          </w:tcPr>
          <w:p w14:paraId="2DA38150">
            <w:pPr>
              <w:spacing w:line="240" w:lineRule="auto"/>
              <w:ind w:firstLine="0" w:firstLineChars="0"/>
              <w:jc w:val="left"/>
              <w:rPr>
                <w:rFonts w:hint="eastAsia" w:cs="Times New Roman"/>
                <w:sz w:val="28"/>
                <w:szCs w:val="28"/>
              </w:rPr>
            </w:pPr>
            <w:r>
              <w:rPr>
                <w:rFonts w:hint="eastAsia" w:cs="Times New Roman"/>
                <w:sz w:val="28"/>
                <w:szCs w:val="28"/>
              </w:rPr>
              <w:t>【评语】：</w:t>
            </w:r>
          </w:p>
          <w:p w14:paraId="74A4A19E">
            <w:pPr>
              <w:spacing w:line="240" w:lineRule="auto"/>
              <w:ind w:firstLine="0" w:firstLineChars="0"/>
              <w:jc w:val="left"/>
              <w:rPr>
                <w:rFonts w:hint="eastAsia" w:cs="Times New Roman"/>
                <w:sz w:val="28"/>
                <w:szCs w:val="28"/>
              </w:rPr>
            </w:pPr>
          </w:p>
          <w:p w14:paraId="6AD91625">
            <w:pPr>
              <w:spacing w:line="240" w:lineRule="auto"/>
              <w:ind w:firstLine="0" w:firstLineChars="0"/>
              <w:jc w:val="left"/>
              <w:rPr>
                <w:rFonts w:hint="eastAsia" w:cs="Times New Roman"/>
                <w:sz w:val="28"/>
                <w:szCs w:val="28"/>
              </w:rPr>
            </w:pPr>
          </w:p>
          <w:p w14:paraId="25336B13">
            <w:pPr>
              <w:spacing w:line="240" w:lineRule="auto"/>
              <w:ind w:firstLine="0" w:firstLineChars="0"/>
              <w:jc w:val="left"/>
              <w:rPr>
                <w:rFonts w:hint="eastAsia" w:cs="Times New Roman"/>
                <w:sz w:val="28"/>
                <w:szCs w:val="28"/>
              </w:rPr>
            </w:pPr>
          </w:p>
          <w:p w14:paraId="409F8574">
            <w:pPr>
              <w:spacing w:line="240" w:lineRule="auto"/>
              <w:ind w:firstLine="0" w:firstLineChars="0"/>
              <w:jc w:val="left"/>
              <w:rPr>
                <w:rFonts w:hint="eastAsia" w:cs="Times New Roman"/>
                <w:sz w:val="28"/>
                <w:szCs w:val="28"/>
              </w:rPr>
            </w:pPr>
          </w:p>
          <w:p w14:paraId="42CF8CE8">
            <w:pPr>
              <w:spacing w:line="240" w:lineRule="auto"/>
              <w:ind w:firstLine="0" w:firstLineChars="0"/>
              <w:jc w:val="left"/>
              <w:rPr>
                <w:rFonts w:hint="eastAsia" w:cs="Times New Roman"/>
                <w:sz w:val="28"/>
                <w:szCs w:val="28"/>
              </w:rPr>
            </w:pPr>
          </w:p>
          <w:p w14:paraId="2F5D6AFC">
            <w:pPr>
              <w:spacing w:line="240" w:lineRule="auto"/>
              <w:ind w:firstLine="3080" w:firstLineChars="1100"/>
              <w:jc w:val="left"/>
              <w:rPr>
                <w:rFonts w:hint="eastAsia" w:cs="Times New Roman"/>
                <w:sz w:val="28"/>
                <w:szCs w:val="28"/>
              </w:rPr>
            </w:pPr>
            <w:r>
              <w:rPr>
                <w:rFonts w:hint="eastAsia" w:cs="Times New Roman"/>
                <w:sz w:val="28"/>
                <w:szCs w:val="28"/>
              </w:rPr>
              <w:t xml:space="preserve"> </w:t>
            </w:r>
            <w:r>
              <w:rPr>
                <w:rFonts w:cs="Times New Roman"/>
                <w:sz w:val="28"/>
                <w:szCs w:val="28"/>
              </w:rPr>
              <w:t xml:space="preserve">     </w:t>
            </w:r>
            <w:r>
              <w:rPr>
                <w:rFonts w:hint="eastAsia" w:cs="Times New Roman"/>
                <w:sz w:val="28"/>
                <w:szCs w:val="28"/>
              </w:rPr>
              <w:t>成   绩：</w:t>
            </w:r>
          </w:p>
          <w:p w14:paraId="2DDE230F">
            <w:pPr>
              <w:spacing w:line="240" w:lineRule="auto"/>
              <w:ind w:firstLine="3080" w:firstLineChars="1100"/>
              <w:jc w:val="left"/>
              <w:rPr>
                <w:rFonts w:hint="eastAsia" w:cs="Times New Roman"/>
                <w:sz w:val="28"/>
                <w:szCs w:val="28"/>
              </w:rPr>
            </w:pPr>
            <w:r>
              <w:rPr>
                <w:rFonts w:hint="eastAsia" w:cs="Times New Roman"/>
                <w:sz w:val="28"/>
                <w:szCs w:val="28"/>
              </w:rPr>
              <w:t xml:space="preserve">      指导老师签名：</w:t>
            </w:r>
            <w:r>
              <w:rPr>
                <w:rFonts w:cs="Times New Roman"/>
                <w:sz w:val="28"/>
                <w:szCs w:val="28"/>
              </w:rPr>
              <w:t xml:space="preserve"> </w:t>
            </w:r>
          </w:p>
          <w:p w14:paraId="3DF3C44D">
            <w:pPr>
              <w:spacing w:line="240" w:lineRule="auto"/>
              <w:ind w:firstLine="2940" w:firstLineChars="1050"/>
              <w:jc w:val="left"/>
              <w:rPr>
                <w:rFonts w:hint="eastAsia" w:cs="Times New Roman"/>
                <w:sz w:val="28"/>
                <w:szCs w:val="28"/>
              </w:rPr>
            </w:pPr>
            <w:r>
              <w:rPr>
                <w:rFonts w:hint="eastAsia" w:cs="Times New Roman"/>
                <w:sz w:val="28"/>
                <w:szCs w:val="28"/>
              </w:rPr>
              <w:t xml:space="preserve"> </w:t>
            </w:r>
            <w:r>
              <w:rPr>
                <w:rFonts w:cs="Times New Roman"/>
                <w:sz w:val="28"/>
                <w:szCs w:val="28"/>
              </w:rPr>
              <w:t xml:space="preserve">      </w:t>
            </w:r>
            <w:r>
              <w:rPr>
                <w:rFonts w:hint="eastAsia" w:cs="Times New Roman"/>
                <w:sz w:val="28"/>
                <w:szCs w:val="28"/>
              </w:rPr>
              <w:t>批阅日期：20</w:t>
            </w:r>
            <w:r>
              <w:rPr>
                <w:rFonts w:cs="Times New Roman"/>
                <w:sz w:val="28"/>
                <w:szCs w:val="28"/>
              </w:rPr>
              <w:t>25</w:t>
            </w:r>
            <w:r>
              <w:rPr>
                <w:rFonts w:hint="eastAsia" w:cs="Times New Roman"/>
                <w:sz w:val="28"/>
                <w:szCs w:val="28"/>
              </w:rPr>
              <w:t>.</w:t>
            </w:r>
            <w:r>
              <w:rPr>
                <w:rFonts w:cs="Times New Roman"/>
                <w:sz w:val="28"/>
                <w:szCs w:val="28"/>
              </w:rPr>
              <w:t>6</w:t>
            </w:r>
            <w:r>
              <w:rPr>
                <w:rFonts w:hint="eastAsia" w:cs="Times New Roman"/>
                <w:sz w:val="28"/>
                <w:szCs w:val="28"/>
              </w:rPr>
              <w:t>.</w:t>
            </w:r>
            <w:r>
              <w:rPr>
                <w:rFonts w:cs="Times New Roman"/>
                <w:sz w:val="28"/>
                <w:szCs w:val="28"/>
              </w:rPr>
              <w:t>25</w:t>
            </w:r>
          </w:p>
        </w:tc>
      </w:tr>
    </w:tbl>
    <w:p w14:paraId="24D4BDC1">
      <w:pPr>
        <w:ind w:firstLine="480"/>
        <w:rPr>
          <w:rFonts w:hint="eastAsia"/>
        </w:rPr>
      </w:pPr>
    </w:p>
    <w:p w14:paraId="7CDB6668">
      <w:r>
        <w:br w:type="page"/>
      </w:r>
    </w:p>
    <w:p w14:paraId="0F5D2CD2">
      <w:pPr>
        <w:pStyle w:val="2"/>
      </w:pPr>
      <w:r>
        <w:rPr>
          <w:rFonts w:ascii="宋体" w:hAnsi="宋体" w:eastAsia="宋体"/>
          <w:color w:val="000000"/>
          <w:sz w:val="21"/>
        </w:rPr>
        <w:t>实习/实训目的与背景</w:t>
      </w:r>
    </w:p>
    <w:p w14:paraId="747A8D88">
      <w:r>
        <w:t>随着智慧城市的发展，人工智能在交通领域的应用愈发重要。本次“人工智能智慧交通”项目实训旨在通过真实场景的工程实践，掌握从云端环境配置、深度学习模型（目标检测与OCR）训练与集成、边缘端轻量化部署，到后端时序数据库存储与高性能数据分析的全链路技术。</w:t>
      </w:r>
    </w:p>
    <w:p w14:paraId="573FFD3A">
      <w:pPr>
        <w:pStyle w:val="2"/>
      </w:pPr>
      <w:r>
        <w:rPr>
          <w:rFonts w:ascii="宋体" w:hAnsi="宋体" w:eastAsia="宋体"/>
          <w:color w:val="000000"/>
          <w:sz w:val="21"/>
        </w:rPr>
        <w:t>实训内容与项目实践</w:t>
      </w:r>
    </w:p>
    <w:p w14:paraId="208E69DE">
      <w:r>
        <w:t>结合每日实训任务，我在本项目中主要完成了以下阶段的核心工作：</w:t>
      </w:r>
    </w:p>
    <w:p w14:paraId="4407CB53">
      <w:pPr>
        <w:pStyle w:val="3"/>
      </w:pPr>
      <w:r>
        <w:rPr>
          <w:rFonts w:ascii="宋体" w:hAnsi="宋体" w:eastAsia="宋体"/>
          <w:color w:val="000000"/>
          <w:sz w:val="21"/>
        </w:rPr>
        <w:t>实训环境搭建与系统基础部署（8月31日）</w:t>
      </w:r>
    </w:p>
    <w:p w14:paraId="1D38424F">
      <w:r>
        <w:t>• 开发环境配置：在本地环境中安装并配置了VS Code及Docker，并在VS Code中安装配置了PostgreSQL与Kubernetes相关开发插件，为后续代码编写与服务调试提供支持。</w:t>
      </w:r>
    </w:p>
    <w:p w14:paraId="7A228D88">
      <w:r>
        <w:rPr>
          <w:rFonts w:ascii="宋体" w:hAnsi="宋体" w:eastAsia="宋体"/>
          <w:color w:val="000000"/>
          <w:sz w:val="21"/>
        </w:rPr>
        <w:t>• 服务编排与当前边界：项目主docker-compose.yml已编排TimescaleDB、Kafka、Python数据消费者、预测API和Streamlit大屏，可完成现有原型的一键启动。课件要求的Flink Standalone、Flink SQL和Traffic Cop Agent尚未进入主Compose；Milvus Lite应作为Agent进程内嵌组件使用持久化卷，而不是独立集群。</w:t>
      </w:r>
    </w:p>
    <w:p w14:paraId="24BE8C59">
      <w:r>
        <w:t>• 视频流捕获：学习OpenCV基础语法，编写脚本实现了交通监控视频流的捕获与帧处理，为后续的AI模型推理提供了原始图像数据输入。</w:t>
      </w:r>
    </w:p>
    <w:p w14:paraId="61867705">
      <w:pPr>
        <w:pStyle w:val="3"/>
      </w:pPr>
      <w:r>
        <w:rPr>
          <w:rFonts w:ascii="宋体" w:hAnsi="宋体" w:eastAsia="宋体"/>
          <w:color w:val="000000"/>
          <w:sz w:val="21"/>
        </w:rPr>
        <w:t>计算机视觉基础与目标检测模型开发（9月1日）</w:t>
      </w:r>
    </w:p>
    <w:p w14:paraId="576F0501">
      <w:r>
        <w:t>• YOLOv8框架研究：深入解析了YOLOv8模型的核心架构（包含Backbone主干网络、Neck特征融合层以及Head检测头），并成功调用了官方预训练模型进行初步测试。</w:t>
      </w:r>
    </w:p>
    <w:p w14:paraId="67F076F2">
      <w:r>
        <w:t>• 模型微调与实战：针对真实交通场景，完成了交通数据集（车辆、行人等目标）的标注工作。基于标注数据对YOLOv8进行了微调（Fine-tuning）训练，成功开发并集成了一个具备高鲁棒性的车辆与行人检测模型，能够在复杂路况下准确框选目标。</w:t>
      </w:r>
    </w:p>
    <w:p w14:paraId="3561FD7C">
      <w:pPr>
        <w:pStyle w:val="3"/>
      </w:pPr>
      <w:r>
        <w:rPr>
          <w:rFonts w:ascii="宋体" w:hAnsi="宋体" w:eastAsia="宋体"/>
          <w:color w:val="000000"/>
          <w:sz w:val="21"/>
        </w:rPr>
        <w:t>OCR技术应用与车牌违章抓拍集成（9月2日）</w:t>
      </w:r>
    </w:p>
    <w:p w14:paraId="7A81DB82">
      <w:r>
        <w:rPr>
          <w:rFonts w:ascii="宋体" w:hAnsi="宋体" w:eastAsia="宋体"/>
          <w:color w:val="000000"/>
          <w:sz w:val="21"/>
        </w:rPr>
        <w:t>• PaddleOCR框架入门：学习并应用PaddleOCR检测与识别流水线，当前项目主路径使用PP-OCRv6模型资产，完成车牌区域检测、透视校正、图像增强、字符识别与格式校验。</w:t>
      </w:r>
    </w:p>
    <w:p w14:paraId="3E266C33">
      <w:r>
        <w:t>• 车牌识别系统实战：将YOLOv8车辆检测模型与PaddleOCR相结合，开发了车牌自动识别系统。实现了从图像中定位车辆、裁剪车牌区域，到最终精准输出车牌字符的完整链路，为违章抓拍业务提供了核心算法支持。</w:t>
      </w:r>
    </w:p>
    <w:p w14:paraId="18689302">
      <w:pPr>
        <w:pStyle w:val="3"/>
      </w:pPr>
      <w:r>
        <w:rPr>
          <w:rFonts w:ascii="宋体" w:hAnsi="宋体" w:eastAsia="宋体"/>
          <w:color w:val="000000"/>
          <w:sz w:val="21"/>
        </w:rPr>
        <w:t>边缘部署优化与模型加速（9月3日）</w:t>
      </w:r>
    </w:p>
    <w:p w14:paraId="2C9D4D56">
      <w:r>
        <w:rPr>
          <w:rFonts w:ascii="宋体" w:hAnsi="宋体" w:eastAsia="宋体"/>
          <w:color w:val="000000"/>
          <w:sz w:val="21"/>
        </w:rPr>
        <w:t>• 模型导出与运行时验证：已将YOLOv8车辆检测和车牌检测模型导出为ONNX，并完成ONNX checker、ONNX Runtime CPU加载和数值对比。OCR仍使用PaddleOCR/PaddleX运行时；仓库中的FP16、INT8和TensorRT入口属于后续设备派生制品流程，现有ONNX文件不应表述为已量化模型。</w:t>
      </w:r>
    </w:p>
    <w:p w14:paraId="7C1FE9D5">
      <w:r>
        <w:rPr>
          <w:rFonts w:ascii="宋体" w:hAnsi="宋体" w:eastAsia="宋体"/>
          <w:color w:val="000000"/>
          <w:sz w:val="21"/>
        </w:rPr>
        <w:t>• 边缘适配准备：项目已建立Jetson TensorRT、FP16、INT8和Atlas等设备路线的制品契约、导出入口与性能验收规范。由于尚未锁定目标设备版本、校准集和独立验证集，当前没有可交付的TensorRT engine、Atlas OM或目标设备实测报告，后续需在真实设备上验证延迟、吞吐、内存、温度、功耗和完整LPR精度。</w:t>
      </w:r>
    </w:p>
    <w:p w14:paraId="7B7DDD7E">
      <w:pPr>
        <w:pStyle w:val="3"/>
      </w:pPr>
      <w:r>
        <w:rPr>
          <w:rFonts w:ascii="宋体" w:hAnsi="宋体" w:eastAsia="宋体"/>
          <w:color w:val="000000"/>
          <w:sz w:val="21"/>
        </w:rPr>
        <w:t>交通数据时序存储与高性能分析（9月4日）</w:t>
      </w:r>
    </w:p>
    <w:p w14:paraId="77247833">
      <w:r>
        <w:t>• 时序数据库构建：学习并引入了专为时间序列设计的TimescaleDB。在数据库中创建了用于存储车辆轨迹与识别记录的超表（Hypertable），并配置了基于时间维度的自动分区策略。</w:t>
      </w:r>
    </w:p>
    <w:p w14:paraId="3135A1F2">
      <w:r>
        <w:rPr>
          <w:rFonts w:ascii="宋体" w:hAnsi="宋体" w:eastAsia="宋体"/>
          <w:color w:val="000000"/>
          <w:sz w:val="21"/>
        </w:rPr>
        <w:t>• 数据分析实战：交通事件通过Kafka写入TimescaleDB，系统可按卡口和时间桶查询车流量，并使用Pandas与DuckDB完成CSV/Parquet离线分析。当前事件中的经纬度来自卡口静态配置，speed_kmh仍为空，且每个track只发布首次观测，因此现有traffic_gps表不能视为连续车辆GPS轨迹，轨迹查询、OD矩阵与可靠拥堵计算仍需补充真实时序点。</w:t>
      </w:r>
    </w:p>
    <w:p w14:paraId="5F95DF28">
      <w:pPr>
        <w:pStyle w:val="3"/>
      </w:pPr>
      <w:r>
        <w:rPr>
          <w:rFonts w:ascii="宋体" w:hAnsi="宋体" w:eastAsia="宋体"/>
          <w:color w:val="000000"/>
          <w:sz w:val="21"/>
        </w:rPr>
        <w:t>数据库性能调优与离线分析归档（扩展实践）</w:t>
      </w:r>
    </w:p>
    <w:p w14:paraId="23FC260B">
      <w:r>
        <w:t>• TimescaleDB 连续聚合与数据保留：配置了连续聚合（Continuous Aggregates）视图，实现每分钟车流量与平均车速的后台预计算。同时增设数据保留策略，自动清理30天前的原始明细数据，有效降低边缘设备的存储压力，满足企业级系统要求。</w:t>
      </w:r>
    </w:p>
    <w:p w14:paraId="29377F4D">
      <w:r>
        <w:drawing>
          <wp:inline distT="0" distB="0" distL="114300" distR="114300">
            <wp:extent cx="5530850" cy="908685"/>
            <wp:effectExtent l="0" t="0" r="127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5530850" cy="908685"/>
                    </a:xfrm>
                    <a:prstGeom prst="rect">
                      <a:avLst/>
                    </a:prstGeom>
                    <a:noFill/>
                    <a:ln>
                      <a:noFill/>
                    </a:ln>
                  </pic:spPr>
                </pic:pic>
              </a:graphicData>
            </a:graphic>
          </wp:inline>
        </w:drawing>
      </w:r>
    </w:p>
    <w:p w14:paraId="15A0099A">
      <w:pPr>
        <w:rPr>
          <w:rFonts w:ascii="宋体" w:hAnsi="宋体" w:eastAsia="宋体" w:cs="宋体"/>
          <w:sz w:val="24"/>
          <w:szCs w:val="24"/>
        </w:rPr>
      </w:pPr>
      <w:r>
        <w:rPr>
          <w:rStyle w:val="29"/>
          <w:rFonts w:ascii="宋体" w:hAnsi="宋体" w:eastAsia="宋体" w:cs="宋体"/>
          <w:sz w:val="24"/>
          <w:szCs w:val="24"/>
        </w:rPr>
        <w:t>CREATE MATERIALIZED VIEW</w:t>
      </w:r>
      <w:r>
        <w:rPr>
          <w:rFonts w:ascii="宋体" w:hAnsi="宋体" w:eastAsia="宋体" w:cs="宋体"/>
          <w:sz w:val="24"/>
          <w:szCs w:val="24"/>
        </w:rPr>
        <w:t xml:space="preserve"> 等创建视图的结果</w:t>
      </w:r>
    </w:p>
    <w:p w14:paraId="59BE4324">
      <w:pPr>
        <w:rPr>
          <w:rFonts w:hint="eastAsia" w:ascii="宋体" w:hAnsi="宋体" w:eastAsia="宋体" w:cs="宋体"/>
          <w:sz w:val="24"/>
          <w:szCs w:val="24"/>
          <w:lang w:val="en-US" w:eastAsia="zh-CN"/>
        </w:rPr>
      </w:pPr>
      <w:r>
        <w:rPr>
          <w:rFonts w:ascii="宋体" w:hAnsi="宋体" w:eastAsia="宋体" w:cs="宋体"/>
          <w:sz w:val="24"/>
          <w:szCs w:val="24"/>
        </w:rPr>
        <w:t>输出带表格边框的交通流量与超速统计报表</w:t>
      </w:r>
      <w:r>
        <w:rPr>
          <w:rFonts w:hint="eastAsia" w:cs="宋体"/>
          <w:sz w:val="24"/>
          <w:szCs w:val="24"/>
          <w:lang w:val="en-US" w:eastAsia="zh-CN"/>
        </w:rPr>
        <w:t>:</w:t>
      </w:r>
    </w:p>
    <w:p w14:paraId="52C0E4A3">
      <w:r>
        <w:drawing>
          <wp:inline distT="0" distB="0" distL="114300" distR="114300">
            <wp:extent cx="5496560" cy="2136140"/>
            <wp:effectExtent l="0" t="0" r="5080" b="1270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3"/>
                    <a:stretch>
                      <a:fillRect/>
                    </a:stretch>
                  </pic:blipFill>
                  <pic:spPr>
                    <a:xfrm>
                      <a:off x="0" y="0"/>
                      <a:ext cx="5496560" cy="2136140"/>
                    </a:xfrm>
                    <a:prstGeom prst="rect">
                      <a:avLst/>
                    </a:prstGeom>
                    <a:noFill/>
                    <a:ln>
                      <a:noFill/>
                    </a:ln>
                  </pic:spPr>
                </pic:pic>
              </a:graphicData>
            </a:graphic>
          </wp:inline>
        </w:drawing>
      </w:r>
    </w:p>
    <w:p w14:paraId="414729DE"/>
    <w:p w14:paraId="3CE2634B"/>
    <w:p w14:paraId="380F1CA7">
      <w:r>
        <w:t>• DuckDB 离线分析与 Parquet 归档：编写并执行了 data_analysis.py 数据分析脚本，引入纯内存的 DuckDB 引擎。通过执行 SQL 对本地数据进行超速违章车辆追踪，并将历史明细零拷贝导出为高压缩比的 Parquet 格式，实现边缘端冷数据离线归档。</w:t>
      </w:r>
    </w:p>
    <w:p w14:paraId="441797D5">
      <w:r>
        <w:t>• Pandas 智能数据统计：将 DuckDB 的查询结果对接 Pandas，利用 DataFrame 生成了交通车速的基础数据特征（均值、中位数、极值等）统计报表，完善了“流式在线处理 + 离线归档分析”的完整大数据框架。</w:t>
      </w:r>
    </w:p>
    <w:p w14:paraId="3B701782"/>
    <w:p w14:paraId="066A7347"/>
    <w:p w14:paraId="2CA0BFA4">
      <w:pPr>
        <w:bidi w:val="0"/>
      </w:pPr>
      <w:r>
        <w:drawing>
          <wp:inline distT="0" distB="0" distL="114300" distR="114300">
            <wp:extent cx="5271770" cy="1532255"/>
            <wp:effectExtent l="0" t="0" r="1270" b="698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4"/>
                    <a:stretch>
                      <a:fillRect/>
                    </a:stretch>
                  </pic:blipFill>
                  <pic:spPr>
                    <a:xfrm>
                      <a:off x="0" y="0"/>
                      <a:ext cx="5271770" cy="1532255"/>
                    </a:xfrm>
                    <a:prstGeom prst="rect">
                      <a:avLst/>
                    </a:prstGeom>
                    <a:noFill/>
                    <a:ln>
                      <a:noFill/>
                    </a:ln>
                  </pic:spPr>
                </pic:pic>
              </a:graphicData>
            </a:graphic>
          </wp:inline>
        </w:drawing>
      </w:r>
    </w:p>
    <w:p w14:paraId="21E1EFEF">
      <w:pPr>
        <w:bidi w:val="0"/>
        <w:rPr>
          <w:rFonts w:hint="eastAsia"/>
          <w:lang w:val="en-US" w:eastAsia="zh-CN"/>
        </w:rPr>
      </w:pPr>
      <w:r>
        <w:rPr>
          <w:rFonts w:hint="eastAsia"/>
          <w:lang w:val="en-US" w:eastAsia="zh-CN"/>
        </w:rPr>
        <w:t>导出的.xlsx数据示例:</w:t>
      </w:r>
    </w:p>
    <w:p w14:paraId="20323CF4">
      <w:pPr>
        <w:bidi w:val="0"/>
        <w:rPr>
          <w:rFonts w:hint="default"/>
          <w:lang w:val="en-US" w:eastAsia="zh-CN"/>
        </w:rPr>
      </w:pPr>
      <w:r>
        <w:drawing>
          <wp:inline distT="0" distB="0" distL="114300" distR="114300">
            <wp:extent cx="5269865" cy="1892935"/>
            <wp:effectExtent l="0" t="0" r="3175" b="1206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5"/>
                    <a:stretch>
                      <a:fillRect/>
                    </a:stretch>
                  </pic:blipFill>
                  <pic:spPr>
                    <a:xfrm>
                      <a:off x="0" y="0"/>
                      <a:ext cx="5269865" cy="1892935"/>
                    </a:xfrm>
                    <a:prstGeom prst="rect">
                      <a:avLst/>
                    </a:prstGeom>
                    <a:noFill/>
                    <a:ln>
                      <a:noFill/>
                    </a:ln>
                  </pic:spPr>
                </pic:pic>
              </a:graphicData>
            </a:graphic>
          </wp:inline>
        </w:drawing>
      </w:r>
    </w:p>
    <w:p w14:paraId="6CE3A8A9"/>
    <w:p w14:paraId="4ED26F37">
      <w:pPr>
        <w:pStyle w:val="3"/>
      </w:pPr>
      <w:r>
        <w:rPr>
          <w:rFonts w:ascii="宋体" w:hAnsi="宋体" w:eastAsia="宋体"/>
          <w:color w:val="000000"/>
          <w:sz w:val="21"/>
        </w:rPr>
        <w:t>TimescaleDB时序数据实验与车流量存储分析（9月7日）</w:t>
      </w:r>
    </w:p>
    <w:p w14:paraId="37A4236E">
      <w:r>
        <w:t>• 实验环境自检与时序扩展验证：使用 psycopg2 建立与 TimescaleDB 数据库的连接，通过查询系统表与扩展信息确认 PostgreSQL 数据库版本与 timescaledb 扩展已成功激活，完成时序数据实验的前置环境自检。</w:t>
      </w:r>
    </w:p>
    <w:p w14:paraId="47F5CA89">
      <w:r>
        <w:t>• 车流量超表构建与自动时间分区：设计并创建了 traffic_flow 车流量表，包含检测时间（TIMESTAMPTZ）、路口编号（VARCHAR）、车辆计数与平均车速等核心字段；调用 create_hypertable('traffic_flow', 'time') 成功将其转化为超表（Hypertable），掌握了基于时间维度的底层物理分块（Chunk）自动化切片机制。</w:t>
      </w:r>
    </w:p>
    <w:p w14:paraId="21D9E0D1">
      <w:r>
        <w:t>• 批量时序数据生成与多路口入库：利用 PostgreSQL 的 generate_series 结合数组循环取模与随机函数，批量构造并插入了覆盖 24 小时、间隔 5 分钟的 3 个路口车流量模拟时序数据（共 288 条记录），验证了时序数据的密集写入与时间序列连续性。</w:t>
      </w:r>
    </w:p>
    <w:p w14:paraId="3BC0B841">
      <w:r>
        <w:t>图 7-1 TimescaleDB 环境自检、超表构建与批量数据写入执行结果：</w:t>
      </w:r>
    </w:p>
    <w:p w14:paraId="371E3D1C">
      <w:r>
        <w:drawing>
          <wp:inline distT="0" distB="0" distL="114300" distR="114300">
            <wp:extent cx="5303520" cy="1817370"/>
            <wp:effectExtent l="0" t="0" r="0" b="114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6"/>
                    <a:stretch>
                      <a:fillRect/>
                    </a:stretch>
                  </pic:blipFill>
                  <pic:spPr>
                    <a:xfrm>
                      <a:off x="0" y="0"/>
                      <a:ext cx="5303520" cy="1817661"/>
                    </a:xfrm>
                    <a:prstGeom prst="rect">
                      <a:avLst/>
                    </a:prstGeom>
                  </pic:spPr>
                </pic:pic>
              </a:graphicData>
            </a:graphic>
          </wp:inline>
        </w:drawing>
      </w:r>
    </w:p>
    <w:p w14:paraId="653149E0"/>
    <w:p w14:paraId="4E47D766">
      <w:r>
        <w:t>• time_bucket 时间桶降采样聚合分析：深入掌握 TimescaleDB 的核心降采样算子 time_bucket，编写 SQL 语句按 1 小时间隔对车流量数据进行切桶聚合，计算得出各路口的平均车流量（AVG）与最高车速（MAX），并对近 24 小时时间窗口进行高效过滤与排序输出。</w:t>
      </w:r>
    </w:p>
    <w:p w14:paraId="47D1EEC7">
      <w:r>
        <w:t>• 连续聚合视图与后台增量刷新机制：利用 WITH (timescaledb.continuous) 语法构建了 flow_hourly 连续聚合（Continuous Aggregate）物化视图，实现车流量小时级统计的预计算；通过 refresh_continuous_aggregate 实现了增量维护，在避免高频全表扫描的同时显著提升了监控大屏的查询性能。</w:t>
      </w:r>
    </w:p>
    <w:p w14:paraId="7A5D5535">
      <w:r>
        <w:t>图 7-2 time_bucket 降采样查询与连续聚合视图（Continuous Aggregate）执行结果：</w:t>
      </w:r>
    </w:p>
    <w:p w14:paraId="7CF0E49F">
      <w:r>
        <w:drawing>
          <wp:inline distT="0" distB="0" distL="114300" distR="114300">
            <wp:extent cx="5303520" cy="4363085"/>
            <wp:effectExtent l="0" t="0" r="0"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7"/>
                    <a:stretch>
                      <a:fillRect/>
                    </a:stretch>
                  </pic:blipFill>
                  <pic:spPr>
                    <a:xfrm>
                      <a:off x="0" y="0"/>
                      <a:ext cx="5303520" cy="4363351"/>
                    </a:xfrm>
                    <a:prstGeom prst="rect">
                      <a:avLst/>
                    </a:prstGeom>
                  </pic:spPr>
                </pic:pic>
              </a:graphicData>
            </a:graphic>
          </wp:inline>
        </w:drawing>
      </w:r>
    </w:p>
    <w:p w14:paraId="74ABB40B"/>
    <w:p w14:paraId="324A5C67">
      <w:r>
        <w:t>• 实验成果向工程化架构的演进对接：将 Notebook 实验成果与项目生产级流水线打通，为系统核心表 traffic_data 的 1 小时自动分区、7 天冷数据压缩与 30 天保留策略提供了算法与结构验证，同时为基于连接池与重试机制的 write_to_timescaledb.py 入库服务及 DuckDB 离线分析提供了坚实的理论与实践支撑。</w:t>
      </w:r>
    </w:p>
    <w:p w14:paraId="30FFE2B3">
      <w:r>
        <w:t>图 7-3 24小时各路口车流量降采样趋势与平均车速时序分布可视化分析：</w:t>
      </w:r>
    </w:p>
    <w:p w14:paraId="6E8F423A">
      <w:r>
        <w:drawing>
          <wp:inline distT="0" distB="0" distL="114300" distR="114300">
            <wp:extent cx="5303520" cy="3445510"/>
            <wp:effectExtent l="0" t="0" r="0" b="139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8"/>
                    <a:stretch>
                      <a:fillRect/>
                    </a:stretch>
                  </pic:blipFill>
                  <pic:spPr>
                    <a:xfrm>
                      <a:off x="0" y="0"/>
                      <a:ext cx="5303520" cy="3445942"/>
                    </a:xfrm>
                    <a:prstGeom prst="rect">
                      <a:avLst/>
                    </a:prstGeom>
                  </pic:spPr>
                </pic:pic>
              </a:graphicData>
            </a:graphic>
          </wp:inline>
        </w:drawing>
      </w:r>
    </w:p>
    <w:p w14:paraId="6C7039A7"/>
    <w:p>
      <w:pPr>
        <w:pStyle w:val="3"/>
      </w:pPr>
      <w:r>
        <w:rPr>
          <w:rFonts w:ascii="宋体" w:hAnsi="宋体" w:eastAsia="宋体"/>
          <w:color w:val="000000"/>
          <w:sz w:val="21"/>
        </w:rPr>
        <w:t>重庆绕城高速交通流量预测与大屏可视化（9月9日）</w:t>
      </w:r>
    </w:p>
    <w:p>
      <w:pPr/>
      <w:r>
        <w:t>• 任务关系分析与工程组织：分析重庆绕城高速交通流量预测模块与当前智能交通主项目的业务和技术边界。该模块使用 CQSkyEyeX 无人机航拍轨迹数据进行离线时序分析，主项目则面向视频流、车辆车牌识别和违章告警，两者在交通业务上互补，但数据形态、运行方式和依赖栈差异明显。因此将其作为独立实训工程运行，保留与主项目通过时序数据库或分析结果进行数据级对接的扩展空间。</w:t>
      </w:r>
    </w:p>
    <w:p>
      <w:pPr/>
      <w:r>
        <w:t>• 轨迹数据读取与末端异常清洗：在 location1 目录中读取 1-1_trajectory.xlsx，原始数据共 336,166 条记录，字段包括 Time、ID、Velocity、LaneID 和 Class。检查时间戳后发现数据最大时间为 1200.72 秒，最后一个 60 秒时间窗实际只有 0.72 秒，属于采集结束造成的残缺窗口。程序按时间窗有效采样时长进行边界清洗，过滤小于 30 秒的残缺尾窗，最终保留 336,031 条有效记录和 20 个完整时间窗。</w:t>
      </w:r>
    </w:p>
    <w:p>
      <w:pPr/>
      <w:r>
        <w:t>• 交通流量聚合与时间轴对齐：将轨迹数据按 60 秒切分时间窗，并在每个窗口内统计不同车辆 ID 的数量，作为该窗口的交通流量。为避免统计点与预测起点相差一个时间窗，绘图时将每个统计值定位到窗口结束时刻，使最后一个完整窗口 1140—1200 秒对应的历史流量点落在 1200 秒处。清洗后历史流量平均值为 56.2 辆/60 秒，最大值为 63 辆/60 秒，末端不再出现由残缺窗口引起的蓝线断崖。</w:t>
      </w:r>
    </w:p>
    <w:p>
      <w:pPr/>
      <w:r>
        <w:t>• 预测模型与结果输出：采用 5 个时间窗的移动平均方法削弱离散轨迹计数的短时波动，再使用 Scikit-learn LinearRegression 对平滑后的历史序列进行趋势拟合，从 1200 秒开始向后预测 15 个时间步，即未来 15 分钟的交通流量变化。预测结果整体呈平缓下降趋势，未来 15 步平均流量约为 50.9 辆/60 秒，并通过非 GUI 模式输出预测大屏图片，同时保留 Tkinter 图形界面用于选择数据文件、调整时间窗、预测步数和移动平均窗口。</w:t>
      </w:r>
    </w:p>
    <w:p>
      <w:pPr/>
      <w:r>
        <w:t>图 8-1 重庆绕城高速交通流量时序预测与可视化监控大屏：</w:t>
      </w:r>
    </w:p>
    <w:p>
      <w:pPr>
        <w:jc w:val="center"/>
      </w:pPr>
      <w:r>
        <w:drawing>
          <wp:inline xmlns:a="http://schemas.openxmlformats.org/drawingml/2006/main" xmlns:pic="http://schemas.openxmlformats.org/drawingml/2006/picture">
            <wp:extent cx="5303520" cy="2590800"/>
            <wp:docPr id="9" name="Picture 9"/>
            <wp:cNvGraphicFramePr>
              <a:graphicFrameLocks noChangeAspect="1"/>
            </wp:cNvGraphicFramePr>
            <a:graphic>
              <a:graphicData uri="http://schemas.openxmlformats.org/drawingml/2006/picture">
                <pic:pic>
                  <pic:nvPicPr>
                    <pic:cNvPr id="0" name="traffic_prediction_dashboard.png"/>
                    <pic:cNvPicPr/>
                  </pic:nvPicPr>
                  <pic:blipFill>
                    <a:blip r:embed="rId22"/>
                    <a:stretch>
                      <a:fillRect/>
                    </a:stretch>
                  </pic:blipFill>
                  <pic:spPr>
                    <a:xfrm>
                      <a:off x="0" y="0"/>
                      <a:ext cx="5303520" cy="2590800"/>
                    </a:xfrm>
                    <a:prstGeom prst="rect"/>
                  </pic:spPr>
                </pic:pic>
              </a:graphicData>
            </a:graphic>
          </wp:inline>
        </w:drawing>
      </w:r>
    </w:p>
    <w:p>
      <w:pPr/>
      <w:r/>
    </w:p>
    <w:p>
      <w:pPr>
        <w:pStyle w:val="3"/>
      </w:pPr>
      <w:r>
        <w:rPr>
          <w:rFonts w:ascii="宋体" w:hAnsi="宋体" w:eastAsia="宋体"/>
          <w:color w:val="000000"/>
          <w:sz w:val="21"/>
        </w:rPr>
        <w:t>Streamlit 与 WebGIS 可视化大屏集成（9月10日）</w:t>
      </w:r>
    </w:p>
    <w:p>
      <w:pPr/>
      <w:r>
        <w:t>• 任务目标与资料分析：结合《可视化大屏 Streamlit 与 WebGIS》PPT 以及 Streamlit、WebGIS 和交通流量大屏配套文档，明确本次任务需要完成宽屏监测界面、四项核心指标、交通趋势图、车辆构成分析、卡口地图和定时刷新能力。文档中提到的 Vue、Flink、InfluxDB、Docker Compose 等属于大型系统扩展方案，本次按照当前项目已有的 FastAPI、TimescaleDB、DuckDB 和 Python 运行基础，优先落地可运行的 Streamlit MVP。</w:t>
      </w:r>
    </w:p>
    <w:p>
      <w:pPr/>
      <w:r>
        <w:t>• 展示层接入规划：在项目根目录新增 dashboard 模块，将 Streamlit 作为独立的只读展示进程。现有 YOLOv8 车辆检测、PaddleOCR 车牌识别、Kafka 消费和 TimescaleDB 写入链路保持原样运行，大屏通过已有 FastAPI 的 /api/traffic_trend 接口读取聚合数据，从而避免界面刷新阻塞感知和入库任务。</w:t>
      </w:r>
    </w:p>
    <w:p>
      <w:pPr/>
      <w:r>
        <w:t>• 数据加载与降级处理：编写 dashboard/data_loader.py 统一不同来源的数据字段和时间格式，并使用 @st.cache_data(ttl=60) 缓存查询结果。数据优先读取 FastAPI/TimescaleDB，接口不可用时依次回退到本地 vehicle_records.csv、traffic_archive.parquet 和固定随机种子的内置示例数据；因此在数据库、Kafka 或网络地图服务未启动的冷启动环境中，页面仍能正常展示并给出数据来源提示。</w:t>
      </w:r>
    </w:p>
    <w:p>
      <w:pPr>
        <w:jc w:val="center"/>
      </w:pPr>
      <w:r>
        <w:drawing>
          <wp:inline xmlns:a="http://schemas.openxmlformats.org/drawingml/2006/main" xmlns:pic="http://schemas.openxmlformats.org/drawingml/2006/picture">
            <wp:extent cx="5715000" cy="2364628"/>
            <wp:docPr id="10" name="Picture 10"/>
            <wp:cNvGraphicFramePr>
              <a:graphicFrameLocks noChangeAspect="1"/>
            </wp:cNvGraphicFramePr>
            <a:graphic>
              <a:graphicData uri="http://schemas.openxmlformats.org/drawingml/2006/picture">
                <pic:pic>
                  <pic:nvPicPr>
                    <pic:cNvPr id="0" name="20260910_streamlit_dashboard_runtime.png"/>
                    <pic:cNvPicPr/>
                  </pic:nvPicPr>
                  <pic:blipFill>
                    <a:blip r:embed="rId23"/>
                    <a:stretch>
                      <a:fillRect/>
                    </a:stretch>
                  </pic:blipFill>
                  <pic:spPr>
                    <a:xfrm>
                      <a:off x="0" y="0"/>
                      <a:ext cx="5715000" cy="2364628"/>
                    </a:xfrm>
                    <a:prstGeom prst="rect"/>
                  </pic:spPr>
                </pic:pic>
              </a:graphicData>
            </a:graphic>
          </wp:inline>
        </w:drawing>
      </w:r>
    </w:p>
    <w:p>
      <w:pPr>
        <w:jc w:val="center"/>
      </w:pPr>
      <w:r>
        <w:rPr>
          <w:sz w:val="18"/>
        </w:rPr>
        <w:t>图 9-1 2026年9月10日 Streamlit 交通流量监测大屏运行效果（冷启动示例数据验收）</w:t>
      </w:r>
    </w:p>
    <w:p>
      <w:pPr/>
      <w:r>
        <w:t>• 页面功能实现：在 dashboard/app.py 中完成暗色宽屏布局、监测卡口筛选、自动刷新间隔设置和缓存清理操作。页面顶部展示监测车辆数、平均速度、高流量卡口和异常/告警四项 KPI；中部使用 Plotly 绘制车流历史趋势和短时预测曲线，并以环形图展示车辆构成；底部展示 WebGIS 卡口态势、最新车牌识别记录和违章取证图片。另增加 pages/1_交通流量大屏.py 作为 Streamlit 多页面入口，便于后续扩展流量预测和违章检索页面。</w:t>
      </w:r>
    </w:p>
    <w:p>
      <w:pPr/>
      <w:r>
        <w:t>• WebGIS 实现方式：编写 dashboard/map_component.html 和 map_component.py，将高德地图 JS API 2.0 的 Key、安全密钥、卡口经纬度和统计指标转换为前端 JSON，支持暗色底图、卡口 Marker、点击信息窗体和热力图层。高德配置通过 AMAP_KEY 与 AMAP_SECURITY_CODE 环境变量注入；未配置 Key 时自动切换到 Streamlit 本地地图，以保证开发和验收阶段不依赖第三方鉴权。</w:t>
      </w:r>
    </w:p>
    <w:p>
      <w:pPr>
        <w:jc w:val="center"/>
      </w:pPr>
      <w:r>
        <w:drawing>
          <wp:inline xmlns:a="http://schemas.openxmlformats.org/drawingml/2006/main" xmlns:pic="http://schemas.openxmlformats.org/drawingml/2006/picture">
            <wp:extent cx="5715000" cy="728467"/>
            <wp:docPr id="11" name="Picture 11"/>
            <wp:cNvGraphicFramePr>
              <a:graphicFrameLocks noChangeAspect="1"/>
            </wp:cNvGraphicFramePr>
            <a:graphic>
              <a:graphicData uri="http://schemas.openxmlformats.org/drawingml/2006/picture">
                <pic:pic>
                  <pic:nvPicPr>
                    <pic:cNvPr id="0" name="20260910_streamlit_dashboard_dataflow.png"/>
                    <pic:cNvPicPr/>
                  </pic:nvPicPr>
                  <pic:blipFill>
                    <a:blip r:embed="rId24"/>
                    <a:stretch>
                      <a:fillRect/>
                    </a:stretch>
                  </pic:blipFill>
                  <pic:spPr>
                    <a:xfrm>
                      <a:off x="0" y="0"/>
                      <a:ext cx="5715000" cy="728467"/>
                    </a:xfrm>
                    <a:prstGeom prst="rect"/>
                  </pic:spPr>
                </pic:pic>
              </a:graphicData>
            </a:graphic>
          </wp:inline>
        </w:drawing>
      </w:r>
    </w:p>
    <w:p>
      <w:pPr>
        <w:jc w:val="center"/>
      </w:pPr>
      <w:r>
        <w:rPr>
          <w:sz w:val="18"/>
        </w:rPr>
        <w:t>图 9-2 可视化展示层数据链路与外部服务不可用时的降级路径</w:t>
      </w:r>
    </w:p>
    <w:p>
      <w:pPr/>
      <w:r>
        <w:t>• 运行验证与结果：在项目专用 .venv-dashboard 环境中安装 Streamlit、Plotly、Pandas、Requests、DuckDB、psycopg2-binary、Matplotlib 等依赖，执行 streamlit run dashboard\app.py --server.port 8501 启动大屏。通过 compileall 编译检查、2 项数据层单元测试、/_stcore/health 健康检查以及浏览器首页和多页面实测，确认 KPI、趋势图、车辆构成、地图兜底、抓拍表和取证图片均能渲染。实际验收地址为 http://127.0.0.1:8501。</w:t>
      </w:r>
    </w:p>
    <w:p>
      <w:pPr/>
      <w:r>
        <w:t>• 工程化成果：本次完成了从现有交通识别和时序存储能力到交互式展示层的第一次完整打通，形成了可独立启动、可离线演示、可接入实时 API、可替换高德地图配置的可视化模块。后续生产化工作可以在此基础上继续补充 API 鉴权、数据库连接池、真实高德域名白名单、时间范围筛选以及更细粒度的预测服务接口。</w:t>
      </w:r>
    </w:p>
    <w:p>
      <w:pPr>
        <w:pStyle w:val="3"/>
      </w:pPr>
      <w:r>
        <w:rPr>
          <w:rFonts w:ascii="黑体" w:hAnsi="黑体" w:eastAsia="黑体"/>
          <w:color w:val="000000"/>
          <w:sz w:val="21"/>
        </w:rPr>
        <w:t>基于 PyTorch 与 LSTM 的中国时序预测模型与系统全链路联调（9月11日）</w:t>
      </w:r>
    </w:p>
    <w:p>
      <w:r>
        <w:t>• 中国时序预测模型设计与训练：引入 KDD Cup 2017 中国高速收费站流量数据集（真实中国高速流量基准），分析其 20 分钟时间桶粒度与多方向序列特点。设计 6 维特征输入工程：vehicle_count、hour、minute、day_of_week、is_holiday、is_makeup_workday。构建基于 PyTorch 的单步时序预测 LSTM 模型（traffic_lstm_china_kdd2017_candidate_v1），历史窗口 6 个 20 分钟桶（即过去 2 小时），预测未来 20 分钟车流量。训练与评估指标：MAE 9.8123、RMSE 15.1802、WAPE 17.3400%、R² 0.864412（显著优于 last-value 基线的 0.827057），ONNX/PyTorch 最大误差仅为 5.96e-08。</w:t>
      </w:r>
    </w:p>
    <w:p>
      <w:r>
        <w:t>• 2026 中国法定节假日与调休规则适配：接入国务院办公厅《关于 2026 年部分节假日安排的通知》（国办发明电〔2025〕7 号），配置覆盖 2026 年全年的 33 个放假日期与 6 个调休工作日（如 01-04、02-14、02-28、05-09、09-20、10-10）。设定时区为 Asia/Shanghai，并在运行时动态校验日期范围与缺口策略（split_on_gap），杜绝将调休上班日误判为周末或将未知日期静默当作普通工作日。</w:t>
      </w:r>
    </w:p>
    <w:p>
      <w:r>
        <w:t>• 系统全链路联调与数据库迁移：针对现有本地 Docker 容器（TimescaleDB、Kafka、Zookeeper），编写并执行幂等迁移脚本 migrate_existing_pipeline.sql，补齐字段并建立唯一索引和违章超表 traffic_violations。配置 Kafka 消费者偏移量策略（traffic-storage-current-containers-v1），打通视频采集与模型检测到 Kafka 异步流转、TimescaleDB 时序超表存储、FastAPI 服务接口及 Streamlit 大屏 WebGIS 可视化的云-边-端全链路。通过端到端集成测试（如车牌 京A-E2E02、卡口 CP-E2E-01），验证了 0 lag 消费与连续聚合视图的实时刷新。</w:t>
      </w:r>
    </w:p>
    <w:p>
      <w:r>
        <w:t>• 系统缺陷排查与生产化路线规划：排查并修复了默认配置未加载候选 LSTM 模型、2016 年旧日历无法匹配 2026 年、全局查询导致卡口历史不足、15 分钟图表二次聚合导致流量失真、以及静默降级掩盖 LSTM 错误等七大关键问题。明确研究候选模型与正式生产模型的边界：当前模型适用于实训演示与非商业学术研究，正式工业级生产应用仍需获取具有商业授权的项目现场跨日期卡口数据，建立长周期滚动回测与漂移监测体系。</w:t>
      </w:r>
    </w:p>
    <w:p>
      <w:pPr>
        <w:pStyle w:val="3"/>
        <w:keepNext/>
        <w:spacing w:line="360" w:lineRule="auto" w:before="60" w:after="60"/>
        <w:jc w:val="both"/>
      </w:pPr>
      <w:r>
        <w:rPr>
          <w:rFonts w:ascii="Times New Roman" w:hAnsi="Times New Roman" w:eastAsia="黑体"/>
          <w:b/>
          <w:color w:val="000000"/>
          <w:sz w:val="21"/>
        </w:rPr>
        <w:t>基于 LangChain 的交通问答 Bot 与百炼模型联调（9月14日）</w:t>
      </w:r>
    </w:p>
    <w:p>
      <w:pPr>
        <w:keepNext w:val="0"/>
        <w:spacing w:line="360" w:lineRule="auto" w:before="0" w:after="0"/>
        <w:jc w:val="both"/>
      </w:pPr>
      <w:r>
        <w:rPr>
          <w:rFonts w:ascii="Times New Roman" w:hAnsi="Times New Roman" w:eastAsia="宋体"/>
          <w:b w:val="0"/>
          <w:color w:val="000000"/>
          <w:sz w:val="21"/>
        </w:rPr>
        <w:t>• 任务资料与兼容性审计：系统梳理《大模型基础 LangChain与问答Bot》课件和配套交通问答代码，提取Chain、Prompt、Memory、多模型接口、交通工具与Web化扩展要求。审计发现教学代码使用旧版LLMChain、ConversationChain、ConversationBufferMemory和initialize_agent，且存在入口导入错误、模型切换失效、未定义依赖、静态城市数据冒充实时结果以及缺少鉴权和审计等问题。因此项目只保留业务意图和交互流程，不直接复制旧版Demo。</w:t>
      </w:r>
    </w:p>
    <w:p>
      <w:pPr>
        <w:keepNext w:val="0"/>
        <w:spacing w:line="360" w:lineRule="auto" w:before="0" w:after="0"/>
        <w:jc w:val="both"/>
      </w:pPr>
      <w:r>
        <w:rPr>
          <w:rFonts w:ascii="Times New Roman" w:hAnsi="Times New Roman" w:eastAsia="宋体"/>
          <w:b w:val="0"/>
          <w:color w:val="000000"/>
          <w:sz w:val="21"/>
        </w:rPr>
        <w:t>• 基础Bot架构设计：按照现有FastAPI、TimescaleDB、ONNX PredictionService和Streamlit分层，在backend/agent中建立配置、契约、系统提示词、只读数据仓库、工具、审计、服务和路由模块。Agent采用LangChain v1 create_agent，让模型按用户意图选择工具；数据库侧只允许固定参数化SQL、只读事务、3秒连接超时、2秒语句超时、卡口编号校验和结果行数上限，不开放自然语言生成并执行任意SQL。</w:t>
      </w:r>
    </w:p>
    <w:p>
      <w:pPr>
        <w:keepNext w:val="0"/>
        <w:spacing w:line="360" w:lineRule="auto" w:before="0" w:after="0"/>
        <w:jc w:val="both"/>
      </w:pPr>
      <w:r>
        <w:rPr>
          <w:rFonts w:ascii="Times New Roman" w:hAnsi="Times New Roman" w:eastAsia="宋体"/>
          <w:b w:val="0"/>
          <w:color w:val="000000"/>
          <w:sz w:val="21"/>
        </w:rPr>
        <w:t>• Prompt与交通工具实现：系统提示词规定回答必须说明卡口、时间范围、数据来源和模型状态，数据不足时明确拒答，不得推断真实OD、旅行时间或拥堵传播，也不得声称已经执行信号控制或分流。首期注册卡口最近流量、峰值时间桶、车型分布和ONNX卡口流量预测四个StructuredTool；每次工具调用记录工具名、受控参数、来源、摘要、成功状态和耗时，最终通过trace_id形成可追踪证据链。</w:t>
      </w:r>
    </w:p>
    <w:p>
      <w:pPr>
        <w:keepNext w:val="0"/>
        <w:spacing w:line="360" w:lineRule="auto" w:before="0" w:after="0"/>
        <w:jc w:val="both"/>
      </w:pPr>
      <w:r>
        <w:rPr>
          <w:rFonts w:ascii="Times New Roman" w:hAnsi="Times New Roman" w:eastAsia="宋体"/>
          <w:b w:val="0"/>
          <w:color w:val="000000"/>
          <w:sz w:val="21"/>
        </w:rPr>
        <w:t>• 多轮记忆与模型解耦：使用LangGraph InMemorySaver维护进程内短期记忆，以thread_id隔离不同对话，避免不同用户或页面会话串话。模型配置从环境变量读取provider、model、API Key、base URL、温度、超时、重试次数和最大迭代次数，业务逻辑统一通过OpenAI兼容协议调用模型。该设计实现了模型服务与交通业务解耦，同时明确当前记忆在服务重启或多实例部署后不会自动持久化。</w:t>
      </w:r>
    </w:p>
    <w:p>
      <w:pPr>
        <w:keepNext/>
        <w:spacing w:line="360" w:lineRule="auto" w:before="0" w:after="0"/>
        <w:jc w:val="center"/>
      </w:pPr>
      <w:r>
        <w:rPr>
          <w:rFonts w:ascii="Times New Roman" w:hAnsi="Times New Roman" w:eastAsia="宋体"/>
          <w:b w:val="0"/>
          <w:color w:val="000000"/>
          <w:sz w:val="21"/>
        </w:rPr>
        <w:t>表10-1 教学Bot组件与当前项目化实现对照</w:t>
      </w:r>
    </w:p>
    <w:tbl>
      <w:tblPr>
        <w:tblW w:type="auto" w:w="0"/>
        <w:tblLayout w:type="fixed"/>
        <w:tblLook w:firstColumn="1" w:firstRow="1" w:lastColumn="0" w:lastRow="0" w:noHBand="0" w:noVBand="1" w:val="04A0"/>
      </w:tblPr>
      <w:tblGrid>
        <w:gridCol w:w="2076"/>
        <w:gridCol w:w="2076"/>
        <w:gridCol w:w="2076"/>
        <w:gridCol w:w="2076"/>
      </w:tblGrid>
      <w:tr>
        <w:trPr>
          <w:cantSplit/>
          <w:tblHeader w:val="true"/>
        </w:trPr>
        <w:tc>
          <w:tcPr>
            <w:tcW w:type="dxa" w:w="1701"/>
            <w:vAlign w:val="center"/>
            <w:tcMar>
              <w:top w:w="100" w:type="dxa"/>
              <w:start w:w="100" w:type="dxa"/>
              <w:bottom w:w="100" w:type="dxa"/>
              <w:end w:w="100" w:type="dxa"/>
            </w:tcMar>
            <w:shd w:fill="365F91"/>
          </w:tcPr>
          <w:p>
            <w:pPr>
              <w:spacing w:line="276" w:lineRule="auto" w:before="30" w:after="30"/>
              <w:jc w:val="center"/>
            </w:pPr>
            <w:r>
              <w:rPr>
                <w:rFonts w:ascii="Times New Roman" w:hAnsi="Times New Roman" w:eastAsia="宋体"/>
                <w:b/>
                <w:color w:val="FFFFFF"/>
                <w:sz w:val="18"/>
              </w:rPr>
              <w:t>教学组件</w:t>
            </w:r>
          </w:p>
        </w:tc>
        <w:tc>
          <w:tcPr>
            <w:tcW w:type="dxa" w:w="2494"/>
            <w:vAlign w:val="center"/>
            <w:tcMar>
              <w:top w:w="100" w:type="dxa"/>
              <w:start w:w="100" w:type="dxa"/>
              <w:bottom w:w="100" w:type="dxa"/>
              <w:end w:w="100" w:type="dxa"/>
            </w:tcMar>
            <w:shd w:fill="365F91"/>
          </w:tcPr>
          <w:p>
            <w:pPr>
              <w:spacing w:line="276" w:lineRule="auto" w:before="30" w:after="30"/>
              <w:jc w:val="left"/>
            </w:pPr>
            <w:r>
              <w:rPr>
                <w:rFonts w:ascii="Times New Roman" w:hAnsi="Times New Roman" w:eastAsia="宋体"/>
                <w:b/>
                <w:color w:val="FFFFFF"/>
                <w:sz w:val="18"/>
              </w:rPr>
              <w:t>原始作用</w:t>
            </w:r>
          </w:p>
        </w:tc>
        <w:tc>
          <w:tcPr>
            <w:tcW w:type="dxa" w:w="3628"/>
            <w:vAlign w:val="center"/>
            <w:tcMar>
              <w:top w:w="100" w:type="dxa"/>
              <w:start w:w="100" w:type="dxa"/>
              <w:bottom w:w="100" w:type="dxa"/>
              <w:end w:w="100" w:type="dxa"/>
            </w:tcMar>
            <w:shd w:fill="365F91"/>
          </w:tcPr>
          <w:p>
            <w:pPr>
              <w:spacing w:line="276" w:lineRule="auto" w:before="30" w:after="30"/>
              <w:jc w:val="left"/>
            </w:pPr>
            <w:r>
              <w:rPr>
                <w:rFonts w:ascii="Times New Roman" w:hAnsi="Times New Roman" w:eastAsia="宋体"/>
                <w:b/>
                <w:color w:val="FFFFFF"/>
                <w:sz w:val="18"/>
              </w:rPr>
              <w:t>当前项目实现</w:t>
            </w:r>
          </w:p>
        </w:tc>
        <w:tc>
          <w:tcPr>
            <w:tcW w:type="dxa" w:w="1701"/>
            <w:vAlign w:val="center"/>
            <w:tcMar>
              <w:top w:w="100" w:type="dxa"/>
              <w:start w:w="100" w:type="dxa"/>
              <w:bottom w:w="100" w:type="dxa"/>
              <w:end w:w="100" w:type="dxa"/>
            </w:tcMar>
            <w:shd w:fill="365F91"/>
          </w:tcPr>
          <w:p>
            <w:pPr>
              <w:spacing w:line="276" w:lineRule="auto" w:before="30" w:after="30"/>
              <w:jc w:val="center"/>
            </w:pPr>
            <w:r>
              <w:rPr>
                <w:rFonts w:ascii="Times New Roman" w:hAnsi="Times New Roman" w:eastAsia="宋体"/>
                <w:b/>
                <w:color w:val="FFFFFF"/>
                <w:sz w:val="18"/>
              </w:rPr>
              <w:t>结论</w:t>
            </w:r>
          </w:p>
        </w:tc>
      </w:tr>
      <w:tr>
        <w:trPr>
          <w:cantSplit/>
        </w:trPr>
        <w:tc>
          <w:tcPr>
            <w:tcW w:type="dxa" w:w="1701"/>
            <w:vAlign w:val="center"/>
            <w:tcMar>
              <w:top w:w="100" w:type="dxa"/>
              <w:start w:w="100" w:type="dxa"/>
              <w:bottom w:w="100" w:type="dxa"/>
              <w:end w:w="100" w:type="dxa"/>
            </w:tcMar>
          </w:tcPr>
          <w:p>
            <w:pPr>
              <w:spacing w:line="276" w:lineRule="auto" w:before="30" w:after="30"/>
              <w:jc w:val="center"/>
            </w:pPr>
            <w:r>
              <w:rPr>
                <w:rFonts w:ascii="Times New Roman" w:hAnsi="Times New Roman" w:eastAsia="宋体"/>
                <w:b w:val="0"/>
                <w:color w:val="000000"/>
                <w:sz w:val="18"/>
              </w:rPr>
              <w:t>LLMChain</w:t>
            </w:r>
          </w:p>
        </w:tc>
        <w:tc>
          <w:tcPr>
            <w:tcW w:type="dxa" w:w="2494"/>
            <w:vAlign w:val="center"/>
            <w:tcMar>
              <w:top w:w="100" w:type="dxa"/>
              <w:start w:w="100" w:type="dxa"/>
              <w:bottom w:w="100" w:type="dxa"/>
              <w:end w:w="100" w:type="dxa"/>
            </w:tcMar>
          </w:tcPr>
          <w:p>
            <w:pPr>
              <w:spacing w:line="276" w:lineRule="auto" w:before="30" w:after="30"/>
              <w:jc w:val="left"/>
            </w:pPr>
            <w:r>
              <w:rPr>
                <w:rFonts w:ascii="Times New Roman" w:hAnsi="Times New Roman" w:eastAsia="宋体"/>
                <w:b w:val="0"/>
                <w:color w:val="000000"/>
                <w:sz w:val="18"/>
              </w:rPr>
              <w:t>固定串联查询与文本生成</w:t>
            </w:r>
          </w:p>
        </w:tc>
        <w:tc>
          <w:tcPr>
            <w:tcW w:type="dxa" w:w="3628"/>
            <w:vAlign w:val="center"/>
            <w:tcMar>
              <w:top w:w="100" w:type="dxa"/>
              <w:start w:w="100" w:type="dxa"/>
              <w:bottom w:w="100" w:type="dxa"/>
              <w:end w:w="100" w:type="dxa"/>
            </w:tcMar>
          </w:tcPr>
          <w:p>
            <w:pPr>
              <w:spacing w:line="276" w:lineRule="auto" w:before="30" w:after="30"/>
              <w:jc w:val="left"/>
            </w:pPr>
            <w:r>
              <w:rPr>
                <w:rFonts w:ascii="Times New Roman" w:hAnsi="Times New Roman" w:eastAsia="宋体"/>
                <w:b w:val="0"/>
                <w:color w:val="000000"/>
                <w:sz w:val="18"/>
              </w:rPr>
              <w:t>LangChain v1 create_agent按问题自主选择受控工具</w:t>
            </w:r>
          </w:p>
        </w:tc>
        <w:tc>
          <w:tcPr>
            <w:tcW w:type="dxa" w:w="1701"/>
            <w:vAlign w:val="center"/>
            <w:tcMar>
              <w:top w:w="100" w:type="dxa"/>
              <w:start w:w="100" w:type="dxa"/>
              <w:bottom w:w="100" w:type="dxa"/>
              <w:end w:w="100" w:type="dxa"/>
            </w:tcMar>
          </w:tcPr>
          <w:p>
            <w:pPr>
              <w:spacing w:line="276" w:lineRule="auto" w:before="30" w:after="30"/>
              <w:jc w:val="center"/>
            </w:pPr>
            <w:r>
              <w:rPr>
                <w:rFonts w:ascii="Times New Roman" w:hAnsi="Times New Roman" w:eastAsia="宋体"/>
                <w:b w:val="0"/>
                <w:color w:val="000000"/>
                <w:sz w:val="18"/>
              </w:rPr>
              <w:t>升级替代</w:t>
            </w:r>
          </w:p>
        </w:tc>
      </w:tr>
      <w:tr>
        <w:trPr>
          <w:cantSplit/>
        </w:trPr>
        <w:tc>
          <w:tcPr>
            <w:tcW w:type="dxa" w:w="1701"/>
            <w:vAlign w:val="center"/>
            <w:tcMar>
              <w:top w:w="100" w:type="dxa"/>
              <w:start w:w="100" w:type="dxa"/>
              <w:bottom w:w="100" w:type="dxa"/>
              <w:end w:w="100" w:type="dxa"/>
            </w:tcMar>
            <w:shd w:fill="EAF2F8"/>
          </w:tcPr>
          <w:p>
            <w:pPr>
              <w:spacing w:line="276" w:lineRule="auto" w:before="30" w:after="30"/>
              <w:jc w:val="center"/>
            </w:pPr>
            <w:r>
              <w:rPr>
                <w:rFonts w:ascii="Times New Roman" w:hAnsi="Times New Roman" w:eastAsia="宋体"/>
                <w:b w:val="0"/>
                <w:color w:val="000000"/>
                <w:sz w:val="18"/>
              </w:rPr>
              <w:t>PromptTemplate</w:t>
            </w:r>
          </w:p>
        </w:tc>
        <w:tc>
          <w:tcPr>
            <w:tcW w:type="dxa" w:w="2494"/>
            <w:vAlign w:val="center"/>
            <w:tcMar>
              <w:top w:w="100" w:type="dxa"/>
              <w:start w:w="100" w:type="dxa"/>
              <w:bottom w:w="100" w:type="dxa"/>
              <w:end w:w="100" w:type="dxa"/>
            </w:tcMar>
            <w:shd w:fill="EAF2F8"/>
          </w:tcPr>
          <w:p>
            <w:pPr>
              <w:spacing w:line="276" w:lineRule="auto" w:before="30" w:after="30"/>
              <w:jc w:val="left"/>
            </w:pPr>
            <w:r>
              <w:rPr>
                <w:rFonts w:ascii="Times New Roman" w:hAnsi="Times New Roman" w:eastAsia="宋体"/>
                <w:b w:val="0"/>
                <w:color w:val="000000"/>
                <w:sz w:val="18"/>
              </w:rPr>
              <w:t>通过变量插入城市与交通数据</w:t>
            </w:r>
          </w:p>
        </w:tc>
        <w:tc>
          <w:tcPr>
            <w:tcW w:type="dxa" w:w="3628"/>
            <w:vAlign w:val="center"/>
            <w:tcMar>
              <w:top w:w="100" w:type="dxa"/>
              <w:start w:w="100" w:type="dxa"/>
              <w:bottom w:w="100" w:type="dxa"/>
              <w:end w:w="100" w:type="dxa"/>
            </w:tcMar>
            <w:shd w:fill="EAF2F8"/>
          </w:tcPr>
          <w:p>
            <w:pPr>
              <w:spacing w:line="276" w:lineRule="auto" w:before="30" w:after="30"/>
              <w:jc w:val="left"/>
            </w:pPr>
            <w:r>
              <w:rPr>
                <w:rFonts w:ascii="Times New Roman" w:hAnsi="Times New Roman" w:eastAsia="宋体"/>
                <w:b w:val="0"/>
                <w:color w:val="000000"/>
                <w:sz w:val="18"/>
              </w:rPr>
              <w:t>集中式系统Prompt加结构化工具结果，避免直接拼接未经验证的数据</w:t>
            </w:r>
          </w:p>
        </w:tc>
        <w:tc>
          <w:tcPr>
            <w:tcW w:type="dxa" w:w="1701"/>
            <w:vAlign w:val="center"/>
            <w:tcMar>
              <w:top w:w="100" w:type="dxa"/>
              <w:start w:w="100" w:type="dxa"/>
              <w:bottom w:w="100" w:type="dxa"/>
              <w:end w:w="100" w:type="dxa"/>
            </w:tcMar>
            <w:shd w:fill="EAF2F8"/>
          </w:tcPr>
          <w:p>
            <w:pPr>
              <w:spacing w:line="276" w:lineRule="auto" w:before="30" w:after="30"/>
              <w:jc w:val="center"/>
            </w:pPr>
            <w:r>
              <w:rPr>
                <w:rFonts w:ascii="Times New Roman" w:hAnsi="Times New Roman" w:eastAsia="宋体"/>
                <w:b w:val="0"/>
                <w:color w:val="000000"/>
                <w:sz w:val="18"/>
              </w:rPr>
              <w:t>理念保留</w:t>
            </w:r>
          </w:p>
        </w:tc>
      </w:tr>
      <w:tr>
        <w:trPr>
          <w:cantSplit/>
        </w:trPr>
        <w:tc>
          <w:tcPr>
            <w:tcW w:type="dxa" w:w="1701"/>
            <w:vAlign w:val="center"/>
            <w:tcMar>
              <w:top w:w="100" w:type="dxa"/>
              <w:start w:w="100" w:type="dxa"/>
              <w:bottom w:w="100" w:type="dxa"/>
              <w:end w:w="100" w:type="dxa"/>
            </w:tcMar>
          </w:tcPr>
          <w:p>
            <w:pPr>
              <w:spacing w:line="276" w:lineRule="auto" w:before="30" w:after="30"/>
              <w:jc w:val="center"/>
            </w:pPr>
            <w:r>
              <w:rPr>
                <w:rFonts w:ascii="Times New Roman" w:hAnsi="Times New Roman" w:eastAsia="宋体"/>
                <w:b w:val="0"/>
                <w:color w:val="000000"/>
                <w:sz w:val="18"/>
              </w:rPr>
              <w:t>ConversationBufferMemory</w:t>
            </w:r>
          </w:p>
        </w:tc>
        <w:tc>
          <w:tcPr>
            <w:tcW w:type="dxa" w:w="2494"/>
            <w:vAlign w:val="center"/>
            <w:tcMar>
              <w:top w:w="100" w:type="dxa"/>
              <w:start w:w="100" w:type="dxa"/>
              <w:bottom w:w="100" w:type="dxa"/>
              <w:end w:w="100" w:type="dxa"/>
            </w:tcMar>
          </w:tcPr>
          <w:p>
            <w:pPr>
              <w:spacing w:line="276" w:lineRule="auto" w:before="30" w:after="30"/>
              <w:jc w:val="left"/>
            </w:pPr>
            <w:r>
              <w:rPr>
                <w:rFonts w:ascii="Times New Roman" w:hAnsi="Times New Roman" w:eastAsia="宋体"/>
                <w:b w:val="0"/>
                <w:color w:val="000000"/>
                <w:sz w:val="18"/>
              </w:rPr>
              <w:t>保存历史消息实现多轮对话</w:t>
            </w:r>
          </w:p>
        </w:tc>
        <w:tc>
          <w:tcPr>
            <w:tcW w:type="dxa" w:w="3628"/>
            <w:vAlign w:val="center"/>
            <w:tcMar>
              <w:top w:w="100" w:type="dxa"/>
              <w:start w:w="100" w:type="dxa"/>
              <w:bottom w:w="100" w:type="dxa"/>
              <w:end w:w="100" w:type="dxa"/>
            </w:tcMar>
          </w:tcPr>
          <w:p>
            <w:pPr>
              <w:spacing w:line="276" w:lineRule="auto" w:before="30" w:after="30"/>
              <w:jc w:val="left"/>
            </w:pPr>
            <w:r>
              <w:rPr>
                <w:rFonts w:ascii="Times New Roman" w:hAnsi="Times New Roman" w:eastAsia="宋体"/>
                <w:b w:val="0"/>
                <w:color w:val="000000"/>
                <w:sz w:val="18"/>
              </w:rPr>
              <w:t>LangGraph InMemorySaver加thread_id会话隔离</w:t>
            </w:r>
          </w:p>
        </w:tc>
        <w:tc>
          <w:tcPr>
            <w:tcW w:type="dxa" w:w="1701"/>
            <w:vAlign w:val="center"/>
            <w:tcMar>
              <w:top w:w="100" w:type="dxa"/>
              <w:start w:w="100" w:type="dxa"/>
              <w:bottom w:w="100" w:type="dxa"/>
              <w:end w:w="100" w:type="dxa"/>
            </w:tcMar>
          </w:tcPr>
          <w:p>
            <w:pPr>
              <w:spacing w:line="276" w:lineRule="auto" w:before="30" w:after="30"/>
              <w:jc w:val="center"/>
            </w:pPr>
            <w:r>
              <w:rPr>
                <w:rFonts w:ascii="Times New Roman" w:hAnsi="Times New Roman" w:eastAsia="宋体"/>
                <w:b w:val="0"/>
                <w:color w:val="000000"/>
                <w:sz w:val="18"/>
              </w:rPr>
              <w:t>升级替代</w:t>
            </w:r>
          </w:p>
        </w:tc>
      </w:tr>
      <w:tr>
        <w:trPr>
          <w:cantSplit/>
        </w:trPr>
        <w:tc>
          <w:tcPr>
            <w:tcW w:type="dxa" w:w="1701"/>
            <w:vAlign w:val="center"/>
            <w:tcMar>
              <w:top w:w="100" w:type="dxa"/>
              <w:start w:w="100" w:type="dxa"/>
              <w:bottom w:w="100" w:type="dxa"/>
              <w:end w:w="100" w:type="dxa"/>
            </w:tcMar>
            <w:shd w:fill="EAF2F8"/>
          </w:tcPr>
          <w:p>
            <w:pPr>
              <w:spacing w:line="276" w:lineRule="auto" w:before="30" w:after="30"/>
              <w:jc w:val="center"/>
            </w:pPr>
            <w:r>
              <w:rPr>
                <w:rFonts w:ascii="Times New Roman" w:hAnsi="Times New Roman" w:eastAsia="宋体"/>
                <w:b w:val="0"/>
                <w:color w:val="000000"/>
                <w:sz w:val="18"/>
              </w:rPr>
              <w:t>model_provider</w:t>
            </w:r>
          </w:p>
        </w:tc>
        <w:tc>
          <w:tcPr>
            <w:tcW w:type="dxa" w:w="2494"/>
            <w:vAlign w:val="center"/>
            <w:tcMar>
              <w:top w:w="100" w:type="dxa"/>
              <w:start w:w="100" w:type="dxa"/>
              <w:bottom w:w="100" w:type="dxa"/>
              <w:end w:w="100" w:type="dxa"/>
            </w:tcMar>
            <w:shd w:fill="EAF2F8"/>
          </w:tcPr>
          <w:p>
            <w:pPr>
              <w:spacing w:line="276" w:lineRule="auto" w:before="30" w:after="30"/>
              <w:jc w:val="left"/>
            </w:pPr>
            <w:r>
              <w:rPr>
                <w:rFonts w:ascii="Times New Roman" w:hAnsi="Times New Roman" w:eastAsia="宋体"/>
                <w:b w:val="0"/>
                <w:color w:val="000000"/>
                <w:sz w:val="18"/>
              </w:rPr>
              <w:t>通过字符串切换不同LLM类</w:t>
            </w:r>
          </w:p>
        </w:tc>
        <w:tc>
          <w:tcPr>
            <w:tcW w:type="dxa" w:w="3628"/>
            <w:vAlign w:val="center"/>
            <w:tcMar>
              <w:top w:w="100" w:type="dxa"/>
              <w:start w:w="100" w:type="dxa"/>
              <w:bottom w:w="100" w:type="dxa"/>
              <w:end w:w="100" w:type="dxa"/>
            </w:tcMar>
            <w:shd w:fill="EAF2F8"/>
          </w:tcPr>
          <w:p>
            <w:pPr>
              <w:spacing w:line="276" w:lineRule="auto" w:before="30" w:after="30"/>
              <w:jc w:val="left"/>
            </w:pPr>
            <w:r>
              <w:rPr>
                <w:rFonts w:ascii="Times New Roman" w:hAnsi="Times New Roman" w:eastAsia="宋体"/>
                <w:b w:val="0"/>
                <w:color w:val="000000"/>
                <w:sz w:val="18"/>
              </w:rPr>
              <w:t>provider、model、base URL和密钥环境配置，统一OpenAI兼容接口</w:t>
            </w:r>
          </w:p>
        </w:tc>
        <w:tc>
          <w:tcPr>
            <w:tcW w:type="dxa" w:w="1701"/>
            <w:vAlign w:val="center"/>
            <w:tcMar>
              <w:top w:w="100" w:type="dxa"/>
              <w:start w:w="100" w:type="dxa"/>
              <w:bottom w:w="100" w:type="dxa"/>
              <w:end w:w="100" w:type="dxa"/>
            </w:tcMar>
            <w:shd w:fill="EAF2F8"/>
          </w:tcPr>
          <w:p>
            <w:pPr>
              <w:spacing w:line="276" w:lineRule="auto" w:before="30" w:after="30"/>
              <w:jc w:val="center"/>
            </w:pPr>
            <w:r>
              <w:rPr>
                <w:rFonts w:ascii="Times New Roman" w:hAnsi="Times New Roman" w:eastAsia="宋体"/>
                <w:b w:val="0"/>
                <w:color w:val="000000"/>
                <w:sz w:val="18"/>
              </w:rPr>
              <w:t>已实现</w:t>
            </w:r>
          </w:p>
        </w:tc>
      </w:tr>
      <w:tr>
        <w:trPr>
          <w:cantSplit/>
        </w:trPr>
        <w:tc>
          <w:tcPr>
            <w:tcW w:type="dxa" w:w="1701"/>
            <w:vAlign w:val="center"/>
            <w:tcMar>
              <w:top w:w="100" w:type="dxa"/>
              <w:start w:w="100" w:type="dxa"/>
              <w:bottom w:w="100" w:type="dxa"/>
              <w:end w:w="100" w:type="dxa"/>
            </w:tcMar>
          </w:tcPr>
          <w:p>
            <w:pPr>
              <w:spacing w:line="276" w:lineRule="auto" w:before="30" w:after="30"/>
              <w:jc w:val="center"/>
            </w:pPr>
            <w:r>
              <w:rPr>
                <w:rFonts w:ascii="Times New Roman" w:hAnsi="Times New Roman" w:eastAsia="宋体"/>
                <w:b w:val="0"/>
                <w:color w:val="000000"/>
                <w:sz w:val="18"/>
              </w:rPr>
              <w:t>模拟城市数据</w:t>
            </w:r>
          </w:p>
        </w:tc>
        <w:tc>
          <w:tcPr>
            <w:tcW w:type="dxa" w:w="2494"/>
            <w:vAlign w:val="center"/>
            <w:tcMar>
              <w:top w:w="100" w:type="dxa"/>
              <w:start w:w="100" w:type="dxa"/>
              <w:bottom w:w="100" w:type="dxa"/>
              <w:end w:w="100" w:type="dxa"/>
            </w:tcMar>
          </w:tcPr>
          <w:p>
            <w:pPr>
              <w:spacing w:line="276" w:lineRule="auto" w:before="30" w:after="30"/>
              <w:jc w:val="left"/>
            </w:pPr>
            <w:r>
              <w:rPr>
                <w:rFonts w:ascii="Times New Roman" w:hAnsi="Times New Roman" w:eastAsia="宋体"/>
                <w:b w:val="0"/>
                <w:color w:val="000000"/>
                <w:sz w:val="18"/>
              </w:rPr>
              <w:t>无密钥时维持演示</w:t>
            </w:r>
          </w:p>
        </w:tc>
        <w:tc>
          <w:tcPr>
            <w:tcW w:type="dxa" w:w="3628"/>
            <w:vAlign w:val="center"/>
            <w:tcMar>
              <w:top w:w="100" w:type="dxa"/>
              <w:start w:w="100" w:type="dxa"/>
              <w:bottom w:w="100" w:type="dxa"/>
              <w:end w:w="100" w:type="dxa"/>
            </w:tcMar>
          </w:tcPr>
          <w:p>
            <w:pPr>
              <w:spacing w:line="276" w:lineRule="auto" w:before="30" w:after="30"/>
              <w:jc w:val="left"/>
            </w:pPr>
            <w:r>
              <w:rPr>
                <w:rFonts w:ascii="Times New Roman" w:hAnsi="Times New Roman" w:eastAsia="宋体"/>
                <w:b w:val="0"/>
                <w:color w:val="000000"/>
                <w:sz w:val="18"/>
              </w:rPr>
              <w:t>Agent不可用时明确降级；不生成模拟回答，不把CSV或静态城市数据冒充实时结果</w:t>
            </w:r>
          </w:p>
        </w:tc>
        <w:tc>
          <w:tcPr>
            <w:tcW w:type="dxa" w:w="1701"/>
            <w:vAlign w:val="center"/>
            <w:tcMar>
              <w:top w:w="100" w:type="dxa"/>
              <w:start w:w="100" w:type="dxa"/>
              <w:bottom w:w="100" w:type="dxa"/>
              <w:end w:w="100" w:type="dxa"/>
            </w:tcMar>
          </w:tcPr>
          <w:p>
            <w:pPr>
              <w:spacing w:line="276" w:lineRule="auto" w:before="30" w:after="30"/>
              <w:jc w:val="center"/>
            </w:pPr>
            <w:r>
              <w:rPr>
                <w:rFonts w:ascii="Times New Roman" w:hAnsi="Times New Roman" w:eastAsia="宋体"/>
                <w:b w:val="0"/>
                <w:color w:val="000000"/>
                <w:sz w:val="18"/>
              </w:rPr>
              <w:t>不采用</w:t>
            </w:r>
          </w:p>
        </w:tc>
      </w:tr>
      <w:tr>
        <w:trPr>
          <w:cantSplit/>
        </w:trPr>
        <w:tc>
          <w:tcPr>
            <w:tcW w:type="dxa" w:w="1701"/>
            <w:vAlign w:val="center"/>
            <w:tcMar>
              <w:top w:w="100" w:type="dxa"/>
              <w:start w:w="100" w:type="dxa"/>
              <w:bottom w:w="100" w:type="dxa"/>
              <w:end w:w="100" w:type="dxa"/>
            </w:tcMar>
            <w:shd w:fill="EAF2F8"/>
          </w:tcPr>
          <w:p>
            <w:pPr>
              <w:spacing w:line="276" w:lineRule="auto" w:before="30" w:after="30"/>
              <w:jc w:val="center"/>
            </w:pPr>
            <w:r>
              <w:rPr>
                <w:rFonts w:ascii="Times New Roman" w:hAnsi="Times New Roman" w:eastAsia="宋体"/>
                <w:b w:val="0"/>
                <w:color w:val="000000"/>
                <w:sz w:val="18"/>
              </w:rPr>
              <w:t>CLI入口</w:t>
            </w:r>
          </w:p>
        </w:tc>
        <w:tc>
          <w:tcPr>
            <w:tcW w:type="dxa" w:w="2494"/>
            <w:vAlign w:val="center"/>
            <w:tcMar>
              <w:top w:w="100" w:type="dxa"/>
              <w:start w:w="100" w:type="dxa"/>
              <w:bottom w:w="100" w:type="dxa"/>
              <w:end w:w="100" w:type="dxa"/>
            </w:tcMar>
            <w:shd w:fill="EAF2F8"/>
          </w:tcPr>
          <w:p>
            <w:pPr>
              <w:spacing w:line="276" w:lineRule="auto" w:before="30" w:after="30"/>
              <w:jc w:val="left"/>
            </w:pPr>
            <w:r>
              <w:rPr>
                <w:rFonts w:ascii="Times New Roman" w:hAnsi="Times New Roman" w:eastAsia="宋体"/>
                <w:b w:val="0"/>
                <w:color w:val="000000"/>
                <w:sz w:val="18"/>
              </w:rPr>
              <w:t>终端菜单交互</w:t>
            </w:r>
          </w:p>
        </w:tc>
        <w:tc>
          <w:tcPr>
            <w:tcW w:type="dxa" w:w="3628"/>
            <w:vAlign w:val="center"/>
            <w:tcMar>
              <w:top w:w="100" w:type="dxa"/>
              <w:start w:w="100" w:type="dxa"/>
              <w:bottom w:w="100" w:type="dxa"/>
              <w:end w:w="100" w:type="dxa"/>
            </w:tcMar>
            <w:shd w:fill="EAF2F8"/>
          </w:tcPr>
          <w:p>
            <w:pPr>
              <w:spacing w:line="276" w:lineRule="auto" w:before="30" w:after="30"/>
              <w:jc w:val="left"/>
            </w:pPr>
            <w:r>
              <w:rPr>
                <w:rFonts w:ascii="Times New Roman" w:hAnsi="Times New Roman" w:eastAsia="宋体"/>
                <w:b w:val="0"/>
                <w:color w:val="000000"/>
                <w:sz w:val="18"/>
              </w:rPr>
              <w:t>FastAPI统一服务加Streamlit交通指挥助手页面</w:t>
            </w:r>
          </w:p>
        </w:tc>
        <w:tc>
          <w:tcPr>
            <w:tcW w:type="dxa" w:w="1701"/>
            <w:vAlign w:val="center"/>
            <w:tcMar>
              <w:top w:w="100" w:type="dxa"/>
              <w:start w:w="100" w:type="dxa"/>
              <w:bottom w:w="100" w:type="dxa"/>
              <w:end w:w="100" w:type="dxa"/>
            </w:tcMar>
            <w:shd w:fill="EAF2F8"/>
          </w:tcPr>
          <w:p>
            <w:pPr>
              <w:spacing w:line="276" w:lineRule="auto" w:before="30" w:after="30"/>
              <w:jc w:val="center"/>
            </w:pPr>
            <w:r>
              <w:rPr>
                <w:rFonts w:ascii="Times New Roman" w:hAnsi="Times New Roman" w:eastAsia="宋体"/>
                <w:b w:val="0"/>
                <w:color w:val="000000"/>
                <w:sz w:val="18"/>
              </w:rPr>
              <w:t>Web化完成</w:t>
            </w:r>
          </w:p>
        </w:tc>
      </w:tr>
      <w:tr>
        <w:trPr>
          <w:cantSplit/>
        </w:trPr>
        <w:tc>
          <w:tcPr>
            <w:tcW w:type="dxa" w:w="1701"/>
            <w:vAlign w:val="center"/>
            <w:tcMar>
              <w:top w:w="100" w:type="dxa"/>
              <w:start w:w="100" w:type="dxa"/>
              <w:bottom w:w="100" w:type="dxa"/>
              <w:end w:w="100" w:type="dxa"/>
            </w:tcMar>
          </w:tcPr>
          <w:p>
            <w:pPr>
              <w:spacing w:line="276" w:lineRule="auto" w:before="30" w:after="30"/>
              <w:jc w:val="center"/>
            </w:pPr>
            <w:r>
              <w:rPr>
                <w:rFonts w:ascii="Times New Roman" w:hAnsi="Times New Roman" w:eastAsia="宋体"/>
                <w:b w:val="0"/>
                <w:color w:val="000000"/>
                <w:sz w:val="18"/>
              </w:rPr>
              <w:t>RAG</w:t>
            </w:r>
          </w:p>
        </w:tc>
        <w:tc>
          <w:tcPr>
            <w:tcW w:type="dxa" w:w="2494"/>
            <w:vAlign w:val="center"/>
            <w:tcMar>
              <w:top w:w="100" w:type="dxa"/>
              <w:start w:w="100" w:type="dxa"/>
              <w:bottom w:w="100" w:type="dxa"/>
              <w:end w:w="100" w:type="dxa"/>
            </w:tcMar>
          </w:tcPr>
          <w:p>
            <w:pPr>
              <w:spacing w:line="276" w:lineRule="auto" w:before="30" w:after="30"/>
              <w:jc w:val="left"/>
            </w:pPr>
            <w:r>
              <w:rPr>
                <w:rFonts w:ascii="Times New Roman" w:hAnsi="Times New Roman" w:eastAsia="宋体"/>
                <w:b w:val="0"/>
                <w:color w:val="000000"/>
                <w:sz w:val="18"/>
              </w:rPr>
              <w:t>基于交通法规文档增强回答</w:t>
            </w:r>
          </w:p>
        </w:tc>
        <w:tc>
          <w:tcPr>
            <w:tcW w:type="dxa" w:w="3628"/>
            <w:vAlign w:val="center"/>
            <w:tcMar>
              <w:top w:w="100" w:type="dxa"/>
              <w:start w:w="100" w:type="dxa"/>
              <w:bottom w:w="100" w:type="dxa"/>
              <w:end w:w="100" w:type="dxa"/>
            </w:tcMar>
          </w:tcPr>
          <w:p>
            <w:pPr>
              <w:spacing w:line="276" w:lineRule="auto" w:before="30" w:after="30"/>
              <w:jc w:val="left"/>
            </w:pPr>
            <w:r>
              <w:rPr>
                <w:rFonts w:ascii="Times New Roman" w:hAnsi="Times New Roman" w:eastAsia="宋体"/>
                <w:b w:val="0"/>
                <w:color w:val="000000"/>
                <w:sz w:val="18"/>
              </w:rPr>
              <w:t>保留为后续独立阶段，要求法规版本、来源、段落定位和检索评估</w:t>
            </w:r>
          </w:p>
        </w:tc>
        <w:tc>
          <w:tcPr>
            <w:tcW w:type="dxa" w:w="1701"/>
            <w:vAlign w:val="center"/>
            <w:tcMar>
              <w:top w:w="100" w:type="dxa"/>
              <w:start w:w="100" w:type="dxa"/>
              <w:bottom w:w="100" w:type="dxa"/>
              <w:end w:w="100" w:type="dxa"/>
            </w:tcMar>
          </w:tcPr>
          <w:p>
            <w:pPr>
              <w:spacing w:line="276" w:lineRule="auto" w:before="30" w:after="30"/>
              <w:jc w:val="center"/>
            </w:pPr>
            <w:r>
              <w:rPr>
                <w:rFonts w:ascii="Times New Roman" w:hAnsi="Times New Roman" w:eastAsia="宋体"/>
                <w:b w:val="0"/>
                <w:color w:val="000000"/>
                <w:sz w:val="18"/>
              </w:rPr>
              <w:t>目标态</w:t>
            </w:r>
          </w:p>
        </w:tc>
      </w:tr>
    </w:tbl>
    <w:p>
      <w:pPr>
        <w:keepNext w:val="0"/>
        <w:spacing w:line="360" w:lineRule="auto" w:before="0" w:after="0"/>
        <w:jc w:val="both"/>
      </w:pPr>
      <w:r>
        <w:rPr>
          <w:rFonts w:ascii="Times New Roman" w:hAnsi="Times New Roman" w:eastAsia="宋体"/>
          <w:b w:val="0"/>
          <w:color w:val="000000"/>
          <w:sz w:val="21"/>
        </w:rPr>
        <w:t>• FastAPI与Streamlit集成：统一服务增加GET /api/v1/agent/health和POST /api/v1/assistant/query，并复用现有X-API-Key鉴权。Agent未启用、缺少依赖或模型初始化失败时只进入降级状态，不影响流量、识别和预测接口。Streamlit新增交通指挥助手页，支持健康状态、默认卡口、新建会话、聊天输入、工具证据、能力限制和trace_id展示，并与现有交通流量大屏双向导航。</w:t>
      </w:r>
    </w:p>
    <w:p>
      <w:pPr>
        <w:keepNext w:val="0"/>
        <w:spacing w:line="360" w:lineRule="auto" w:before="0" w:after="0"/>
        <w:jc w:val="both"/>
      </w:pPr>
      <w:r>
        <w:rPr>
          <w:rFonts w:ascii="Times New Roman" w:hAnsi="Times New Roman" w:eastAsia="宋体"/>
          <w:b w:val="0"/>
          <w:color w:val="000000"/>
          <w:sz w:val="21"/>
        </w:rPr>
        <w:t>• 阿里云百炼真实联调：在项目虚拟环境安装LangChain、langchain-openai和LangGraph运行依赖，通过Git忽略的本地环境文件注入百炼密钥，使用deepseek-v4-flash-0731和OpenAI兼容接口完成真实调用。最小模型探针返回成功；LangChain Agent能够自动选择query_checkpoint_flow并接收工具结果；启用态FastAPI健康接口返回available=true，普通问答和工具问答均返回200。未配置TimescaleDB数据源时，模型依据工具返回明确说明无实时数据，没有生成模拟数值。</w:t>
      </w:r>
    </w:p>
    <w:p>
      <w:pPr>
        <w:keepNext w:val="0"/>
        <w:spacing w:line="360" w:lineRule="auto" w:before="0" w:after="0"/>
        <w:jc w:val="both"/>
      </w:pPr>
      <w:r>
        <w:rPr>
          <w:rFonts w:ascii="Times New Roman" w:hAnsi="Times New Roman" w:eastAsia="宋体"/>
          <w:b w:val="0"/>
          <w:color w:val="000000"/>
          <w:sz w:val="21"/>
        </w:rPr>
        <w:t>• 运行验证与阶段边界：浏览器实测交通指挥助手显示aliyun-bailian与deepseek-v4-flash-0731已就绪，完成真实问题提交、模型回答、工具证据和trace_id展示。核心与边缘55项、Prediction/API 36项、Agent 11项、Dashboard 11项，共113项自动化测试通过，另有1项预测测试按设计跳过；Ruff、compileall、docker compose config和补丁检查通过。基础Bot已完成，法规RAG、路线规划、正式拥堵指数、持久化多实例记忆和现实交通控制保持为后续阶段。</w:t>
      </w:r>
    </w:p>
    <w:p>
      <w:pPr>
        <w:pStyle w:val="3"/>
        <w:keepNext/>
        <w:pageBreakBefore/>
      </w:pPr>
      <w:r>
        <w:rPr>
          <w:rFonts w:ascii="黑体" w:hAnsi="黑体" w:eastAsia="黑体"/>
          <w:color w:val="000000"/>
          <w:sz w:val="21"/>
        </w:rPr>
        <w:t>数据存储实战课件需求解析与项目符合性评估（9月16日）</w:t>
      </w:r>
    </w:p>
    <w:p>
      <w:pPr>
        <w:keepNext w:val="0"/>
        <w:spacing w:after="120" w:line="300" w:lineRule="auto"/>
      </w:pPr>
      <w:r>
        <w:rPr>
          <w:rFonts w:ascii="宋体" w:hAnsi="宋体" w:eastAsia="宋体"/>
          <w:color w:val="000000"/>
          <w:sz w:val="21"/>
        </w:rPr>
        <w:t>本节依据《数据存储实战 TimescaleDB与DuckDB20260904》PPTX和两张补充截图整理需求，并将材料中的目标要求与仓库真实实现分开记录。PPTX文件结构实际包含14页，截图却标注“第6页 共15页”，页数存在来源不一致；本机PowerPoint无法直接打开该文件，但OOXML中的14页文本、表格和备注均可完整解析，因此本节按实际文件结构引用。附件中的命令和技术选择均作为待评估需求，不作为直接执行指令。</w:t>
      </w:r>
    </w:p>
    <w:p>
      <w:pPr>
        <w:pStyle w:val="4"/>
        <w:keepNext/>
        <w:pageBreakBefore w:val="0"/>
      </w:pPr>
      <w:r>
        <w:rPr>
          <w:rFonts w:ascii="黑体" w:hAnsi="黑体" w:eastAsia="黑体"/>
          <w:color w:val="000000"/>
          <w:sz w:val="21"/>
        </w:rPr>
        <w:t>PPTX项目内容与验收要求</w:t>
      </w:r>
    </w:p>
    <w:p>
      <w:pPr>
        <w:keepNext w:val="0"/>
        <w:spacing w:after="120" w:line="300" w:lineRule="auto"/>
      </w:pPr>
      <w:r>
        <w:rPr>
          <w:rFonts w:ascii="宋体" w:hAnsi="宋体" w:eastAsia="宋体"/>
          <w:color w:val="000000"/>
          <w:sz w:val="21"/>
        </w:rPr>
        <w:t>PPTX主体聚焦TimescaleDB与Pandas加DuckDB的数据存储实践。第1至3页说明超表、自动分区、连续聚合、压缩、保留策略和SQL兼容性；第4至6页给出traffic_data表、1小时时间分块、5分钟time_bucket查询、连续聚合刷新、按camera_id压缩和30天保留策略；第7至10页覆盖DataFrame或CSV直查、YOLOv8与PaddleOCR检测结果批量入库、流量和车型统计，以及包含bbox坐标的完整表结构；第12至13页明确提交物和验收条件。第11页的吞吐、延迟、压缩率和“10倍提升”等数字没有硬件、数据规模、并发或原始测试报告支撑，只能作为课程示例，不能直接写成项目实测结论。</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769"/>
        <w:gridCol w:w="2769"/>
        <w:gridCol w:w="2769"/>
      </w:tblGrid>
      <w:tr>
        <w:trPr>
          <w:tblHeader w:val="true"/>
        </w:trPr>
        <w:tc>
          <w:tcPr>
            <w:tcW w:type="dxa" w:w="1512"/>
            <w:shd w:fill="1F4E78"/>
            <w:tcMar>
              <w:top w:w="90" w:type="dxa"/>
              <w:start w:w="90" w:type="dxa"/>
              <w:bottom w:w="90" w:type="dxa"/>
              <w:end w:w="90" w:type="dxa"/>
            </w:tcMar>
            <w:vAlign w:val="center"/>
          </w:tcPr>
          <w:p>
            <w:pPr>
              <w:spacing w:after="0"/>
              <w:jc w:val="center"/>
            </w:pPr>
            <w:r>
              <w:rPr>
                <w:rFonts w:ascii="宋体" w:hAnsi="宋体" w:eastAsia="宋体"/>
                <w:b/>
                <w:color w:val="FFFFFF"/>
                <w:sz w:val="17"/>
              </w:rPr>
              <w:t>主题</w:t>
            </w:r>
          </w:p>
        </w:tc>
        <w:tc>
          <w:tcPr>
            <w:tcW w:type="dxa" w:w="4176"/>
            <w:shd w:fill="1F4E78"/>
            <w:tcMar>
              <w:top w:w="90" w:type="dxa"/>
              <w:start w:w="90" w:type="dxa"/>
              <w:bottom w:w="90" w:type="dxa"/>
              <w:end w:w="90" w:type="dxa"/>
            </w:tcMar>
            <w:vAlign w:val="center"/>
          </w:tcPr>
          <w:p>
            <w:pPr>
              <w:spacing w:after="0"/>
              <w:jc w:val="center"/>
            </w:pPr>
            <w:r>
              <w:rPr>
                <w:rFonts w:ascii="宋体" w:hAnsi="宋体" w:eastAsia="宋体"/>
                <w:b/>
                <w:color w:val="FFFFFF"/>
                <w:sz w:val="17"/>
              </w:rPr>
              <w:t>课件明确要求</w:t>
            </w:r>
          </w:p>
        </w:tc>
        <w:tc>
          <w:tcPr>
            <w:tcW w:type="dxa" w:w="3168"/>
            <w:shd w:fill="1F4E78"/>
            <w:tcMar>
              <w:top w:w="90" w:type="dxa"/>
              <w:start w:w="90" w:type="dxa"/>
              <w:bottom w:w="90" w:type="dxa"/>
              <w:end w:w="90" w:type="dxa"/>
            </w:tcMar>
            <w:vAlign w:val="center"/>
          </w:tcPr>
          <w:p>
            <w:pPr>
              <w:spacing w:after="0"/>
              <w:jc w:val="center"/>
            </w:pPr>
            <w:r>
              <w:rPr>
                <w:rFonts w:ascii="宋体" w:hAnsi="宋体" w:eastAsia="宋体"/>
                <w:b/>
                <w:color w:val="FFFFFF"/>
                <w:sz w:val="17"/>
              </w:rPr>
              <w:t>工程解释与约束</w:t>
            </w:r>
          </w:p>
        </w:tc>
      </w:tr>
      <w:tr>
        <w:tc>
          <w:tcPr>
            <w:tcW w:type="dxa" w:w="1512"/>
            <w:shd w:fill="FFFFFF"/>
            <w:tcMar>
              <w:top w:w="90" w:type="dxa"/>
              <w:start w:w="90" w:type="dxa"/>
              <w:bottom w:w="90" w:type="dxa"/>
              <w:end w:w="90" w:type="dxa"/>
            </w:tcMar>
            <w:vAlign w:val="center"/>
          </w:tcPr>
          <w:p>
            <w:pPr>
              <w:spacing w:after="0" w:line="252" w:lineRule="auto"/>
              <w:jc w:val="center"/>
            </w:pPr>
            <w:r>
              <w:rPr>
                <w:rFonts w:ascii="宋体" w:hAnsi="宋体" w:eastAsia="宋体"/>
                <w:color w:val="000000"/>
                <w:sz w:val="17"/>
              </w:rPr>
              <w:t>时序表与分区</w:t>
            </w:r>
          </w:p>
        </w:tc>
        <w:tc>
          <w:tcPr>
            <w:tcW w:type="dxa" w:w="4176"/>
            <w:shd w:fill="FFFFFF"/>
            <w:tcMar>
              <w:top w:w="90" w:type="dxa"/>
              <w:start w:w="90" w:type="dxa"/>
              <w:bottom w:w="90" w:type="dxa"/>
              <w:end w:w="90" w:type="dxa"/>
            </w:tcMar>
            <w:vAlign w:val="center"/>
          </w:tcPr>
          <w:p>
            <w:pPr>
              <w:spacing w:after="0" w:line="252" w:lineRule="auto"/>
              <w:jc w:val="left"/>
            </w:pPr>
            <w:r>
              <w:rPr>
                <w:rFonts w:ascii="宋体" w:hAnsi="宋体" w:eastAsia="宋体"/>
                <w:color w:val="000000"/>
                <w:sz w:val="17"/>
              </w:rPr>
              <w:t>traffic_data包含time、camera_id、plate、vehicle_type、confidence，扩展bbox坐标；建Hypertable并按1小时chunk自动分区。</w:t>
            </w:r>
          </w:p>
        </w:tc>
        <w:tc>
          <w:tcPr>
            <w:tcW w:type="dxa" w:w="3168"/>
            <w:shd w:fill="FFFFFF"/>
            <w:tcMar>
              <w:top w:w="90" w:type="dxa"/>
              <w:start w:w="90" w:type="dxa"/>
              <w:bottom w:w="90" w:type="dxa"/>
              <w:end w:w="90" w:type="dxa"/>
            </w:tcMar>
            <w:vAlign w:val="center"/>
          </w:tcPr>
          <w:p>
            <w:pPr>
              <w:spacing w:after="0" w:line="252" w:lineRule="auto"/>
              <w:jc w:val="left"/>
            </w:pPr>
            <w:r>
              <w:rPr>
                <w:rFonts w:ascii="宋体" w:hAnsi="宋体" w:eastAsia="宋体"/>
                <w:color w:val="000000"/>
                <w:sz w:val="17"/>
              </w:rPr>
              <w:t>以当前事件表为基线，统一字段语义、主键和索引；原课件表仅作为教学schema。</w:t>
            </w:r>
          </w:p>
        </w:tc>
      </w:tr>
      <w:tr>
        <w:tc>
          <w:tcPr>
            <w:tcW w:type="dxa" w:w="1512"/>
            <w:shd w:fill="F2F6FA"/>
            <w:tcMar>
              <w:top w:w="90" w:type="dxa"/>
              <w:start w:w="90" w:type="dxa"/>
              <w:bottom w:w="90" w:type="dxa"/>
              <w:end w:w="90" w:type="dxa"/>
            </w:tcMar>
            <w:vAlign w:val="center"/>
          </w:tcPr>
          <w:p>
            <w:pPr>
              <w:spacing w:after="0" w:line="252" w:lineRule="auto"/>
              <w:jc w:val="center"/>
            </w:pPr>
            <w:r>
              <w:rPr>
                <w:rFonts w:ascii="宋体" w:hAnsi="宋体" w:eastAsia="宋体"/>
                <w:color w:val="000000"/>
                <w:sz w:val="17"/>
              </w:rPr>
              <w:t>SQL查询</w:t>
            </w:r>
          </w:p>
        </w:tc>
        <w:tc>
          <w:tcPr>
            <w:tcW w:type="dxa" w:w="4176"/>
            <w:shd w:fill="F2F6FA"/>
            <w:tcMar>
              <w:top w:w="90" w:type="dxa"/>
              <w:start w:w="90" w:type="dxa"/>
              <w:bottom w:w="90" w:type="dxa"/>
              <w:end w:w="90" w:type="dxa"/>
            </w:tcMar>
            <w:vAlign w:val="center"/>
          </w:tcPr>
          <w:p>
            <w:pPr>
              <w:spacing w:after="0" w:line="252" w:lineRule="auto"/>
              <w:jc w:val="left"/>
            </w:pPr>
            <w:r>
              <w:rPr>
                <w:rFonts w:ascii="宋体" w:hAnsi="宋体" w:eastAsia="宋体"/>
                <w:color w:val="000000"/>
                <w:sz w:val="17"/>
              </w:rPr>
              <w:t>支持时间范围、5分钟time_bucket、车型分布、去重流量，并列出first、last、histogram、gapfill和location等时序能力。</w:t>
            </w:r>
          </w:p>
        </w:tc>
        <w:tc>
          <w:tcPr>
            <w:tcW w:type="dxa" w:w="3168"/>
            <w:shd w:fill="F2F6FA"/>
            <w:tcMar>
              <w:top w:w="90" w:type="dxa"/>
              <w:start w:w="90" w:type="dxa"/>
              <w:bottom w:w="90" w:type="dxa"/>
              <w:end w:w="90" w:type="dxa"/>
            </w:tcMar>
            <w:vAlign w:val="center"/>
          </w:tcPr>
          <w:p>
            <w:pPr>
              <w:spacing w:after="0" w:line="252" w:lineRule="auto"/>
              <w:jc w:val="left"/>
            </w:pPr>
            <w:r>
              <w:rPr>
                <w:rFonts w:ascii="宋体" w:hAnsi="宋体" w:eastAsia="宋体"/>
                <w:color w:val="000000"/>
                <w:sz w:val="17"/>
              </w:rPr>
              <w:t>查询结果需要以当前表结构重写，并记录执行计划和数据规模。</w:t>
            </w:r>
          </w:p>
        </w:tc>
      </w:tr>
      <w:tr>
        <w:tc>
          <w:tcPr>
            <w:tcW w:type="dxa" w:w="1512"/>
            <w:shd w:fill="FFFFFF"/>
            <w:tcMar>
              <w:top w:w="90" w:type="dxa"/>
              <w:start w:w="90" w:type="dxa"/>
              <w:bottom w:w="90" w:type="dxa"/>
              <w:end w:w="90" w:type="dxa"/>
            </w:tcMar>
            <w:vAlign w:val="center"/>
          </w:tcPr>
          <w:p>
            <w:pPr>
              <w:spacing w:after="0" w:line="252" w:lineRule="auto"/>
              <w:jc w:val="center"/>
            </w:pPr>
            <w:r>
              <w:rPr>
                <w:rFonts w:ascii="宋体" w:hAnsi="宋体" w:eastAsia="宋体"/>
                <w:color w:val="000000"/>
                <w:sz w:val="17"/>
              </w:rPr>
              <w:t>生命周期治理</w:t>
            </w:r>
          </w:p>
        </w:tc>
        <w:tc>
          <w:tcPr>
            <w:tcW w:type="dxa" w:w="4176"/>
            <w:shd w:fill="FFFFFF"/>
            <w:tcMar>
              <w:top w:w="90" w:type="dxa"/>
              <w:start w:w="90" w:type="dxa"/>
              <w:bottom w:w="90" w:type="dxa"/>
              <w:end w:w="90" w:type="dxa"/>
            </w:tcMar>
            <w:vAlign w:val="center"/>
          </w:tcPr>
          <w:p>
            <w:pPr>
              <w:spacing w:after="0" w:line="252" w:lineRule="auto"/>
              <w:jc w:val="left"/>
            </w:pPr>
            <w:r>
              <w:rPr>
                <w:rFonts w:ascii="宋体" w:hAnsi="宋体" w:eastAsia="宋体"/>
                <w:color w:val="000000"/>
                <w:sz w:val="17"/>
              </w:rPr>
              <w:t>连续聚合、增量刷新、按camera_id压缩、30天原始数据保留。</w:t>
            </w:r>
          </w:p>
        </w:tc>
        <w:tc>
          <w:tcPr>
            <w:tcW w:type="dxa" w:w="3168"/>
            <w:shd w:fill="FFFFFF"/>
            <w:tcMar>
              <w:top w:w="90" w:type="dxa"/>
              <w:start w:w="90" w:type="dxa"/>
              <w:bottom w:w="90" w:type="dxa"/>
              <w:end w:w="90" w:type="dxa"/>
            </w:tcMar>
            <w:vAlign w:val="center"/>
          </w:tcPr>
          <w:p>
            <w:pPr>
              <w:spacing w:after="0" w:line="252" w:lineRule="auto"/>
              <w:jc w:val="left"/>
            </w:pPr>
            <w:r>
              <w:rPr>
                <w:rFonts w:ascii="宋体" w:hAnsi="宋体" w:eastAsia="宋体"/>
                <w:color w:val="000000"/>
                <w:sz w:val="17"/>
              </w:rPr>
              <w:t>当前主初始化脚本已有连续聚合和保留策略，压缩策略需迁入活动schema。</w:t>
            </w:r>
          </w:p>
        </w:tc>
      </w:tr>
      <w:tr>
        <w:tc>
          <w:tcPr>
            <w:tcW w:type="dxa" w:w="1512"/>
            <w:shd w:fill="F2F6FA"/>
            <w:tcMar>
              <w:top w:w="90" w:type="dxa"/>
              <w:start w:w="90" w:type="dxa"/>
              <w:bottom w:w="90" w:type="dxa"/>
              <w:end w:w="90" w:type="dxa"/>
            </w:tcMar>
            <w:vAlign w:val="center"/>
          </w:tcPr>
          <w:p>
            <w:pPr>
              <w:spacing w:after="0" w:line="252" w:lineRule="auto"/>
              <w:jc w:val="center"/>
            </w:pPr>
            <w:r>
              <w:rPr>
                <w:rFonts w:ascii="宋体" w:hAnsi="宋体" w:eastAsia="宋体"/>
                <w:color w:val="000000"/>
                <w:sz w:val="17"/>
              </w:rPr>
              <w:t>检测结果入库</w:t>
            </w:r>
          </w:p>
        </w:tc>
        <w:tc>
          <w:tcPr>
            <w:tcW w:type="dxa" w:w="4176"/>
            <w:shd w:fill="F2F6FA"/>
            <w:tcMar>
              <w:top w:w="90" w:type="dxa"/>
              <w:start w:w="90" w:type="dxa"/>
              <w:bottom w:w="90" w:type="dxa"/>
              <w:end w:w="90" w:type="dxa"/>
            </w:tcMar>
            <w:vAlign w:val="center"/>
          </w:tcPr>
          <w:p>
            <w:pPr>
              <w:spacing w:after="0" w:line="252" w:lineRule="auto"/>
              <w:jc w:val="left"/>
            </w:pPr>
            <w:r>
              <w:rPr>
                <w:rFonts w:ascii="宋体" w:hAnsi="宋体" w:eastAsia="宋体"/>
                <w:color w:val="000000"/>
                <w:sz w:val="17"/>
              </w:rPr>
              <w:t>YOLOv8到PaddleOCR到字典，再由psycopg2 executemany批量写入TimescaleDB。</w:t>
            </w:r>
          </w:p>
        </w:tc>
        <w:tc>
          <w:tcPr>
            <w:tcW w:type="dxa" w:w="3168"/>
            <w:shd w:fill="F2F6FA"/>
            <w:tcMar>
              <w:top w:w="90" w:type="dxa"/>
              <w:start w:w="90" w:type="dxa"/>
              <w:bottom w:w="90" w:type="dxa"/>
              <w:end w:w="90" w:type="dxa"/>
            </w:tcMar>
            <w:vAlign w:val="center"/>
          </w:tcPr>
          <w:p>
            <w:pPr>
              <w:spacing w:after="0" w:line="252" w:lineRule="auto"/>
              <w:jc w:val="left"/>
            </w:pPr>
            <w:r>
              <w:rPr>
                <w:rFonts w:ascii="宋体" w:hAnsi="宋体" w:eastAsia="宋体"/>
                <w:color w:val="000000"/>
                <w:sz w:val="17"/>
              </w:rPr>
              <w:t>现项目通过Kafka和Python consumer解耦入库，更适合作为主链；批量写入、失败重试和幂等仍需加强。</w:t>
            </w:r>
          </w:p>
        </w:tc>
      </w:tr>
      <w:tr>
        <w:tc>
          <w:tcPr>
            <w:tcW w:type="dxa" w:w="1512"/>
            <w:shd w:fill="FFFFFF"/>
            <w:tcMar>
              <w:top w:w="90" w:type="dxa"/>
              <w:start w:w="90" w:type="dxa"/>
              <w:bottom w:w="90" w:type="dxa"/>
              <w:end w:w="90" w:type="dxa"/>
            </w:tcMar>
            <w:vAlign w:val="center"/>
          </w:tcPr>
          <w:p>
            <w:pPr>
              <w:spacing w:after="0" w:line="252" w:lineRule="auto"/>
              <w:jc w:val="center"/>
            </w:pPr>
            <w:r>
              <w:rPr>
                <w:rFonts w:ascii="宋体" w:hAnsi="宋体" w:eastAsia="宋体"/>
                <w:color w:val="000000"/>
                <w:sz w:val="17"/>
              </w:rPr>
              <w:t>DuckDB离线分析</w:t>
            </w:r>
          </w:p>
        </w:tc>
        <w:tc>
          <w:tcPr>
            <w:tcW w:type="dxa" w:w="4176"/>
            <w:shd w:fill="FFFFFF"/>
            <w:tcMar>
              <w:top w:w="90" w:type="dxa"/>
              <w:start w:w="90" w:type="dxa"/>
              <w:bottom w:w="90" w:type="dxa"/>
              <w:end w:w="90" w:type="dxa"/>
            </w:tcMar>
            <w:vAlign w:val="center"/>
          </w:tcPr>
          <w:p>
            <w:pPr>
              <w:spacing w:after="0" w:line="252" w:lineRule="auto"/>
              <w:jc w:val="left"/>
            </w:pPr>
            <w:r>
              <w:rPr>
                <w:rFonts w:ascii="宋体" w:hAnsi="宋体" w:eastAsia="宋体"/>
                <w:color w:val="000000"/>
                <w:sz w:val="17"/>
              </w:rPr>
              <w:t>直接查询CSV或Pandas DataFrame，完成历史统计并导出CSV或Excel，可扩展Parquet归档。</w:t>
            </w:r>
          </w:p>
        </w:tc>
        <w:tc>
          <w:tcPr>
            <w:tcW w:type="dxa" w:w="3168"/>
            <w:shd w:fill="FFFFFF"/>
            <w:tcMar>
              <w:top w:w="90" w:type="dxa"/>
              <w:start w:w="90" w:type="dxa"/>
              <w:bottom w:w="90" w:type="dxa"/>
              <w:end w:w="90" w:type="dxa"/>
            </w:tcMar>
            <w:vAlign w:val="center"/>
          </w:tcPr>
          <w:p>
            <w:pPr>
              <w:spacing w:after="0" w:line="252" w:lineRule="auto"/>
              <w:jc w:val="left"/>
            </w:pPr>
            <w:r>
              <w:rPr>
                <w:rFonts w:ascii="宋体" w:hAnsi="宋体" w:eastAsia="宋体"/>
                <w:color w:val="000000"/>
                <w:sz w:val="17"/>
              </w:rPr>
              <w:t>已有脚本和产物，但路径、数据库名和表名需与当前项目统一，并纳入可重复任务。</w:t>
            </w:r>
          </w:p>
        </w:tc>
      </w:tr>
      <w:tr>
        <w:tc>
          <w:tcPr>
            <w:tcW w:type="dxa" w:w="1512"/>
            <w:shd w:fill="F2F6FA"/>
            <w:tcMar>
              <w:top w:w="90" w:type="dxa"/>
              <w:start w:w="90" w:type="dxa"/>
              <w:bottom w:w="90" w:type="dxa"/>
              <w:end w:w="90" w:type="dxa"/>
            </w:tcMar>
            <w:vAlign w:val="center"/>
          </w:tcPr>
          <w:p>
            <w:pPr>
              <w:spacing w:after="0" w:line="252" w:lineRule="auto"/>
              <w:jc w:val="center"/>
            </w:pPr>
            <w:r>
              <w:rPr>
                <w:rFonts w:ascii="宋体" w:hAnsi="宋体" w:eastAsia="宋体"/>
                <w:color w:val="000000"/>
                <w:sz w:val="17"/>
              </w:rPr>
              <w:t>提交物与硬验收</w:t>
            </w:r>
          </w:p>
        </w:tc>
        <w:tc>
          <w:tcPr>
            <w:tcW w:type="dxa" w:w="4176"/>
            <w:shd w:fill="F2F6FA"/>
            <w:tcMar>
              <w:top w:w="90" w:type="dxa"/>
              <w:start w:w="90" w:type="dxa"/>
              <w:bottom w:w="90" w:type="dxa"/>
              <w:end w:w="90" w:type="dxa"/>
            </w:tcMar>
            <w:vAlign w:val="center"/>
          </w:tcPr>
          <w:p>
            <w:pPr>
              <w:spacing w:after="0" w:line="252" w:lineRule="auto"/>
              <w:jc w:val="left"/>
            </w:pPr>
            <w:r>
              <w:rPr>
                <w:rFonts w:ascii="宋体" w:hAnsi="宋体" w:eastAsia="宋体"/>
                <w:color w:val="000000"/>
                <w:sz w:val="17"/>
              </w:rPr>
              <w:t>3个SQL脚本、带连接池和重试的写入脚本、存储设计文档、DuckDB脚本；1000条以上写入、成功率100%、time_bucket查询小于50毫秒、统计含去重、文档含ER图。</w:t>
            </w:r>
          </w:p>
        </w:tc>
        <w:tc>
          <w:tcPr>
            <w:tcW w:type="dxa" w:w="3168"/>
            <w:shd w:fill="F2F6FA"/>
            <w:tcMar>
              <w:top w:w="90" w:type="dxa"/>
              <w:start w:w="90" w:type="dxa"/>
              <w:bottom w:w="90" w:type="dxa"/>
              <w:end w:w="90" w:type="dxa"/>
            </w:tcMar>
            <w:vAlign w:val="center"/>
          </w:tcPr>
          <w:p>
            <w:pPr>
              <w:spacing w:after="0" w:line="252" w:lineRule="auto"/>
              <w:jc w:val="left"/>
            </w:pPr>
            <w:r>
              <w:rPr>
                <w:rFonts w:ascii="宋体" w:hAnsi="宋体" w:eastAsia="宋体"/>
                <w:color w:val="000000"/>
                <w:sz w:val="17"/>
              </w:rPr>
              <w:t>当前缺少同一环境下的完整基准报告。小于50毫秒须绑定数据量、索引、并发、硬件和冷热缓存条件后再验收。</w:t>
            </w:r>
          </w:p>
        </w:tc>
      </w:tr>
    </w:tbl>
    <w:p>
      <w:pPr>
        <w:spacing w:after="120"/>
      </w:pPr>
    </w:p>
    <w:p>
      <w:pPr>
        <w:pStyle w:val="4"/>
        <w:keepNext/>
        <w:pageBreakBefore w:val="0"/>
      </w:pPr>
      <w:r>
        <w:rPr>
          <w:rFonts w:ascii="黑体" w:hAnsi="黑体" w:eastAsia="黑体"/>
          <w:color w:val="000000"/>
          <w:sz w:val="21"/>
        </w:rPr>
        <w:t>补充截图中的平台目标</w:t>
      </w:r>
    </w:p>
    <w:p>
      <w:pPr>
        <w:keepNext w:val="0"/>
        <w:spacing w:after="120" w:line="300" w:lineRule="auto"/>
      </w:pPr>
      <w:r>
        <w:rPr>
          <w:rFonts w:ascii="宋体" w:hAnsi="宋体" w:eastAsia="宋体"/>
          <w:color w:val="000000"/>
          <w:sz w:val="21"/>
        </w:rPr>
        <w:t>第一张截图要求提供docker-compose.yml，并以docker-compose up -d在5分钟内获得PostgreSQL、TimescaleDB、Milvus Lite和Flink单机版环境。Flink采用Standalone单机伪分布式，支持Checkpoint与窗口计算，不依赖K8s或Yarn；开发栈限定为Python和SQL，实时计算使用Flink SQL。Milvus Lite在另一张图中又被定义为嵌入式且无需独立集群，因此实施时应把它放在Python Agent进程内并挂载持久化目录，而不是创建独立Milvus服务。</w:t>
      </w:r>
    </w:p>
    <w:p>
      <w:pPr>
        <w:keepNext/>
        <w:pageBreakBefore w:val="0"/>
        <w:spacing w:after="40"/>
        <w:jc w:val="center"/>
      </w:pPr>
      <w:r>
        <w:drawing>
          <wp:inline xmlns:a="http://schemas.openxmlformats.org/drawingml/2006/main" xmlns:pic="http://schemas.openxmlformats.org/drawingml/2006/picture">
            <wp:extent cx="5623560" cy="2539672"/>
            <wp:docPr id="12" name="Picture 12"/>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23560" cy="2539672"/>
                    </a:xfrm>
                    <a:prstGeom prst="rect"/>
                  </pic:spPr>
                </pic:pic>
              </a:graphicData>
            </a:graphic>
          </wp:inline>
        </w:drawing>
      </w:r>
    </w:p>
    <w:p>
      <w:pPr>
        <w:keepNext w:val="0"/>
        <w:spacing w:before="60" w:after="160"/>
        <w:jc w:val="center"/>
      </w:pPr>
      <w:r>
        <w:rPr>
          <w:rFonts w:ascii="宋体" w:hAnsi="宋体" w:eastAsia="宋体"/>
          <w:color w:val="000000"/>
          <w:sz w:val="18"/>
        </w:rPr>
        <w:t>图 11-1 环境部署方式与Flink技术约束（用户提供截图）</w:t>
      </w:r>
    </w:p>
    <w:p>
      <w:pPr>
        <w:keepNext w:val="0"/>
        <w:spacing w:after="120" w:line="300" w:lineRule="auto"/>
      </w:pPr>
      <w:r>
        <w:rPr>
          <w:rFonts w:ascii="宋体" w:hAnsi="宋体" w:eastAsia="宋体"/>
          <w:color w:val="000000"/>
          <w:sz w:val="21"/>
        </w:rPr>
        <w:t>第二张截图跨越两个页面，上半部的“数据采”和下半部的“集与接入”属于同一行，即“数据采集与接入”。完整目标包括视频流、GPS轨迹和卡口数据多源接入，TimescaleDB时序存储，Flink SQL车速统计、拥堵检测、分级预警和CEP，Pandas加DuckDB离线特征工程，未来1至4小时LSTM或Transformer预测，LangChain加Milvus Lite法规RAG，CrewAI加Qwen-VL事故图文研判，以及Streamlit或ECharts WebGIS可视化。核心Traffic Cop Agent需完成“理解、检索、预测、决策”闭环，并通过只读SQL查询器、预测模型和法规检索器生成带依据的结构化疏导方案。</w:t>
      </w:r>
    </w:p>
    <w:p>
      <w:pPr>
        <w:keepNext/>
        <w:pageBreakBefore/>
        <w:spacing w:after="40"/>
        <w:jc w:val="center"/>
      </w:pPr>
      <w:r>
        <w:drawing>
          <wp:inline xmlns:a="http://schemas.openxmlformats.org/drawingml/2006/main" xmlns:pic="http://schemas.openxmlformats.org/drawingml/2006/picture">
            <wp:extent cx="3886200" cy="7821018"/>
            <wp:docPr id="13" name="Picture 13"/>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3886200" cy="7821018"/>
                    </a:xfrm>
                    <a:prstGeom prst="rect"/>
                  </pic:spPr>
                </pic:pic>
              </a:graphicData>
            </a:graphic>
          </wp:inline>
        </w:drawing>
      </w:r>
    </w:p>
    <w:p>
      <w:pPr>
        <w:keepNext w:val="0"/>
        <w:spacing w:before="60" w:after="160"/>
        <w:jc w:val="center"/>
      </w:pPr>
      <w:r>
        <w:rPr>
          <w:rFonts w:ascii="宋体" w:hAnsi="宋体" w:eastAsia="宋体"/>
          <w:color w:val="000000"/>
          <w:sz w:val="18"/>
        </w:rPr>
        <w:t>图 11-2 功能模块、Traffic Cop Agent与知识库目标（用户提供跨页截图）</w:t>
      </w:r>
    </w:p>
    <w:p>
      <w:pPr>
        <w:pStyle w:val="4"/>
        <w:keepNext/>
        <w:pageBreakBefore/>
      </w:pPr>
      <w:r>
        <w:rPr>
          <w:rFonts w:ascii="黑体" w:hAnsi="黑体" w:eastAsia="黑体"/>
          <w:color w:val="000000"/>
          <w:sz w:val="21"/>
        </w:rPr>
        <w:t>当前项目满足度</w:t>
      </w:r>
    </w:p>
    <w:p>
      <w:pPr>
        <w:keepNext w:val="0"/>
        <w:spacing w:after="120" w:line="300" w:lineRule="auto"/>
      </w:pPr>
      <w:r>
        <w:rPr>
          <w:rFonts w:ascii="宋体" w:hAnsi="宋体" w:eastAsia="宋体"/>
          <w:color w:val="000000"/>
          <w:sz w:val="21"/>
        </w:rPr>
        <w:t>截至2026年9月16日，项目已经形成单机可运行原型，但尚未达到截图描述的完整平台。现有主链为OpenCV与YOLO/PaddleOCR感知、Kafka事件流、Python consumer、TimescaleDB、FastAPI/ONNX和Streamlit WebGIS。下面的结论以仓库代码、配置、测试和当前部署条件为准。</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076"/>
        <w:gridCol w:w="2076"/>
        <w:gridCol w:w="2076"/>
        <w:gridCol w:w="2076"/>
      </w:tblGrid>
      <w:tr>
        <w:trPr>
          <w:tblHeader w:val="true"/>
          <w:cantSplit/>
          <w:tblHeader w:val="true"/>
        </w:trPr>
        <w:tc>
          <w:tcPr>
            <w:tcW w:type="dxa" w:w="1701"/>
            <w:shd w:fill="365F91"/>
            <w:tcMar>
              <w:top w:w="100" w:type="dxa"/>
              <w:start w:w="100" w:type="dxa"/>
              <w:bottom w:w="100" w:type="dxa"/>
              <w:end w:w="100" w:type="dxa"/>
            </w:tcMar>
            <w:vAlign w:val="center"/>
          </w:tcPr>
          <w:p>
            <w:pPr>
              <w:spacing w:after="30" w:line="276" w:lineRule="auto" w:before="30"/>
              <w:jc w:val="center"/>
            </w:pPr>
            <w:r>
              <w:rPr>
                <w:rFonts w:ascii="Times New Roman" w:hAnsi="Times New Roman" w:eastAsia="宋体"/>
                <w:b/>
                <w:color w:val="FFFFFF"/>
                <w:sz w:val="18"/>
              </w:rPr>
              <w:t>模块</w:t>
            </w:r>
          </w:p>
        </w:tc>
        <w:tc>
          <w:tcPr>
            <w:tcW w:type="dxa" w:w="2494"/>
            <w:shd w:fill="365F91"/>
            <w:tcMar>
              <w:top w:w="100" w:type="dxa"/>
              <w:start w:w="100" w:type="dxa"/>
              <w:bottom w:w="100" w:type="dxa"/>
              <w:end w:w="100" w:type="dxa"/>
            </w:tcMar>
            <w:vAlign w:val="center"/>
          </w:tcPr>
          <w:p>
            <w:pPr>
              <w:spacing w:after="30" w:line="276" w:lineRule="auto" w:before="30"/>
              <w:jc w:val="left"/>
            </w:pPr>
            <w:r>
              <w:rPr>
                <w:rFonts w:ascii="Times New Roman" w:hAnsi="Times New Roman" w:eastAsia="宋体"/>
                <w:b/>
                <w:color w:val="FFFFFF"/>
                <w:sz w:val="18"/>
              </w:rPr>
              <w:t>材料要求</w:t>
            </w:r>
          </w:p>
        </w:tc>
        <w:tc>
          <w:tcPr>
            <w:tcW w:type="dxa" w:w="3628"/>
            <w:shd w:fill="365F91"/>
            <w:tcMar>
              <w:top w:w="100" w:type="dxa"/>
              <w:start w:w="100" w:type="dxa"/>
              <w:bottom w:w="100" w:type="dxa"/>
              <w:end w:w="100" w:type="dxa"/>
            </w:tcMar>
            <w:vAlign w:val="center"/>
          </w:tcPr>
          <w:p>
            <w:pPr>
              <w:spacing w:after="30" w:line="276" w:lineRule="auto" w:before="30"/>
              <w:jc w:val="left"/>
            </w:pPr>
            <w:r>
              <w:rPr>
                <w:rFonts w:ascii="Times New Roman" w:hAnsi="Times New Roman" w:eastAsia="宋体"/>
                <w:b/>
                <w:color w:val="FFFFFF"/>
                <w:sz w:val="18"/>
              </w:rPr>
              <w:t>当前事实</w:t>
            </w:r>
          </w:p>
        </w:tc>
        <w:tc>
          <w:tcPr>
            <w:tcW w:type="dxa" w:w="1701"/>
            <w:shd w:fill="365F91"/>
            <w:tcMar>
              <w:top w:w="100" w:type="dxa"/>
              <w:start w:w="100" w:type="dxa"/>
              <w:bottom w:w="100" w:type="dxa"/>
              <w:end w:w="100" w:type="dxa"/>
            </w:tcMar>
            <w:vAlign w:val="center"/>
          </w:tcPr>
          <w:p>
            <w:pPr>
              <w:spacing w:after="30" w:line="276" w:lineRule="auto" w:before="30"/>
              <w:jc w:val="center"/>
            </w:pPr>
            <w:r>
              <w:rPr>
                <w:rFonts w:ascii="Times New Roman" w:hAnsi="Times New Roman" w:eastAsia="宋体"/>
                <w:b/>
                <w:color w:val="FFFFFF"/>
                <w:sz w:val="18"/>
              </w:rPr>
              <w:t>结论与缺口</w:t>
            </w:r>
          </w:p>
        </w:tc>
      </w:tr>
      <w:tr>
        <w:trPr>
          <w:cantSplit/>
        </w:trPr>
        <w:tc>
          <w:tcPr>
            <w:tcW w:type="dxa" w:w="1701"/>
            <w:shd w:fill="FFFFFF"/>
            <w:tcMar>
              <w:top w:w="100" w:type="dxa"/>
              <w:start w:w="100" w:type="dxa"/>
              <w:bottom w:w="100" w:type="dxa"/>
              <w:end w:w="100" w:type="dxa"/>
            </w:tcMar>
            <w:vAlign w:val="center"/>
          </w:tcPr>
          <w:p>
            <w:pPr>
              <w:spacing w:after="30" w:line="276" w:lineRule="auto" w:before="30"/>
              <w:jc w:val="center"/>
            </w:pPr>
            <w:r>
              <w:rPr>
                <w:rFonts w:ascii="Times New Roman" w:hAnsi="Times New Roman" w:eastAsia="宋体"/>
                <w:b w:val="0"/>
                <w:color w:val="000000"/>
                <w:sz w:val="18"/>
              </w:rPr>
              <w:t>数据采集与多源接入</w:t>
            </w:r>
          </w:p>
        </w:tc>
        <w:tc>
          <w:tcPr>
            <w:tcW w:type="dxa" w:w="2494"/>
            <w:shd w:fill="FFFFFF"/>
            <w:tcMar>
              <w:top w:w="100" w:type="dxa"/>
              <w:start w:w="100" w:type="dxa"/>
              <w:bottom w:w="100" w:type="dxa"/>
              <w:end w:w="100" w:type="dxa"/>
            </w:tcMar>
            <w:vAlign w:val="center"/>
          </w:tcPr>
          <w:p>
            <w:pPr>
              <w:spacing w:after="30" w:line="276" w:lineRule="auto" w:before="30"/>
              <w:jc w:val="left"/>
            </w:pPr>
            <w:r>
              <w:rPr>
                <w:rFonts w:ascii="Times New Roman" w:hAnsi="Times New Roman" w:eastAsia="宋体"/>
                <w:b w:val="0"/>
                <w:color w:val="000000"/>
                <w:sz w:val="18"/>
              </w:rPr>
              <w:t>视频、GPS轨迹、卡口多源，经Kafka接入</w:t>
            </w:r>
          </w:p>
        </w:tc>
        <w:tc>
          <w:tcPr>
            <w:tcW w:type="dxa" w:w="3628"/>
            <w:shd w:fill="FFFFFF"/>
            <w:tcMar>
              <w:top w:w="100" w:type="dxa"/>
              <w:start w:w="100" w:type="dxa"/>
              <w:bottom w:w="100" w:type="dxa"/>
              <w:end w:w="100" w:type="dxa"/>
            </w:tcMar>
            <w:vAlign w:val="center"/>
          </w:tcPr>
          <w:p>
            <w:pPr>
              <w:spacing w:after="30" w:line="276" w:lineRule="auto" w:before="30"/>
              <w:jc w:val="left"/>
            </w:pPr>
            <w:r>
              <w:rPr>
                <w:rFonts w:ascii="Times New Roman" w:hAnsi="Times New Roman" w:eastAsia="宋体"/>
                <w:b w:val="0"/>
                <w:color w:val="000000"/>
                <w:sz w:val="18"/>
              </w:rPr>
              <w:t>单路VideoCapture、YOLO跟踪和两类Kafka事件可用；配置一次只运行一个源。经纬度是卡口静态值，速度为空，每个track只发布首次观测。</w:t>
            </w:r>
          </w:p>
        </w:tc>
        <w:tc>
          <w:tcPr>
            <w:tcW w:type="dxa" w:w="1701"/>
            <w:shd w:fill="FFFFFF"/>
            <w:tcMar>
              <w:top w:w="100" w:type="dxa"/>
              <w:start w:w="100" w:type="dxa"/>
              <w:bottom w:w="100" w:type="dxa"/>
              <w:end w:w="100" w:type="dxa"/>
            </w:tcMar>
            <w:vAlign w:val="center"/>
          </w:tcPr>
          <w:p>
            <w:pPr>
              <w:spacing w:after="30" w:line="276" w:lineRule="auto" w:before="30"/>
              <w:jc w:val="center"/>
            </w:pPr>
            <w:r>
              <w:rPr>
                <w:rFonts w:ascii="Times New Roman" w:hAnsi="Times New Roman" w:eastAsia="宋体"/>
                <w:b w:val="0"/>
                <w:color w:val="000000"/>
                <w:sz w:val="18"/>
              </w:rPr>
              <w:t>部分满足。需SourceAdapter、多路并发、断流重连、真实GPS/卡口协议和连续轨迹事件。</w:t>
            </w:r>
          </w:p>
        </w:tc>
      </w:tr>
      <w:tr>
        <w:trPr>
          <w:cantSplit/>
        </w:trPr>
        <w:tc>
          <w:tcPr>
            <w:tcW w:type="dxa" w:w="1701"/>
            <w:shd w:fill="EAF2F8"/>
            <w:tcMar>
              <w:top w:w="100" w:type="dxa"/>
              <w:start w:w="100" w:type="dxa"/>
              <w:bottom w:w="100" w:type="dxa"/>
              <w:end w:w="100" w:type="dxa"/>
            </w:tcMar>
            <w:vAlign w:val="center"/>
          </w:tcPr>
          <w:p>
            <w:pPr>
              <w:spacing w:after="30" w:line="276" w:lineRule="auto" w:before="30"/>
              <w:jc w:val="center"/>
            </w:pPr>
            <w:r>
              <w:rPr>
                <w:rFonts w:ascii="Times New Roman" w:hAnsi="Times New Roman" w:eastAsia="宋体"/>
                <w:b w:val="0"/>
                <w:color w:val="000000"/>
                <w:sz w:val="18"/>
              </w:rPr>
              <w:t>TimescaleDB存储</w:t>
            </w:r>
          </w:p>
        </w:tc>
        <w:tc>
          <w:tcPr>
            <w:tcW w:type="dxa" w:w="2494"/>
            <w:shd w:fill="EAF2F8"/>
            <w:tcMar>
              <w:top w:w="100" w:type="dxa"/>
              <w:start w:w="100" w:type="dxa"/>
              <w:bottom w:w="100" w:type="dxa"/>
              <w:end w:w="100" w:type="dxa"/>
            </w:tcMar>
            <w:vAlign w:val="center"/>
          </w:tcPr>
          <w:p>
            <w:pPr>
              <w:spacing w:after="30" w:line="276" w:lineRule="auto" w:before="30"/>
              <w:jc w:val="left"/>
            </w:pPr>
            <w:r>
              <w:rPr>
                <w:rFonts w:ascii="Times New Roman" w:hAnsi="Times New Roman" w:eastAsia="宋体"/>
                <w:b w:val="0"/>
                <w:color w:val="000000"/>
                <w:sz w:val="18"/>
              </w:rPr>
              <w:t>轨迹查询、特征管理、SQL分区和自动聚合</w:t>
            </w:r>
          </w:p>
        </w:tc>
        <w:tc>
          <w:tcPr>
            <w:tcW w:type="dxa" w:w="3628"/>
            <w:shd w:fill="EAF2F8"/>
            <w:tcMar>
              <w:top w:w="100" w:type="dxa"/>
              <w:start w:w="100" w:type="dxa"/>
              <w:bottom w:w="100" w:type="dxa"/>
              <w:end w:w="100" w:type="dxa"/>
            </w:tcMar>
            <w:vAlign w:val="center"/>
          </w:tcPr>
          <w:p>
            <w:pPr>
              <w:spacing w:after="30" w:line="276" w:lineRule="auto" w:before="30"/>
              <w:jc w:val="left"/>
            </w:pPr>
            <w:r>
              <w:rPr>
                <w:rFonts w:ascii="Times New Roman" w:hAnsi="Times New Roman" w:eastAsia="宋体"/>
                <w:b w:val="0"/>
                <w:color w:val="000000"/>
                <w:sz w:val="18"/>
              </w:rPr>
              <w:t>Compose固定TimescaleDB PG16，已有两张Hypertable、索引、1分钟连续聚合、刷新与保留策略。</w:t>
            </w:r>
          </w:p>
        </w:tc>
        <w:tc>
          <w:tcPr>
            <w:tcW w:type="dxa" w:w="1701"/>
            <w:shd w:fill="EAF2F8"/>
            <w:tcMar>
              <w:top w:w="100" w:type="dxa"/>
              <w:start w:w="100" w:type="dxa"/>
              <w:bottom w:w="100" w:type="dxa"/>
              <w:end w:w="100" w:type="dxa"/>
            </w:tcMar>
            <w:vAlign w:val="center"/>
          </w:tcPr>
          <w:p>
            <w:pPr>
              <w:spacing w:after="30" w:line="276" w:lineRule="auto" w:before="30"/>
              <w:jc w:val="center"/>
            </w:pPr>
            <w:r>
              <w:rPr>
                <w:rFonts w:ascii="Times New Roman" w:hAnsi="Times New Roman" w:eastAsia="宋体"/>
                <w:b w:val="0"/>
                <w:color w:val="000000"/>
                <w:sz w:val="18"/>
              </w:rPr>
              <w:t>大体满足原型。活动初始化脚本缺压缩，尚无独立特征表；traffic_gps名称与数据语义不符。</w:t>
            </w:r>
          </w:p>
        </w:tc>
      </w:tr>
      <w:tr>
        <w:trPr>
          <w:cantSplit/>
        </w:trPr>
        <w:tc>
          <w:tcPr>
            <w:tcW w:type="dxa" w:w="1701"/>
            <w:shd w:fill="FFFFFF"/>
            <w:tcMar>
              <w:top w:w="100" w:type="dxa"/>
              <w:start w:w="100" w:type="dxa"/>
              <w:bottom w:w="100" w:type="dxa"/>
              <w:end w:w="100" w:type="dxa"/>
            </w:tcMar>
            <w:vAlign w:val="center"/>
          </w:tcPr>
          <w:p>
            <w:pPr>
              <w:spacing w:after="30" w:line="276" w:lineRule="auto" w:before="30"/>
              <w:jc w:val="center"/>
            </w:pPr>
            <w:r>
              <w:rPr>
                <w:rFonts w:ascii="Times New Roman" w:hAnsi="Times New Roman" w:eastAsia="宋体"/>
                <w:b w:val="0"/>
                <w:color w:val="000000"/>
                <w:sz w:val="18"/>
              </w:rPr>
              <w:t>实时计算与预警</w:t>
            </w:r>
          </w:p>
        </w:tc>
        <w:tc>
          <w:tcPr>
            <w:tcW w:type="dxa" w:w="2494"/>
            <w:shd w:fill="FFFFFF"/>
            <w:tcMar>
              <w:top w:w="100" w:type="dxa"/>
              <w:start w:w="100" w:type="dxa"/>
              <w:bottom w:w="100" w:type="dxa"/>
              <w:end w:w="100" w:type="dxa"/>
            </w:tcMar>
            <w:vAlign w:val="center"/>
          </w:tcPr>
          <w:p>
            <w:pPr>
              <w:spacing w:after="30" w:line="276" w:lineRule="auto" w:before="30"/>
              <w:jc w:val="left"/>
            </w:pPr>
            <w:r>
              <w:rPr>
                <w:rFonts w:ascii="Times New Roman" w:hAnsi="Times New Roman" w:eastAsia="宋体"/>
                <w:b w:val="0"/>
                <w:color w:val="000000"/>
                <w:sz w:val="18"/>
              </w:rPr>
              <w:t>Flink Standalone、Flink SQL、Checkpoint、窗口和CEP</w:t>
            </w:r>
          </w:p>
        </w:tc>
        <w:tc>
          <w:tcPr>
            <w:tcW w:type="dxa" w:w="3628"/>
            <w:shd w:fill="FFFFFF"/>
            <w:tcMar>
              <w:top w:w="100" w:type="dxa"/>
              <w:start w:w="100" w:type="dxa"/>
              <w:bottom w:w="100" w:type="dxa"/>
              <w:end w:w="100" w:type="dxa"/>
            </w:tcMar>
            <w:vAlign w:val="center"/>
          </w:tcPr>
          <w:p>
            <w:pPr>
              <w:spacing w:after="30" w:line="276" w:lineRule="auto" w:before="30"/>
              <w:jc w:val="left"/>
            </w:pPr>
            <w:r>
              <w:rPr>
                <w:rFonts w:ascii="Times New Roman" w:hAnsi="Times New Roman" w:eastAsia="宋体"/>
                <w:b w:val="0"/>
                <w:color w:val="000000"/>
                <w:sz w:val="18"/>
              </w:rPr>
              <w:t>当前由Python consumer写明细、Timescale连续聚合做1分钟统计；主Compose和依赖中没有Flink。</w:t>
            </w:r>
          </w:p>
        </w:tc>
        <w:tc>
          <w:tcPr>
            <w:tcW w:type="dxa" w:w="1701"/>
            <w:shd w:fill="FFFFFF"/>
            <w:tcMar>
              <w:top w:w="100" w:type="dxa"/>
              <w:start w:w="100" w:type="dxa"/>
              <w:bottom w:w="100" w:type="dxa"/>
              <w:end w:w="100" w:type="dxa"/>
            </w:tcMar>
            <w:vAlign w:val="center"/>
          </w:tcPr>
          <w:p>
            <w:pPr>
              <w:spacing w:after="30" w:line="276" w:lineRule="auto" w:before="30"/>
              <w:jc w:val="center"/>
            </w:pPr>
            <w:r>
              <w:rPr>
                <w:rFonts w:ascii="Times New Roman" w:hAnsi="Times New Roman" w:eastAsia="宋体"/>
                <w:b w:val="0"/>
                <w:color w:val="000000"/>
                <w:sz w:val="18"/>
              </w:rPr>
              <w:t>不满足。没有可靠车速、拥堵状态机、分级告警和Checkpoint恢复。</w:t>
            </w:r>
          </w:p>
        </w:tc>
      </w:tr>
      <w:tr>
        <w:trPr>
          <w:cantSplit/>
        </w:trPr>
        <w:tc>
          <w:tcPr>
            <w:tcW w:type="dxa" w:w="1701"/>
            <w:shd w:fill="EAF2F8"/>
            <w:tcMar>
              <w:top w:w="100" w:type="dxa"/>
              <w:start w:w="100" w:type="dxa"/>
              <w:bottom w:w="100" w:type="dxa"/>
              <w:end w:w="100" w:type="dxa"/>
            </w:tcMar>
            <w:vAlign w:val="center"/>
          </w:tcPr>
          <w:p>
            <w:pPr>
              <w:spacing w:after="30" w:line="276" w:lineRule="auto" w:before="30"/>
              <w:jc w:val="center"/>
            </w:pPr>
            <w:r>
              <w:rPr>
                <w:rFonts w:ascii="Times New Roman" w:hAnsi="Times New Roman" w:eastAsia="宋体"/>
                <w:b w:val="0"/>
                <w:color w:val="000000"/>
                <w:sz w:val="18"/>
              </w:rPr>
              <w:t>DuckDB离线工程</w:t>
            </w:r>
          </w:p>
        </w:tc>
        <w:tc>
          <w:tcPr>
            <w:tcW w:type="dxa" w:w="2494"/>
            <w:shd w:fill="EAF2F8"/>
            <w:tcMar>
              <w:top w:w="100" w:type="dxa"/>
              <w:start w:w="100" w:type="dxa"/>
              <w:bottom w:w="100" w:type="dxa"/>
              <w:end w:w="100" w:type="dxa"/>
            </w:tcMar>
            <w:vAlign w:val="center"/>
          </w:tcPr>
          <w:p>
            <w:pPr>
              <w:spacing w:after="30" w:line="276" w:lineRule="auto" w:before="30"/>
              <w:jc w:val="left"/>
            </w:pPr>
            <w:r>
              <w:rPr>
                <w:rFonts w:ascii="Times New Roman" w:hAnsi="Times New Roman" w:eastAsia="宋体"/>
                <w:b w:val="0"/>
                <w:color w:val="000000"/>
                <w:sz w:val="18"/>
              </w:rPr>
              <w:t>历史流量、OD矩阵、时序特征，单机分析</w:t>
            </w:r>
          </w:p>
        </w:tc>
        <w:tc>
          <w:tcPr>
            <w:tcW w:type="dxa" w:w="3628"/>
            <w:shd w:fill="EAF2F8"/>
            <w:tcMar>
              <w:top w:w="100" w:type="dxa"/>
              <w:start w:w="100" w:type="dxa"/>
              <w:bottom w:w="100" w:type="dxa"/>
              <w:end w:w="100" w:type="dxa"/>
            </w:tcMar>
            <w:vAlign w:val="center"/>
          </w:tcPr>
          <w:p>
            <w:pPr>
              <w:spacing w:after="30" w:line="276" w:lineRule="auto" w:before="30"/>
              <w:jc w:val="left"/>
            </w:pPr>
            <w:r>
              <w:rPr>
                <w:rFonts w:ascii="Times New Roman" w:hAnsi="Times New Roman" w:eastAsia="宋体"/>
                <w:b w:val="0"/>
                <w:color w:val="000000"/>
                <w:sz w:val="18"/>
              </w:rPr>
              <w:t>已有DuckDB、Pandas、CSV SQL、Parquet归档和描述统计。部分脚本硬编码Windows路径，旧表名和数据库名与现状不一致。</w:t>
            </w:r>
          </w:p>
        </w:tc>
        <w:tc>
          <w:tcPr>
            <w:tcW w:type="dxa" w:w="1701"/>
            <w:shd w:fill="EAF2F8"/>
            <w:tcMar>
              <w:top w:w="100" w:type="dxa"/>
              <w:start w:w="100" w:type="dxa"/>
              <w:bottom w:w="100" w:type="dxa"/>
              <w:end w:w="100" w:type="dxa"/>
            </w:tcMar>
            <w:vAlign w:val="center"/>
          </w:tcPr>
          <w:p>
            <w:pPr>
              <w:spacing w:after="30" w:line="276" w:lineRule="auto" w:before="30"/>
              <w:jc w:val="center"/>
            </w:pPr>
            <w:r>
              <w:rPr>
                <w:rFonts w:ascii="Times New Roman" w:hAnsi="Times New Roman" w:eastAsia="宋体"/>
                <w:b w:val="0"/>
                <w:color w:val="000000"/>
                <w:sz w:val="18"/>
              </w:rPr>
              <w:t>部分满足。需统一schema、环境变量和可调度任务；OD矩阵仍缺真实轨迹。</w:t>
            </w:r>
          </w:p>
        </w:tc>
      </w:tr>
      <w:tr>
        <w:trPr>
          <w:cantSplit/>
        </w:trPr>
        <w:tc>
          <w:tcPr>
            <w:tcW w:type="dxa" w:w="1701"/>
            <w:shd w:fill="FFFFFF"/>
            <w:tcMar>
              <w:top w:w="100" w:type="dxa"/>
              <w:start w:w="100" w:type="dxa"/>
              <w:bottom w:w="100" w:type="dxa"/>
              <w:end w:w="100" w:type="dxa"/>
            </w:tcMar>
            <w:vAlign w:val="center"/>
          </w:tcPr>
          <w:p>
            <w:pPr>
              <w:spacing w:after="30" w:line="276" w:lineRule="auto" w:before="30"/>
              <w:jc w:val="center"/>
            </w:pPr>
            <w:r>
              <w:rPr>
                <w:rFonts w:ascii="Times New Roman" w:hAnsi="Times New Roman" w:eastAsia="宋体"/>
                <w:b w:val="0"/>
                <w:color w:val="000000"/>
                <w:sz w:val="18"/>
              </w:rPr>
              <w:t>AI智能预测</w:t>
            </w:r>
          </w:p>
        </w:tc>
        <w:tc>
          <w:tcPr>
            <w:tcW w:type="dxa" w:w="2494"/>
            <w:shd w:fill="FFFFFF"/>
            <w:tcMar>
              <w:top w:w="100" w:type="dxa"/>
              <w:start w:w="100" w:type="dxa"/>
              <w:bottom w:w="100" w:type="dxa"/>
              <w:end w:w="100" w:type="dxa"/>
            </w:tcMar>
            <w:vAlign w:val="center"/>
          </w:tcPr>
          <w:p>
            <w:pPr>
              <w:spacing w:after="30" w:line="276" w:lineRule="auto" w:before="30"/>
              <w:jc w:val="left"/>
            </w:pPr>
            <w:r>
              <w:rPr>
                <w:rFonts w:ascii="Times New Roman" w:hAnsi="Times New Roman" w:eastAsia="宋体"/>
                <w:b w:val="0"/>
                <w:color w:val="000000"/>
                <w:sz w:val="18"/>
              </w:rPr>
              <w:t>未来1至4小时流量和拥堵传播，ONNX部署</w:t>
            </w:r>
          </w:p>
        </w:tc>
        <w:tc>
          <w:tcPr>
            <w:tcW w:type="dxa" w:w="3628"/>
            <w:shd w:fill="FFFFFF"/>
            <w:tcMar>
              <w:top w:w="100" w:type="dxa"/>
              <w:start w:w="100" w:type="dxa"/>
              <w:bottom w:w="100" w:type="dxa"/>
              <w:end w:w="100" w:type="dxa"/>
            </w:tcMar>
            <w:vAlign w:val="center"/>
          </w:tcPr>
          <w:p>
            <w:pPr>
              <w:spacing w:after="30" w:line="276" w:lineRule="auto" w:before="30"/>
              <w:jc w:val="left"/>
            </w:pPr>
            <w:r>
              <w:rPr>
                <w:rFonts w:ascii="Times New Roman" w:hAnsi="Times New Roman" w:eastAsia="宋体"/>
                <w:b w:val="0"/>
                <w:color w:val="000000"/>
                <w:sz w:val="18"/>
              </w:rPr>
              <w:t>PyTorch训练、独立评估、ONNX Runtime和FastAPI链较完整。默认中国候选模型只预测下一个20分钟桶，大屏递归4步约80分钟。</w:t>
            </w:r>
          </w:p>
        </w:tc>
        <w:tc>
          <w:tcPr>
            <w:tcW w:type="dxa" w:w="1701"/>
            <w:shd w:fill="FFFFFF"/>
            <w:tcMar>
              <w:top w:w="100" w:type="dxa"/>
              <w:start w:w="100" w:type="dxa"/>
              <w:bottom w:w="100" w:type="dxa"/>
              <w:end w:w="100" w:type="dxa"/>
            </w:tcMar>
            <w:vAlign w:val="center"/>
          </w:tcPr>
          <w:p>
            <w:pPr>
              <w:spacing w:after="30" w:line="276" w:lineRule="auto" w:before="30"/>
              <w:jc w:val="center"/>
            </w:pPr>
            <w:r>
              <w:rPr>
                <w:rFonts w:ascii="Times New Roman" w:hAnsi="Times New Roman" w:eastAsia="宋体"/>
                <w:b w:val="0"/>
                <w:color w:val="000000"/>
                <w:sz w:val="18"/>
              </w:rPr>
              <w:t>部分满足。模型是研究候选，缺授权现场数据、验证过的12步或16步预测和空间传播特征。</w:t>
            </w:r>
          </w:p>
        </w:tc>
      </w:tr>
      <w:tr>
        <w:trPr>
          <w:cantSplit/>
        </w:trPr>
        <w:tc>
          <w:tcPr>
            <w:tcW w:type="dxa" w:w="1701"/>
            <w:shd w:fill="EAF2F8"/>
            <w:tcMar>
              <w:top w:w="100" w:type="dxa"/>
              <w:start w:w="100" w:type="dxa"/>
              <w:bottom w:w="100" w:type="dxa"/>
              <w:end w:w="100" w:type="dxa"/>
            </w:tcMar>
            <w:vAlign w:val="center"/>
          </w:tcPr>
          <w:p>
            <w:pPr>
              <w:spacing w:after="30" w:line="276" w:lineRule="auto" w:before="30"/>
              <w:jc w:val="center"/>
            </w:pPr>
            <w:r>
              <w:rPr>
                <w:rFonts w:ascii="Times New Roman" w:hAnsi="Times New Roman" w:eastAsia="宋体"/>
                <w:b w:val="0"/>
                <w:color w:val="000000"/>
                <w:sz w:val="18"/>
              </w:rPr>
              <w:t>Traffic Cop Agent</w:t>
            </w:r>
          </w:p>
        </w:tc>
        <w:tc>
          <w:tcPr>
            <w:tcW w:type="dxa" w:w="2494"/>
            <w:shd w:fill="EAF2F8"/>
            <w:tcMar>
              <w:top w:w="100" w:type="dxa"/>
              <w:start w:w="100" w:type="dxa"/>
              <w:bottom w:w="100" w:type="dxa"/>
              <w:end w:w="100" w:type="dxa"/>
            </w:tcMar>
            <w:vAlign w:val="center"/>
          </w:tcPr>
          <w:p>
            <w:pPr>
              <w:spacing w:after="30" w:line="276" w:lineRule="auto" w:before="30"/>
              <w:jc w:val="left"/>
            </w:pPr>
            <w:r>
              <w:rPr>
                <w:rFonts w:ascii="Times New Roman" w:hAnsi="Times New Roman" w:eastAsia="宋体"/>
                <w:b w:val="0"/>
                <w:color w:val="000000"/>
                <w:sz w:val="18"/>
              </w:rPr>
              <w:t>自然语言查询、法规RAG、预测和结构化决策</w:t>
            </w:r>
          </w:p>
        </w:tc>
        <w:tc>
          <w:tcPr>
            <w:tcW w:type="dxa" w:w="3628"/>
            <w:shd w:fill="EAF2F8"/>
            <w:tcMar>
              <w:top w:w="100" w:type="dxa"/>
              <w:start w:w="100" w:type="dxa"/>
              <w:bottom w:w="100" w:type="dxa"/>
              <w:end w:w="100" w:type="dxa"/>
            </w:tcMar>
            <w:vAlign w:val="center"/>
          </w:tcPr>
          <w:p>
            <w:pPr>
              <w:spacing w:line="276" w:lineRule="auto" w:before="30" w:after="30"/>
              <w:jc w:val="left"/>
            </w:pPr>
            <w:r>
              <w:rPr>
                <w:rFonts w:ascii="Times New Roman" w:hAnsi="Times New Roman" w:eastAsia="宋体"/>
                <w:b w:val="0"/>
                <w:color w:val="000000"/>
                <w:sz w:val="18"/>
              </w:rPr>
              <w:t>已实现LangChain v1 create_agent、四类只读交通工具、thread_id短期记忆、FastAPI问答接口、JSONL审计和Streamlit助手页，并完成阿里云百炼deepseek-v4-flash-0731真实问答与Function Calling联调。</w:t>
            </w:r>
          </w:p>
        </w:tc>
        <w:tc>
          <w:tcPr>
            <w:tcW w:type="dxa" w:w="1701"/>
            <w:shd w:fill="EAF2F8"/>
            <w:tcMar>
              <w:top w:w="100" w:type="dxa"/>
              <w:start w:w="100" w:type="dxa"/>
              <w:bottom w:w="100" w:type="dxa"/>
              <w:end w:w="100" w:type="dxa"/>
            </w:tcMar>
            <w:vAlign w:val="center"/>
          </w:tcPr>
          <w:p>
            <w:pPr>
              <w:spacing w:line="276" w:lineRule="auto" w:before="30" w:after="30"/>
              <w:jc w:val="center"/>
            </w:pPr>
            <w:r>
              <w:rPr>
                <w:rFonts w:ascii="Times New Roman" w:hAnsi="Times New Roman" w:eastAsia="宋体"/>
                <w:b w:val="0"/>
                <w:color w:val="000000"/>
                <w:sz w:val="18"/>
              </w:rPr>
              <w:t>基础链路已验证。实时TimescaleDB数据、法规知识库、RAG引用链、路线规划和正式拥堵指数仍待接入。</w:t>
            </w:r>
          </w:p>
        </w:tc>
      </w:tr>
      <w:tr>
        <w:trPr>
          <w:cantSplit/>
        </w:trPr>
        <w:tc>
          <w:tcPr>
            <w:tcW w:type="dxa" w:w="1701"/>
            <w:shd w:fill="FFFFFF"/>
            <w:tcMar>
              <w:top w:w="100" w:type="dxa"/>
              <w:start w:w="100" w:type="dxa"/>
              <w:bottom w:w="100" w:type="dxa"/>
              <w:end w:w="100" w:type="dxa"/>
            </w:tcMar>
            <w:vAlign w:val="center"/>
          </w:tcPr>
          <w:p>
            <w:pPr>
              <w:spacing w:after="30" w:line="276" w:lineRule="auto" w:before="30"/>
              <w:jc w:val="center"/>
            </w:pPr>
            <w:r>
              <w:rPr>
                <w:rFonts w:ascii="Times New Roman" w:hAnsi="Times New Roman" w:eastAsia="宋体"/>
                <w:b w:val="0"/>
                <w:color w:val="000000"/>
                <w:sz w:val="18"/>
              </w:rPr>
              <w:t>应急处置</w:t>
            </w:r>
          </w:p>
        </w:tc>
        <w:tc>
          <w:tcPr>
            <w:tcW w:type="dxa" w:w="2494"/>
            <w:shd w:fill="FFFFFF"/>
            <w:tcMar>
              <w:top w:w="100" w:type="dxa"/>
              <w:start w:w="100" w:type="dxa"/>
              <w:bottom w:w="100" w:type="dxa"/>
              <w:end w:w="100" w:type="dxa"/>
            </w:tcMar>
            <w:vAlign w:val="center"/>
          </w:tcPr>
          <w:p>
            <w:pPr>
              <w:spacing w:after="30" w:line="276" w:lineRule="auto" w:before="30"/>
              <w:jc w:val="left"/>
            </w:pPr>
            <w:r>
              <w:rPr>
                <w:rFonts w:ascii="Times New Roman" w:hAnsi="Times New Roman" w:eastAsia="宋体"/>
                <w:b w:val="0"/>
                <w:color w:val="000000"/>
                <w:sz w:val="18"/>
              </w:rPr>
              <w:t>Qwen-VL图文分析、CrewAI多Agent、多部门协同</w:t>
            </w:r>
          </w:p>
        </w:tc>
        <w:tc>
          <w:tcPr>
            <w:tcW w:type="dxa" w:w="3628"/>
            <w:shd w:fill="FFFFFF"/>
            <w:tcMar>
              <w:top w:w="100" w:type="dxa"/>
              <w:start w:w="100" w:type="dxa"/>
              <w:bottom w:w="100" w:type="dxa"/>
              <w:end w:w="100" w:type="dxa"/>
            </w:tcMar>
            <w:vAlign w:val="center"/>
          </w:tcPr>
          <w:p>
            <w:pPr>
              <w:spacing w:after="30" w:line="276" w:lineRule="auto" w:before="30"/>
              <w:jc w:val="left"/>
            </w:pPr>
            <w:r>
              <w:rPr>
                <w:rFonts w:ascii="Times New Roman" w:hAnsi="Times New Roman" w:eastAsia="宋体"/>
                <w:b w:val="0"/>
                <w:color w:val="000000"/>
                <w:sz w:val="18"/>
              </w:rPr>
              <w:t>旧演示页面只有静态告警表和按钮，没有事故理解、协作工作流、审批或执行回执。</w:t>
            </w:r>
          </w:p>
        </w:tc>
        <w:tc>
          <w:tcPr>
            <w:tcW w:type="dxa" w:w="1701"/>
            <w:shd w:fill="FFFFFF"/>
            <w:tcMar>
              <w:top w:w="100" w:type="dxa"/>
              <w:start w:w="100" w:type="dxa"/>
              <w:bottom w:w="100" w:type="dxa"/>
              <w:end w:w="100" w:type="dxa"/>
            </w:tcMar>
            <w:vAlign w:val="center"/>
          </w:tcPr>
          <w:p>
            <w:pPr>
              <w:spacing w:after="30" w:line="276" w:lineRule="auto" w:before="30"/>
              <w:jc w:val="center"/>
            </w:pPr>
            <w:r>
              <w:rPr>
                <w:rFonts w:ascii="Times New Roman" w:hAnsi="Times New Roman" w:eastAsia="宋体"/>
                <w:b w:val="0"/>
                <w:color w:val="000000"/>
                <w:sz w:val="18"/>
              </w:rPr>
              <w:t>不满足。真实信号控制和分流建议必须设置人工审批和权限边界。</w:t>
            </w:r>
          </w:p>
        </w:tc>
      </w:tr>
      <w:tr>
        <w:trPr>
          <w:cantSplit/>
        </w:trPr>
        <w:tc>
          <w:tcPr>
            <w:tcW w:type="dxa" w:w="1701"/>
            <w:shd w:fill="EAF2F8"/>
            <w:tcMar>
              <w:top w:w="100" w:type="dxa"/>
              <w:start w:w="100" w:type="dxa"/>
              <w:bottom w:w="100" w:type="dxa"/>
              <w:end w:w="100" w:type="dxa"/>
            </w:tcMar>
            <w:vAlign w:val="center"/>
          </w:tcPr>
          <w:p>
            <w:pPr>
              <w:spacing w:after="30" w:line="276" w:lineRule="auto" w:before="30"/>
              <w:jc w:val="center"/>
            </w:pPr>
            <w:r>
              <w:rPr>
                <w:rFonts w:ascii="Times New Roman" w:hAnsi="Times New Roman" w:eastAsia="宋体"/>
                <w:b w:val="0"/>
                <w:color w:val="000000"/>
                <w:sz w:val="18"/>
              </w:rPr>
              <w:t>可视化交互</w:t>
            </w:r>
          </w:p>
        </w:tc>
        <w:tc>
          <w:tcPr>
            <w:tcW w:type="dxa" w:w="2494"/>
            <w:shd w:fill="EAF2F8"/>
            <w:tcMar>
              <w:top w:w="100" w:type="dxa"/>
              <w:start w:w="100" w:type="dxa"/>
              <w:bottom w:w="100" w:type="dxa"/>
              <w:end w:w="100" w:type="dxa"/>
            </w:tcMar>
            <w:vAlign w:val="center"/>
          </w:tcPr>
          <w:p>
            <w:pPr>
              <w:spacing w:after="30" w:line="276" w:lineRule="auto" w:before="30"/>
              <w:jc w:val="left"/>
            </w:pPr>
            <w:r>
              <w:rPr>
                <w:rFonts w:ascii="Times New Roman" w:hAnsi="Times New Roman" w:eastAsia="宋体"/>
                <w:b w:val="0"/>
                <w:color w:val="000000"/>
                <w:sz w:val="18"/>
              </w:rPr>
              <w:t>实时热力图、Agent对话、大屏、WebGIS</w:t>
            </w:r>
          </w:p>
        </w:tc>
        <w:tc>
          <w:tcPr>
            <w:tcW w:type="dxa" w:w="3628"/>
            <w:shd w:fill="EAF2F8"/>
            <w:tcMar>
              <w:top w:w="100" w:type="dxa"/>
              <w:start w:w="100" w:type="dxa"/>
              <w:bottom w:w="100" w:type="dxa"/>
              <w:end w:w="100" w:type="dxa"/>
            </w:tcMar>
            <w:vAlign w:val="center"/>
          </w:tcPr>
          <w:p>
            <w:pPr>
              <w:spacing w:line="276" w:lineRule="auto" w:before="30" w:after="30"/>
              <w:jc w:val="left"/>
            </w:pPr>
            <w:r>
              <w:rPr>
                <w:rFonts w:ascii="Times New Roman" w:hAnsi="Times New Roman" w:eastAsia="宋体"/>
                <w:b w:val="0"/>
                <w:color w:val="000000"/>
                <w:sz w:val="18"/>
              </w:rPr>
              <w:t>Streamlit主大屏已有KPI、趋势、预测、车型、路口热力矩阵、高德WebGIS、识别记录和证据图；交通指挥助手页已支持多轮对话、工具证据、能力限制和trace_id。</w:t>
            </w:r>
          </w:p>
        </w:tc>
        <w:tc>
          <w:tcPr>
            <w:tcW w:type="dxa" w:w="1701"/>
            <w:shd w:fill="EAF2F8"/>
            <w:tcMar>
              <w:top w:w="100" w:type="dxa"/>
              <w:start w:w="100" w:type="dxa"/>
              <w:bottom w:w="100" w:type="dxa"/>
              <w:end w:w="100" w:type="dxa"/>
            </w:tcMar>
            <w:vAlign w:val="center"/>
          </w:tcPr>
          <w:p>
            <w:pPr>
              <w:spacing w:line="276" w:lineRule="auto" w:before="30" w:after="30"/>
              <w:jc w:val="center"/>
            </w:pPr>
            <w:r>
              <w:rPr>
                <w:rFonts w:ascii="Times New Roman" w:hAnsi="Times New Roman" w:eastAsia="宋体"/>
                <w:b w:val="0"/>
                <w:color w:val="000000"/>
                <w:sz w:val="18"/>
              </w:rPr>
              <w:t>基础可视化与Agent交互已满足MVP。事故时间线、告警处置闭环和人工审批界面仍待实现。</w:t>
            </w:r>
          </w:p>
        </w:tc>
      </w:tr>
      <w:tr>
        <w:trPr>
          <w:cantSplit/>
        </w:trPr>
        <w:tc>
          <w:tcPr>
            <w:tcW w:type="dxa" w:w="1701"/>
            <w:shd w:fill="FFFFFF"/>
            <w:tcMar>
              <w:top w:w="100" w:type="dxa"/>
              <w:start w:w="100" w:type="dxa"/>
              <w:bottom w:w="100" w:type="dxa"/>
              <w:end w:w="100" w:type="dxa"/>
            </w:tcMar>
            <w:vAlign w:val="center"/>
          </w:tcPr>
          <w:p>
            <w:pPr>
              <w:spacing w:after="30" w:line="276" w:lineRule="auto" w:before="30"/>
              <w:jc w:val="center"/>
            </w:pPr>
            <w:r>
              <w:rPr>
                <w:rFonts w:ascii="Times New Roman" w:hAnsi="Times New Roman" w:eastAsia="宋体"/>
                <w:b w:val="0"/>
                <w:color w:val="000000"/>
                <w:sz w:val="18"/>
              </w:rPr>
              <w:t>Compose一键部署</w:t>
            </w:r>
          </w:p>
        </w:tc>
        <w:tc>
          <w:tcPr>
            <w:tcW w:type="dxa" w:w="2494"/>
            <w:shd w:fill="FFFFFF"/>
            <w:tcMar>
              <w:top w:w="100" w:type="dxa"/>
              <w:start w:w="100" w:type="dxa"/>
              <w:bottom w:w="100" w:type="dxa"/>
              <w:end w:w="100" w:type="dxa"/>
            </w:tcMar>
            <w:vAlign w:val="center"/>
          </w:tcPr>
          <w:p>
            <w:pPr>
              <w:spacing w:after="30" w:line="276" w:lineRule="auto" w:before="30"/>
              <w:jc w:val="left"/>
            </w:pPr>
            <w:r>
              <w:rPr>
                <w:rFonts w:ascii="Times New Roman" w:hAnsi="Times New Roman" w:eastAsia="宋体"/>
                <w:b w:val="0"/>
                <w:color w:val="000000"/>
                <w:sz w:val="18"/>
              </w:rPr>
              <w:t>5分钟获得完整数据环境</w:t>
            </w:r>
          </w:p>
        </w:tc>
        <w:tc>
          <w:tcPr>
            <w:tcW w:type="dxa" w:w="3628"/>
            <w:shd w:fill="FFFFFF"/>
            <w:tcMar>
              <w:top w:w="100" w:type="dxa"/>
              <w:start w:w="100" w:type="dxa"/>
              <w:bottom w:w="100" w:type="dxa"/>
              <w:end w:w="100" w:type="dxa"/>
            </w:tcMar>
            <w:vAlign w:val="center"/>
          </w:tcPr>
          <w:p>
            <w:pPr>
              <w:spacing w:line="276" w:lineRule="auto" w:before="30" w:after="30"/>
              <w:jc w:val="left"/>
            </w:pPr>
            <w:r>
              <w:rPr>
                <w:rFonts w:ascii="Times New Roman" w:hAnsi="Times New Roman" w:eastAsia="宋体"/>
                <w:b w:val="0"/>
                <w:color w:val="000000"/>
                <w:sz w:val="18"/>
              </w:rPr>
              <w:t>主Compose静态校验通过，含TimescaleDB、Kafka、consumer、prediction-api、dashboard，Agent作为prediction-api内的可选模块配置，并挂载独立审计卷。</w:t>
            </w:r>
          </w:p>
        </w:tc>
        <w:tc>
          <w:tcPr>
            <w:tcW w:type="dxa" w:w="1701"/>
            <w:shd w:fill="FFFFFF"/>
            <w:tcMar>
              <w:top w:w="100" w:type="dxa"/>
              <w:start w:w="100" w:type="dxa"/>
              <w:bottom w:w="100" w:type="dxa"/>
              <w:end w:w="100" w:type="dxa"/>
            </w:tcMar>
            <w:vAlign w:val="center"/>
          </w:tcPr>
          <w:p>
            <w:pPr>
              <w:spacing w:line="276" w:lineRule="auto" w:before="30" w:after="30"/>
              <w:jc w:val="center"/>
            </w:pPr>
            <w:r>
              <w:rPr>
                <w:rFonts w:ascii="Times New Roman" w:hAnsi="Times New Roman" w:eastAsia="宋体"/>
                <w:b w:val="0"/>
                <w:color w:val="000000"/>
                <w:sz w:val="18"/>
              </w:rPr>
              <w:t>部分满足。缺Flink和法规RAG持久化组件，本轮未执行全服务冷启动与5分钟健康收敛验收。</w:t>
            </w:r>
          </w:p>
        </w:tc>
      </w:tr>
    </w:tbl>
    <w:p>
      <w:pPr>
        <w:spacing w:after="120"/>
      </w:pPr>
    </w:p>
    <w:p>
      <w:pPr>
        <w:pStyle w:val="4"/>
        <w:keepNext/>
        <w:pageBreakBefore w:val="0"/>
      </w:pPr>
      <w:r>
        <w:rPr>
          <w:rFonts w:ascii="黑体" w:hAnsi="黑体" w:eastAsia="黑体"/>
          <w:color w:val="000000"/>
          <w:sz w:val="21"/>
        </w:rPr>
        <w:t>核心质量风险</w:t>
      </w:r>
    </w:p>
    <w:p>
      <w:pPr>
        <w:keepNext w:val="0"/>
        <w:spacing w:after="120" w:line="300" w:lineRule="auto"/>
      </w:pPr>
      <w:r>
        <w:rPr>
          <w:rFonts w:ascii="宋体" w:hAnsi="宋体" w:eastAsia="宋体"/>
          <w:color w:val="000000"/>
          <w:sz w:val="21"/>
        </w:rPr>
        <w:t>• 数据语义风险：traffic_gps当前保存的是卡口固定坐标和单次车辆观测，不是连续GPS轨迹；分钟车流量依赖tracker ID生命周期，断轨或重识别会改变计数，speed_kmh为空也使平均速度和拥堵判断失去可靠输入。</w:t>
      </w:r>
    </w:p>
    <w:p>
      <w:pPr>
        <w:keepNext w:val="0"/>
        <w:spacing w:after="120" w:line="300" w:lineRule="auto"/>
      </w:pPr>
      <w:r>
        <w:rPr>
          <w:rFonts w:ascii="宋体" w:hAnsi="宋体" w:eastAsia="宋体"/>
          <w:color w:val="000000"/>
          <w:sz w:val="21"/>
        </w:rPr>
        <w:t>• 识别与规则风险：在线车牌识别只在压线或违停触发后执行，尚不是常态过车LPR。压线规则只判断包围框底边是否进入固定像素带，没有前后位置、方向和冷却状态；违停使用系统时钟，不适合离线视频倍速，也缺少离场清理。</w:t>
      </w:r>
    </w:p>
    <w:p>
      <w:pPr>
        <w:keepNext w:val="0"/>
        <w:spacing w:after="120" w:line="300" w:lineRule="auto"/>
      </w:pPr>
      <w:r>
        <w:rPr>
          <w:rFonts w:ascii="宋体" w:hAnsi="宋体" w:eastAsia="宋体"/>
          <w:color w:val="000000"/>
          <w:sz w:val="21"/>
        </w:rPr>
        <w:t>• 模型与数据风险：中国LSTM使用公开匿名收费站数据训练，受非商业研究许可和现场泛化限制；单步结果递归外推会累积误差，不能直接宣称已达到未来1至4小时预测。正式上线需要授权现场长周期数据、滚动回测、漂移监测和可回滚版本。</w:t>
      </w:r>
    </w:p>
    <w:p>
      <w:pPr>
        <w:keepNext w:val="0"/>
        <w:spacing w:after="120" w:line="300" w:lineRule="auto"/>
      </w:pPr>
      <w:r>
        <w:rPr>
          <w:rFonts w:ascii="宋体" w:hAnsi="宋体" w:eastAsia="宋体"/>
          <w:color w:val="000000"/>
          <w:sz w:val="21"/>
        </w:rPr>
        <w:t>• 部署与安全风险：当前默认数据库凭据和API鉴权仅适合本地实训，CORS范围较宽；Python consumer缺少DLQ、批量写入治理和完整可观察性。Docker daemon未启动，因此本次只能确认Compose静态有效，不能确认容器冷启动和故障恢复。</w:t>
      </w:r>
    </w:p>
    <w:p>
      <w:pPr>
        <w:keepNext w:val="0"/>
        <w:spacing w:after="0" w:line="360" w:lineRule="auto" w:before="0"/>
        <w:jc w:val="both"/>
      </w:pPr>
      <w:r>
        <w:rPr>
          <w:rFonts w:ascii="Times New Roman" w:hAnsi="Times New Roman" w:eastAsia="宋体"/>
          <w:b w:val="0"/>
          <w:color w:val="000000"/>
          <w:sz w:val="21"/>
        </w:rPr>
        <w:t>• 验证边界：当前项目核心与边缘55项、Prediction/API 36项、Agent 11项、Dashboard 11项，共113项自动化测试通过，另有1项依赖临时ONNX导出制品的预测测试按设计跳过；Ruff、compileall、docker compose config和补丁检查通过。百炼模型、Function Calling、FastAPI和Streamlit已真实联调，但本轮Agent没有连接TimescaleDB实时数据源，Flink、法规RAG和应急审批仍缺少容器级集成测试。</w:t>
      </w:r>
    </w:p>
    <w:p>
      <w:pPr>
        <w:pStyle w:val="4"/>
        <w:keepNext/>
        <w:pageBreakBefore w:val="0"/>
      </w:pPr>
      <w:r>
        <w:rPr>
          <w:rFonts w:ascii="黑体" w:hAnsi="黑体" w:eastAsia="黑体"/>
          <w:color w:val="000000"/>
          <w:sz w:val="21"/>
        </w:rPr>
        <w:t>分阶段实现计划</w:t>
      </w:r>
    </w:p>
    <w:p>
      <w:pPr>
        <w:keepNext w:val="0"/>
        <w:spacing w:after="120" w:line="300" w:lineRule="auto"/>
      </w:pPr>
      <w:r>
        <w:rPr>
          <w:rFonts w:ascii="宋体" w:hAnsi="宋体" w:eastAsia="宋体"/>
          <w:color w:val="000000"/>
          <w:sz w:val="21"/>
        </w:rPr>
        <w:t>实施顺序先解决数据语义和可重复部署，再增加Flink、预测、Agent和应急协同。工期为单人开发估算，不包含现场数据获取、目标设备采购、第三方模型审批和生产系统联调时间。</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661"/>
        <w:gridCol w:w="1661"/>
        <w:gridCol w:w="1661"/>
        <w:gridCol w:w="1661"/>
        <w:gridCol w:w="1661"/>
      </w:tblGrid>
      <w:tr>
        <w:trPr>
          <w:tblHeader w:val="true"/>
          <w:cantSplit/>
          <w:tblHeader w:val="true"/>
        </w:trPr>
        <w:tc>
          <w:tcPr>
            <w:tcW w:type="dxa" w:w="794"/>
            <w:shd w:fill="365F91"/>
            <w:tcMar>
              <w:top w:w="100" w:type="dxa"/>
              <w:start w:w="100" w:type="dxa"/>
              <w:bottom w:w="100" w:type="dxa"/>
              <w:end w:w="100" w:type="dxa"/>
            </w:tcMar>
            <w:vAlign w:val="center"/>
          </w:tcPr>
          <w:p>
            <w:pPr>
              <w:spacing w:after="30" w:line="276" w:lineRule="auto" w:before="30"/>
              <w:jc w:val="center"/>
            </w:pPr>
            <w:r>
              <w:rPr>
                <w:rFonts w:ascii="Times New Roman" w:hAnsi="Times New Roman" w:eastAsia="宋体"/>
                <w:b/>
                <w:color w:val="FFFFFF"/>
                <w:sz w:val="18"/>
              </w:rPr>
              <w:t>阶段</w:t>
            </w:r>
          </w:p>
        </w:tc>
        <w:tc>
          <w:tcPr>
            <w:tcW w:type="dxa" w:w="1587"/>
            <w:shd w:fill="365F91"/>
            <w:tcMar>
              <w:top w:w="100" w:type="dxa"/>
              <w:start w:w="100" w:type="dxa"/>
              <w:bottom w:w="100" w:type="dxa"/>
              <w:end w:w="100" w:type="dxa"/>
            </w:tcMar>
            <w:vAlign w:val="center"/>
          </w:tcPr>
          <w:p>
            <w:pPr>
              <w:spacing w:after="30" w:line="276" w:lineRule="auto" w:before="30"/>
              <w:jc w:val="left"/>
            </w:pPr>
            <w:r>
              <w:rPr>
                <w:rFonts w:ascii="Times New Roman" w:hAnsi="Times New Roman" w:eastAsia="宋体"/>
                <w:b/>
                <w:color w:val="FFFFFF"/>
                <w:sz w:val="18"/>
              </w:rPr>
              <w:t>目标</w:t>
            </w:r>
          </w:p>
        </w:tc>
        <w:tc>
          <w:tcPr>
            <w:tcW w:type="dxa" w:w="3515"/>
            <w:shd w:fill="365F91"/>
            <w:tcMar>
              <w:top w:w="100" w:type="dxa"/>
              <w:start w:w="100" w:type="dxa"/>
              <w:bottom w:w="100" w:type="dxa"/>
              <w:end w:w="100" w:type="dxa"/>
            </w:tcMar>
            <w:vAlign w:val="center"/>
          </w:tcPr>
          <w:p>
            <w:pPr>
              <w:spacing w:after="30" w:line="276" w:lineRule="auto" w:before="30"/>
              <w:jc w:val="left"/>
            </w:pPr>
            <w:r>
              <w:rPr>
                <w:rFonts w:ascii="Times New Roman" w:hAnsi="Times New Roman" w:eastAsia="宋体"/>
                <w:b/>
                <w:color w:val="FFFFFF"/>
                <w:sz w:val="18"/>
              </w:rPr>
              <w:t>主要交付</w:t>
            </w:r>
          </w:p>
        </w:tc>
        <w:tc>
          <w:tcPr>
            <w:tcW w:type="dxa" w:w="2948"/>
            <w:shd w:fill="365F91"/>
            <w:tcMar>
              <w:top w:w="100" w:type="dxa"/>
              <w:start w:w="100" w:type="dxa"/>
              <w:bottom w:w="100" w:type="dxa"/>
              <w:end w:w="100" w:type="dxa"/>
            </w:tcMar>
            <w:vAlign w:val="center"/>
          </w:tcPr>
          <w:p>
            <w:pPr>
              <w:spacing w:after="30" w:line="276" w:lineRule="auto" w:before="30"/>
              <w:jc w:val="left"/>
            </w:pPr>
            <w:r>
              <w:rPr>
                <w:rFonts w:ascii="Times New Roman" w:hAnsi="Times New Roman" w:eastAsia="宋体"/>
                <w:b/>
                <w:color w:val="FFFFFF"/>
                <w:sz w:val="18"/>
              </w:rPr>
              <w:t>验收重点</w:t>
            </w:r>
          </w:p>
        </w:tc>
        <w:tc>
          <w:tcPr>
            <w:tcW w:type="dxa" w:w="1020"/>
            <w:shd w:fill="365F91"/>
            <w:tcMar>
              <w:top w:w="100" w:type="dxa"/>
              <w:start w:w="100" w:type="dxa"/>
              <w:bottom w:w="100" w:type="dxa"/>
              <w:end w:w="100" w:type="dxa"/>
            </w:tcMar>
            <w:vAlign w:val="center"/>
          </w:tcPr>
          <w:p>
            <w:pPr>
              <w:spacing w:after="30" w:line="276" w:lineRule="auto" w:before="30"/>
              <w:jc w:val="center"/>
            </w:pPr>
            <w:r>
              <w:rPr>
                <w:rFonts w:ascii="Times New Roman" w:hAnsi="Times New Roman" w:eastAsia="宋体"/>
                <w:b/>
                <w:color w:val="FFFFFF"/>
                <w:sz w:val="18"/>
              </w:rPr>
              <w:t>估算</w:t>
            </w:r>
          </w:p>
        </w:tc>
      </w:tr>
      <w:tr>
        <w:trPr>
          <w:cantSplit/>
        </w:trPr>
        <w:tc>
          <w:tcPr>
            <w:tcW w:type="dxa" w:w="794"/>
            <w:shd w:fill="FFFFFF"/>
            <w:tcMar>
              <w:top w:w="100" w:type="dxa"/>
              <w:start w:w="100" w:type="dxa"/>
              <w:bottom w:w="100" w:type="dxa"/>
              <w:end w:w="100" w:type="dxa"/>
            </w:tcMar>
            <w:vAlign w:val="center"/>
          </w:tcPr>
          <w:p>
            <w:pPr>
              <w:spacing w:after="30" w:line="276" w:lineRule="auto" w:before="30"/>
              <w:jc w:val="center"/>
            </w:pPr>
            <w:r>
              <w:rPr>
                <w:rFonts w:ascii="Times New Roman" w:hAnsi="Times New Roman" w:eastAsia="宋体"/>
                <w:b w:val="0"/>
                <w:color w:val="000000"/>
                <w:sz w:val="18"/>
              </w:rPr>
              <w:t>P0</w:t>
            </w:r>
          </w:p>
        </w:tc>
        <w:tc>
          <w:tcPr>
            <w:tcW w:type="dxa" w:w="1587"/>
            <w:shd w:fill="FFFFFF"/>
            <w:tcMar>
              <w:top w:w="100" w:type="dxa"/>
              <w:start w:w="100" w:type="dxa"/>
              <w:bottom w:w="100" w:type="dxa"/>
              <w:end w:w="100" w:type="dxa"/>
            </w:tcMar>
            <w:vAlign w:val="center"/>
          </w:tcPr>
          <w:p>
            <w:pPr>
              <w:spacing w:after="30" w:line="276" w:lineRule="auto" w:before="30"/>
              <w:jc w:val="left"/>
            </w:pPr>
            <w:r>
              <w:rPr>
                <w:rFonts w:ascii="Times New Roman" w:hAnsi="Times New Roman" w:eastAsia="宋体"/>
                <w:b w:val="0"/>
                <w:color w:val="000000"/>
                <w:sz w:val="18"/>
              </w:rPr>
              <w:t>部署与数据基线</w:t>
            </w:r>
          </w:p>
        </w:tc>
        <w:tc>
          <w:tcPr>
            <w:tcW w:type="dxa" w:w="3515"/>
            <w:shd w:fill="FFFFFF"/>
            <w:tcMar>
              <w:top w:w="100" w:type="dxa"/>
              <w:start w:w="100" w:type="dxa"/>
              <w:bottom w:w="100" w:type="dxa"/>
              <w:end w:w="100" w:type="dxa"/>
            </w:tcMar>
            <w:vAlign w:val="center"/>
          </w:tcPr>
          <w:p>
            <w:pPr>
              <w:spacing w:after="30" w:line="276" w:lineRule="auto" w:before="30"/>
              <w:jc w:val="left"/>
            </w:pPr>
            <w:r>
              <w:rPr>
                <w:rFonts w:ascii="Times New Roman" w:hAnsi="Times New Roman" w:eastAsia="宋体"/>
                <w:b w:val="0"/>
                <w:color w:val="000000"/>
                <w:sz w:val="18"/>
              </w:rPr>
              <w:t>统一track_point、vehicle_passage、violation_event、alert_event语义；加入source_id、event_id、事件时间和幂等键。把压缩策略迁入活动SQL，修正DuckDB脚本和旧表名；Compose增加profiles、健康检查、环境模板和smoke test。</w:t>
            </w:r>
          </w:p>
        </w:tc>
        <w:tc>
          <w:tcPr>
            <w:tcW w:type="dxa" w:w="2948"/>
            <w:shd w:fill="FFFFFF"/>
            <w:tcMar>
              <w:top w:w="100" w:type="dxa"/>
              <w:start w:w="100" w:type="dxa"/>
              <w:bottom w:w="100" w:type="dxa"/>
              <w:end w:w="100" w:type="dxa"/>
            </w:tcMar>
            <w:vAlign w:val="center"/>
          </w:tcPr>
          <w:p>
            <w:pPr>
              <w:spacing w:after="30" w:line="276" w:lineRule="auto" w:before="30"/>
              <w:jc w:val="left"/>
            </w:pPr>
            <w:r>
              <w:rPr>
                <w:rFonts w:ascii="Times New Roman" w:hAnsi="Times New Roman" w:eastAsia="宋体"/>
                <w:b w:val="0"/>
                <w:color w:val="000000"/>
                <w:sz w:val="18"/>
              </w:rPr>
              <w:t>Compose配置、SQL幂等迁移、1000条批写、失败重试、去重和查询基准。</w:t>
            </w:r>
          </w:p>
        </w:tc>
        <w:tc>
          <w:tcPr>
            <w:tcW w:type="dxa" w:w="1020"/>
            <w:shd w:fill="FFFFFF"/>
            <w:tcMar>
              <w:top w:w="100" w:type="dxa"/>
              <w:start w:w="100" w:type="dxa"/>
              <w:bottom w:w="100" w:type="dxa"/>
              <w:end w:w="100" w:type="dxa"/>
            </w:tcMar>
            <w:vAlign w:val="center"/>
          </w:tcPr>
          <w:p>
            <w:pPr>
              <w:spacing w:after="30" w:line="276" w:lineRule="auto" w:before="30"/>
              <w:jc w:val="center"/>
            </w:pPr>
            <w:r>
              <w:rPr>
                <w:rFonts w:ascii="Times New Roman" w:hAnsi="Times New Roman" w:eastAsia="宋体"/>
                <w:b w:val="0"/>
                <w:color w:val="000000"/>
                <w:sz w:val="18"/>
              </w:rPr>
              <w:t>1至2天</w:t>
            </w:r>
          </w:p>
        </w:tc>
      </w:tr>
      <w:tr>
        <w:trPr>
          <w:cantSplit/>
        </w:trPr>
        <w:tc>
          <w:tcPr>
            <w:tcW w:type="dxa" w:w="794"/>
            <w:shd w:fill="EAF2F8"/>
            <w:tcMar>
              <w:top w:w="100" w:type="dxa"/>
              <w:start w:w="100" w:type="dxa"/>
              <w:bottom w:w="100" w:type="dxa"/>
              <w:end w:w="100" w:type="dxa"/>
            </w:tcMar>
            <w:vAlign w:val="center"/>
          </w:tcPr>
          <w:p>
            <w:pPr>
              <w:spacing w:after="30" w:line="276" w:lineRule="auto" w:before="30"/>
              <w:jc w:val="center"/>
            </w:pPr>
            <w:r>
              <w:rPr>
                <w:rFonts w:ascii="Times New Roman" w:hAnsi="Times New Roman" w:eastAsia="宋体"/>
                <w:b w:val="0"/>
                <w:color w:val="000000"/>
                <w:sz w:val="18"/>
              </w:rPr>
              <w:t>P1</w:t>
            </w:r>
          </w:p>
        </w:tc>
        <w:tc>
          <w:tcPr>
            <w:tcW w:type="dxa" w:w="1587"/>
            <w:shd w:fill="EAF2F8"/>
            <w:tcMar>
              <w:top w:w="100" w:type="dxa"/>
              <w:start w:w="100" w:type="dxa"/>
              <w:bottom w:w="100" w:type="dxa"/>
              <w:end w:w="100" w:type="dxa"/>
            </w:tcMar>
            <w:vAlign w:val="center"/>
          </w:tcPr>
          <w:p>
            <w:pPr>
              <w:spacing w:after="30" w:line="276" w:lineRule="auto" w:before="30"/>
              <w:jc w:val="left"/>
            </w:pPr>
            <w:r>
              <w:rPr>
                <w:rFonts w:ascii="Times New Roman" w:hAnsi="Times New Roman" w:eastAsia="宋体"/>
                <w:b w:val="0"/>
                <w:color w:val="000000"/>
                <w:sz w:val="18"/>
              </w:rPr>
              <w:t>Flink SQL实时层</w:t>
            </w:r>
          </w:p>
        </w:tc>
        <w:tc>
          <w:tcPr>
            <w:tcW w:type="dxa" w:w="3515"/>
            <w:shd w:fill="EAF2F8"/>
            <w:tcMar>
              <w:top w:w="100" w:type="dxa"/>
              <w:start w:w="100" w:type="dxa"/>
              <w:bottom w:w="100" w:type="dxa"/>
              <w:end w:w="100" w:type="dxa"/>
            </w:tcMar>
            <w:vAlign w:val="center"/>
          </w:tcPr>
          <w:p>
            <w:pPr>
              <w:spacing w:after="30" w:line="276" w:lineRule="auto" w:before="30"/>
              <w:jc w:val="left"/>
            </w:pPr>
            <w:r>
              <w:rPr>
                <w:rFonts w:ascii="Times New Roman" w:hAnsi="Times New Roman" w:eastAsia="宋体"/>
                <w:b w:val="0"/>
                <w:color w:val="000000"/>
                <w:sz w:val="18"/>
              </w:rPr>
              <w:t>增加JobManager、TaskManager和SQL初始化；配置Kafka与JDBC connector、Checkpoint持久卷、事件时间和watermark。实现1分钟与5分钟TUMBLE/HOP、持续低速CEP或MATCH_RECOGNIZE，并输出traffic_metrics和traffic_alerts。</w:t>
            </w:r>
          </w:p>
        </w:tc>
        <w:tc>
          <w:tcPr>
            <w:tcW w:type="dxa" w:w="2948"/>
            <w:shd w:fill="EAF2F8"/>
            <w:tcMar>
              <w:top w:w="100" w:type="dxa"/>
              <w:start w:w="100" w:type="dxa"/>
              <w:bottom w:w="100" w:type="dxa"/>
              <w:end w:w="100" w:type="dxa"/>
            </w:tcMar>
            <w:vAlign w:val="center"/>
          </w:tcPr>
          <w:p>
            <w:pPr>
              <w:spacing w:after="30" w:line="276" w:lineRule="auto" w:before="30"/>
              <w:jc w:val="left"/>
            </w:pPr>
            <w:r>
              <w:rPr>
                <w:rFonts w:ascii="Times New Roman" w:hAnsi="Times New Roman" w:eastAsia="宋体"/>
                <w:b w:val="0"/>
                <w:color w:val="000000"/>
                <w:sz w:val="18"/>
              </w:rPr>
              <w:t>Kafka到Flink到TimescaleDB集成测试、Checkpoint恢复、迟到数据和告警升级测试。</w:t>
            </w:r>
          </w:p>
        </w:tc>
        <w:tc>
          <w:tcPr>
            <w:tcW w:type="dxa" w:w="1020"/>
            <w:shd w:fill="EAF2F8"/>
            <w:tcMar>
              <w:top w:w="100" w:type="dxa"/>
              <w:start w:w="100" w:type="dxa"/>
              <w:bottom w:w="100" w:type="dxa"/>
              <w:end w:w="100" w:type="dxa"/>
            </w:tcMar>
            <w:vAlign w:val="center"/>
          </w:tcPr>
          <w:p>
            <w:pPr>
              <w:spacing w:after="30" w:line="276" w:lineRule="auto" w:before="30"/>
              <w:jc w:val="center"/>
            </w:pPr>
            <w:r>
              <w:rPr>
                <w:rFonts w:ascii="Times New Roman" w:hAnsi="Times New Roman" w:eastAsia="宋体"/>
                <w:b w:val="0"/>
                <w:color w:val="000000"/>
                <w:sz w:val="18"/>
              </w:rPr>
              <w:t>3至5天</w:t>
            </w:r>
          </w:p>
        </w:tc>
      </w:tr>
      <w:tr>
        <w:trPr>
          <w:cantSplit/>
        </w:trPr>
        <w:tc>
          <w:tcPr>
            <w:tcW w:type="dxa" w:w="794"/>
            <w:shd w:fill="FFFFFF"/>
            <w:tcMar>
              <w:top w:w="100" w:type="dxa"/>
              <w:start w:w="100" w:type="dxa"/>
              <w:bottom w:w="100" w:type="dxa"/>
              <w:end w:w="100" w:type="dxa"/>
            </w:tcMar>
            <w:vAlign w:val="center"/>
          </w:tcPr>
          <w:p>
            <w:pPr>
              <w:spacing w:after="30" w:line="276" w:lineRule="auto" w:before="30"/>
              <w:jc w:val="center"/>
            </w:pPr>
            <w:r>
              <w:rPr>
                <w:rFonts w:ascii="Times New Roman" w:hAnsi="Times New Roman" w:eastAsia="宋体"/>
                <w:b w:val="0"/>
                <w:color w:val="000000"/>
                <w:sz w:val="18"/>
              </w:rPr>
              <w:t>P2</w:t>
            </w:r>
          </w:p>
        </w:tc>
        <w:tc>
          <w:tcPr>
            <w:tcW w:type="dxa" w:w="1587"/>
            <w:shd w:fill="FFFFFF"/>
            <w:tcMar>
              <w:top w:w="100" w:type="dxa"/>
              <w:start w:w="100" w:type="dxa"/>
              <w:bottom w:w="100" w:type="dxa"/>
              <w:end w:w="100" w:type="dxa"/>
            </w:tcMar>
            <w:vAlign w:val="center"/>
          </w:tcPr>
          <w:p>
            <w:pPr>
              <w:spacing w:after="30" w:line="276" w:lineRule="auto" w:before="30"/>
              <w:jc w:val="left"/>
            </w:pPr>
            <w:r>
              <w:rPr>
                <w:rFonts w:ascii="Times New Roman" w:hAnsi="Times New Roman" w:eastAsia="宋体"/>
                <w:b w:val="0"/>
                <w:color w:val="000000"/>
                <w:sz w:val="18"/>
              </w:rPr>
              <w:t>多源采集与1至4小时预测</w:t>
            </w:r>
          </w:p>
        </w:tc>
        <w:tc>
          <w:tcPr>
            <w:tcW w:type="dxa" w:w="3515"/>
            <w:shd w:fill="FFFFFF"/>
            <w:tcMar>
              <w:top w:w="100" w:type="dxa"/>
              <w:start w:w="100" w:type="dxa"/>
              <w:bottom w:w="100" w:type="dxa"/>
              <w:end w:w="100" w:type="dxa"/>
            </w:tcMar>
            <w:vAlign w:val="center"/>
          </w:tcPr>
          <w:p>
            <w:pPr>
              <w:spacing w:after="30" w:line="276" w:lineRule="auto" w:before="30"/>
              <w:jc w:val="left"/>
            </w:pPr>
            <w:r>
              <w:rPr>
                <w:rFonts w:ascii="Times New Roman" w:hAnsi="Times New Roman" w:eastAsia="宋体"/>
                <w:b w:val="0"/>
                <w:color w:val="000000"/>
                <w:sz w:val="18"/>
              </w:rPr>
              <w:t>以SourceAdapter接入RTSP、本地视频、摄像头、GPS和卡口协议；补测速标定与检测线过车口径。以20分钟12步或15分钟16步训练LSTM/Transformer，引入天气、节假日和邻接路段特征。</w:t>
            </w:r>
          </w:p>
        </w:tc>
        <w:tc>
          <w:tcPr>
            <w:tcW w:type="dxa" w:w="2948"/>
            <w:shd w:fill="FFFFFF"/>
            <w:tcMar>
              <w:top w:w="100" w:type="dxa"/>
              <w:start w:w="100" w:type="dxa"/>
              <w:bottom w:w="100" w:type="dxa"/>
              <w:end w:w="100" w:type="dxa"/>
            </w:tcMar>
            <w:vAlign w:val="center"/>
          </w:tcPr>
          <w:p>
            <w:pPr>
              <w:spacing w:after="30" w:line="276" w:lineRule="auto" w:before="30"/>
              <w:jc w:val="left"/>
            </w:pPr>
            <w:r>
              <w:rPr>
                <w:rFonts w:ascii="Times New Roman" w:hAnsi="Times New Roman" w:eastAsia="宋体"/>
                <w:b w:val="0"/>
                <w:color w:val="000000"/>
                <w:sz w:val="18"/>
              </w:rPr>
              <w:t>断流重连、源级隔离、rolling backtest、基线对比、逐预测步指标和ONNX一致性。</w:t>
            </w:r>
          </w:p>
        </w:tc>
        <w:tc>
          <w:tcPr>
            <w:tcW w:type="dxa" w:w="1020"/>
            <w:shd w:fill="FFFFFF"/>
            <w:tcMar>
              <w:top w:w="100" w:type="dxa"/>
              <w:start w:w="100" w:type="dxa"/>
              <w:bottom w:w="100" w:type="dxa"/>
              <w:end w:w="100" w:type="dxa"/>
            </w:tcMar>
            <w:vAlign w:val="center"/>
          </w:tcPr>
          <w:p>
            <w:pPr>
              <w:spacing w:after="30" w:line="276" w:lineRule="auto" w:before="30"/>
              <w:jc w:val="center"/>
            </w:pPr>
            <w:r>
              <w:rPr>
                <w:rFonts w:ascii="Times New Roman" w:hAnsi="Times New Roman" w:eastAsia="宋体"/>
                <w:b w:val="0"/>
                <w:color w:val="000000"/>
                <w:sz w:val="18"/>
              </w:rPr>
              <w:t>4至7天</w:t>
            </w:r>
          </w:p>
        </w:tc>
      </w:tr>
      <w:tr>
        <w:trPr>
          <w:cantSplit/>
        </w:trPr>
        <w:tc>
          <w:tcPr>
            <w:tcW w:type="dxa" w:w="794"/>
            <w:shd w:fill="EAF2F8"/>
            <w:tcMar>
              <w:top w:w="100" w:type="dxa"/>
              <w:start w:w="100" w:type="dxa"/>
              <w:bottom w:w="100" w:type="dxa"/>
              <w:end w:w="100" w:type="dxa"/>
            </w:tcMar>
            <w:vAlign w:val="center"/>
          </w:tcPr>
          <w:p>
            <w:pPr>
              <w:spacing w:after="30" w:line="276" w:lineRule="auto" w:before="30"/>
              <w:jc w:val="center"/>
            </w:pPr>
            <w:r>
              <w:rPr>
                <w:rFonts w:ascii="Times New Roman" w:hAnsi="Times New Roman" w:eastAsia="宋体"/>
                <w:b w:val="0"/>
                <w:color w:val="000000"/>
                <w:sz w:val="18"/>
              </w:rPr>
              <w:t>P3</w:t>
            </w:r>
          </w:p>
        </w:tc>
        <w:tc>
          <w:tcPr>
            <w:tcW w:type="dxa" w:w="1587"/>
            <w:shd w:fill="EAF2F8"/>
            <w:tcMar>
              <w:top w:w="100" w:type="dxa"/>
              <w:start w:w="100" w:type="dxa"/>
              <w:bottom w:w="100" w:type="dxa"/>
              <w:end w:w="100" w:type="dxa"/>
            </w:tcMar>
            <w:vAlign w:val="center"/>
          </w:tcPr>
          <w:p>
            <w:pPr>
              <w:spacing w:after="30" w:line="276" w:lineRule="auto" w:before="30"/>
              <w:jc w:val="left"/>
            </w:pPr>
            <w:r>
              <w:rPr>
                <w:rFonts w:ascii="Times New Roman" w:hAnsi="Times New Roman" w:eastAsia="宋体"/>
                <w:b w:val="0"/>
                <w:color w:val="000000"/>
                <w:sz w:val="18"/>
              </w:rPr>
              <w:t>Traffic Cop RAG与应急研判</w:t>
            </w:r>
          </w:p>
        </w:tc>
        <w:tc>
          <w:tcPr>
            <w:tcW w:type="dxa" w:w="3515"/>
            <w:shd w:fill="EAF2F8"/>
            <w:tcMar>
              <w:top w:w="100" w:type="dxa"/>
              <w:start w:w="100" w:type="dxa"/>
              <w:bottom w:w="100" w:type="dxa"/>
              <w:end w:w="100" w:type="dxa"/>
            </w:tcMar>
            <w:vAlign w:val="center"/>
          </w:tcPr>
          <w:p>
            <w:pPr>
              <w:spacing w:line="276" w:lineRule="auto" w:before="30" w:after="30"/>
              <w:jc w:val="left"/>
            </w:pPr>
            <w:r>
              <w:rPr>
                <w:rFonts w:ascii="Times New Roman" w:hAnsi="Times New Roman" w:eastAsia="宋体"/>
                <w:b w:val="0"/>
                <w:color w:val="000000"/>
                <w:sz w:val="18"/>
              </w:rPr>
              <w:t>在已验证的LangChain Agent基础上接入版本化交通法规文档、Embedding与Milvus Lite或FAISS；新增带来源和段落定位的法规检索工具。随后接入Qwen-VL做事故图像结构化抽取，并以受控工作流组织研判、方案和合规校核。</w:t>
            </w:r>
          </w:p>
        </w:tc>
        <w:tc>
          <w:tcPr>
            <w:tcW w:type="dxa" w:w="2948"/>
            <w:shd w:fill="EAF2F8"/>
            <w:tcMar>
              <w:top w:w="100" w:type="dxa"/>
              <w:start w:w="100" w:type="dxa"/>
              <w:bottom w:w="100" w:type="dxa"/>
              <w:end w:w="100" w:type="dxa"/>
            </w:tcMar>
            <w:vAlign w:val="center"/>
          </w:tcPr>
          <w:p>
            <w:pPr>
              <w:spacing w:line="276" w:lineRule="auto" w:before="30" w:after="30"/>
              <w:jc w:val="left"/>
            </w:pPr>
            <w:r>
              <w:rPr>
                <w:rFonts w:ascii="Times New Roman" w:hAnsi="Times New Roman" w:eastAsia="宋体"/>
                <w:b w:val="0"/>
                <w:color w:val="000000"/>
                <w:sz w:val="18"/>
              </w:rPr>
              <w:t>回答必须带法规引用和工具审计；检索失败不得生成无依据法规结论；信号灯、分流和限行建议必须人工审批。</w:t>
            </w:r>
          </w:p>
        </w:tc>
        <w:tc>
          <w:tcPr>
            <w:tcW w:type="dxa" w:w="1020"/>
            <w:shd w:fill="EAF2F8"/>
            <w:tcMar>
              <w:top w:w="100" w:type="dxa"/>
              <w:start w:w="100" w:type="dxa"/>
              <w:bottom w:w="100" w:type="dxa"/>
              <w:end w:w="100" w:type="dxa"/>
            </w:tcMar>
            <w:vAlign w:val="center"/>
          </w:tcPr>
          <w:p>
            <w:pPr>
              <w:spacing w:after="30" w:line="276" w:lineRule="auto" w:before="30"/>
              <w:jc w:val="center"/>
            </w:pPr>
            <w:r>
              <w:rPr>
                <w:rFonts w:ascii="Times New Roman" w:hAnsi="Times New Roman" w:eastAsia="宋体"/>
                <w:b w:val="0"/>
                <w:color w:val="000000"/>
                <w:sz w:val="18"/>
              </w:rPr>
              <w:t>5至10天</w:t>
            </w:r>
          </w:p>
        </w:tc>
      </w:tr>
      <w:tr>
        <w:trPr>
          <w:cantSplit/>
        </w:trPr>
        <w:tc>
          <w:tcPr>
            <w:tcW w:type="dxa" w:w="794"/>
            <w:shd w:fill="FFFFFF"/>
            <w:tcMar>
              <w:top w:w="100" w:type="dxa"/>
              <w:start w:w="100" w:type="dxa"/>
              <w:bottom w:w="100" w:type="dxa"/>
              <w:end w:w="100" w:type="dxa"/>
            </w:tcMar>
            <w:vAlign w:val="center"/>
          </w:tcPr>
          <w:p>
            <w:pPr>
              <w:spacing w:after="30" w:line="276" w:lineRule="auto" w:before="30"/>
              <w:jc w:val="center"/>
            </w:pPr>
            <w:r>
              <w:rPr>
                <w:rFonts w:ascii="Times New Roman" w:hAnsi="Times New Roman" w:eastAsia="宋体"/>
                <w:b w:val="0"/>
                <w:color w:val="000000"/>
                <w:sz w:val="18"/>
              </w:rPr>
              <w:t>P4</w:t>
            </w:r>
          </w:p>
        </w:tc>
        <w:tc>
          <w:tcPr>
            <w:tcW w:type="dxa" w:w="1587"/>
            <w:shd w:fill="FFFFFF"/>
            <w:tcMar>
              <w:top w:w="100" w:type="dxa"/>
              <w:start w:w="100" w:type="dxa"/>
              <w:bottom w:w="100" w:type="dxa"/>
              <w:end w:w="100" w:type="dxa"/>
            </w:tcMar>
            <w:vAlign w:val="center"/>
          </w:tcPr>
          <w:p>
            <w:pPr>
              <w:spacing w:after="30" w:line="276" w:lineRule="auto" w:before="30"/>
              <w:jc w:val="left"/>
            </w:pPr>
            <w:r>
              <w:rPr>
                <w:rFonts w:ascii="Times New Roman" w:hAnsi="Times New Roman" w:eastAsia="宋体"/>
                <w:b w:val="0"/>
                <w:color w:val="000000"/>
                <w:sz w:val="18"/>
              </w:rPr>
              <w:t>可视化与交付验收</w:t>
            </w:r>
          </w:p>
        </w:tc>
        <w:tc>
          <w:tcPr>
            <w:tcW w:type="dxa" w:w="3515"/>
            <w:shd w:fill="FFFFFF"/>
            <w:tcMar>
              <w:top w:w="100" w:type="dxa"/>
              <w:start w:w="100" w:type="dxa"/>
              <w:bottom w:w="100" w:type="dxa"/>
              <w:end w:w="100" w:type="dxa"/>
            </w:tcMar>
            <w:vAlign w:val="center"/>
          </w:tcPr>
          <w:p>
            <w:pPr>
              <w:spacing w:line="276" w:lineRule="auto" w:before="30" w:after="30"/>
              <w:jc w:val="left"/>
            </w:pPr>
            <w:r>
              <w:rPr>
                <w:rFonts w:ascii="Times New Roman" w:hAnsi="Times New Roman" w:eastAsia="宋体"/>
                <w:b w:val="0"/>
                <w:color w:val="000000"/>
                <w:sz w:val="18"/>
              </w:rPr>
              <w:t>完善现有Agent对话页，增加事故时间线、告警确认与解除、审批和执行回执；按验收需要继续使用Plotly加高德WebGIS，或补充ECharts组件。统一日志、指标、鉴权、密钥和资源限制。</w:t>
            </w:r>
          </w:p>
        </w:tc>
        <w:tc>
          <w:tcPr>
            <w:tcW w:type="dxa" w:w="2948"/>
            <w:shd w:fill="FFFFFF"/>
            <w:tcMar>
              <w:top w:w="100" w:type="dxa"/>
              <w:start w:w="100" w:type="dxa"/>
              <w:bottom w:w="100" w:type="dxa"/>
              <w:end w:w="100" w:type="dxa"/>
            </w:tcMar>
            <w:vAlign w:val="center"/>
          </w:tcPr>
          <w:p>
            <w:pPr>
              <w:spacing w:after="30" w:line="276" w:lineRule="auto" w:before="30"/>
              <w:jc w:val="left"/>
            </w:pPr>
            <w:r>
              <w:rPr>
                <w:rFonts w:ascii="Times New Roman" w:hAnsi="Times New Roman" w:eastAsia="宋体"/>
                <w:b w:val="0"/>
                <w:color w:val="000000"/>
                <w:sz w:val="18"/>
              </w:rPr>
              <w:t>5分钟一键启动、4小时预测、RAG引用、应急审批、全链路审计和故障降级演练。</w:t>
            </w:r>
          </w:p>
        </w:tc>
        <w:tc>
          <w:tcPr>
            <w:tcW w:type="dxa" w:w="1020"/>
            <w:shd w:fill="FFFFFF"/>
            <w:tcMar>
              <w:top w:w="100" w:type="dxa"/>
              <w:start w:w="100" w:type="dxa"/>
              <w:bottom w:w="100" w:type="dxa"/>
              <w:end w:w="100" w:type="dxa"/>
            </w:tcMar>
            <w:vAlign w:val="center"/>
          </w:tcPr>
          <w:p>
            <w:pPr>
              <w:spacing w:after="30" w:line="276" w:lineRule="auto" w:before="30"/>
              <w:jc w:val="center"/>
            </w:pPr>
            <w:r>
              <w:rPr>
                <w:rFonts w:ascii="Times New Roman" w:hAnsi="Times New Roman" w:eastAsia="宋体"/>
                <w:b w:val="0"/>
                <w:color w:val="000000"/>
                <w:sz w:val="18"/>
              </w:rPr>
              <w:t>3至5天</w:t>
            </w:r>
          </w:p>
        </w:tc>
      </w:tr>
    </w:tbl>
    <w:p>
      <w:pPr>
        <w:spacing w:after="120"/>
      </w:pPr>
    </w:p>
    <w:p>
      <w:pPr>
        <w:pStyle w:val="4"/>
        <w:keepNext/>
        <w:pageBreakBefore w:val="0"/>
      </w:pPr>
      <w:r>
        <w:rPr>
          <w:rFonts w:ascii="黑体" w:hAnsi="黑体" w:eastAsia="黑体"/>
          <w:color w:val="000000"/>
          <w:sz w:val="21"/>
        </w:rPr>
        <w:t>完成定义</w:t>
      </w:r>
    </w:p>
    <w:p>
      <w:pPr>
        <w:keepNext w:val="0"/>
        <w:spacing w:after="120" w:line="300" w:lineRule="auto"/>
      </w:pPr>
      <w:r>
        <w:rPr>
          <w:rFonts w:ascii="宋体" w:hAnsi="宋体" w:eastAsia="宋体"/>
          <w:color w:val="000000"/>
          <w:sz w:val="21"/>
        </w:rPr>
        <w:t>完整平台达标条件如下：预拉取镜像后执行docker compose up -d，5分钟内所有健康检查通过；视频、GPS和卡口事件按统一版本契约进入Kafka；Flink SQL可从Checkpoint恢复并正确输出窗口指标和分级告警；TimescaleDB完成分区、聚合、压缩、保留和可复现基准；DuckDB使用当前schema生成可核验结果；授权现场模型经独立测试和滚动回测稳定优于基线并覆盖1至4小时；Agent保留法规来源、工具审计和人工审批记录；WebGIS展示指标、预测、事故、告警生命周期和执行回执。</w:t>
      </w:r>
    </w:p>
    <w:p w14:paraId="34A5DB16">
      <w:pPr>
        <w:pStyle w:val="2"/>
        <w:pageBreakBefore/>
      </w:pPr>
      <w:r>
        <w:rPr>
          <w:rFonts w:ascii="宋体" w:hAnsi="宋体" w:eastAsia="宋体"/>
          <w:color w:val="000000"/>
          <w:sz w:val="21"/>
        </w:rPr>
        <w:t>实训总结与心得体会</w:t>
      </w:r>
    </w:p>
    <w:p w14:paraId="4CFEF1D9">
      <w:pPr>
        <w:keepNext w:val="0"/>
        <w:spacing w:line="360" w:lineRule="auto" w:before="0" w:after="0"/>
        <w:jc w:val="both"/>
      </w:pPr>
      <w:r>
        <w:rPr>
          <w:rFonts w:ascii="Times New Roman" w:hAnsi="Times New Roman" w:eastAsia="宋体"/>
          <w:b w:val="0"/>
          <w:color w:val="000000"/>
          <w:sz w:val="21"/>
        </w:rPr>
        <w:t>经过本阶段实训，我已将计算机视觉、车牌识别、时序预测与Kafka、TimescaleDB、DuckDB、FastAPI、LangChain Agent和Streamlit等工程能力连接成可运行的单机原型，并完成阿里云百炼大模型与只读交通工具的真实调用验证。实践同时表明，模型文件、接口可调用和页面可展示并不等同于生产系统已经完成：真实GPS轨迹、可靠测速与过车口径、Flink SQL事件时间计算、长时预测、法规RAG和应急审批闭环仍需要独立的数据契约、测试和验收证据。后续将按照第11节的P0至P4路线推进，优先固化数据语义和部署基线，再建设实时计算、现场模型、法规知识检索与可审计的应急协同能力。</w:t>
      </w: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Liberation Serif">
    <w:altName w:val="Times New Roman"/>
    <w:panose1 w:val="00000000000000000000"/>
    <w:charset w:val="00"/>
    <w:family w:val="roman"/>
    <w:pitch w:val="default"/>
    <w:sig w:usb0="00000000" w:usb1="00000000" w:usb2="00000000" w:usb3="00000000" w:csb0="00000000" w:csb1="00000000"/>
  </w:font>
  <w:font w:name="Lohit Devanagari">
    <w:altName w:val="Calibri"/>
    <w:panose1 w:val="00000000000000000000"/>
    <w:charset w:val="00"/>
    <w:family w:val="auto"/>
    <w:pitch w:val="default"/>
    <w:sig w:usb0="00000000" w:usb1="00000000" w:usb2="00000000" w:usb3="00000000" w:csb0="00000000" w:csb1="00000000"/>
  </w:font>
  <w:font w:name="Liberation Mono">
    <w:altName w:val="Calibri"/>
    <w:panose1 w:val="00000000000000000000"/>
    <w:charset w:val="00"/>
    <w:family w:val="modern"/>
    <w:pitch w:val="default"/>
    <w:sig w:usb0="00000000" w:usb1="00000000" w:usb2="00000000" w:usb3="00000000" w:csb0="00000000" w:csb1="00000000"/>
  </w:font>
  <w:font w:name="Noto Sans Mono CJK SC">
    <w:altName w:val="Calibri"/>
    <w:panose1 w:val="00000000000000000000"/>
    <w:charset w:val="00"/>
    <w:family w:val="modern"/>
    <w:pitch w:val="default"/>
    <w:sig w:usb0="00000000" w:usb1="00000000" w:usb2="00000000" w:usb3="00000000" w:csb0="0000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C8B17C">
    <w:pPr>
      <w:pStyle w:val="15"/>
      <w:ind w:firstLine="360"/>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FD100C">
    <w:pPr>
      <w:pStyle w:val="15"/>
      <w:ind w:firstLine="360"/>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BD5342">
    <w:pPr>
      <w:pStyle w:val="15"/>
      <w:ind w:firstLine="360"/>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BD115">
    <w:pPr>
      <w:pStyle w:val="16"/>
      <w:ind w:left="0" w:leftChars="0" w:firstLine="0" w:firstLineChars="0"/>
      <w:jc w:val="both"/>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ED80B4">
    <w:pPr>
      <w:pStyle w:val="16"/>
      <w:ind w:firstLine="360"/>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A3F6DB">
    <w:pPr>
      <w:pStyle w:val="16"/>
      <w:ind w:firstLine="360"/>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A41A1B"/>
    <w:multiLevelType w:val="multilevel"/>
    <w:tmpl w:val="2AA41A1B"/>
    <w:lvl w:ilvl="0" w:tentative="0">
      <w:start w:val="1"/>
      <w:numFmt w:val="decimal"/>
      <w:pStyle w:val="2"/>
      <w:lvlText w:val="%1."/>
      <w:lvlJc w:val="left"/>
      <w:pPr>
        <w:ind w:left="425" w:hanging="425"/>
      </w:pPr>
    </w:lvl>
    <w:lvl w:ilvl="1" w:tentative="0">
      <w:start w:val="1"/>
      <w:numFmt w:val="decimal"/>
      <w:pStyle w:val="3"/>
      <w:lvlText w:val="%1.%2."/>
      <w:lvlJc w:val="left"/>
      <w:pPr>
        <w:ind w:left="567" w:hanging="567"/>
      </w:pPr>
    </w:lvl>
    <w:lvl w:ilvl="2" w:tentative="0">
      <w:start w:val="1"/>
      <w:numFmt w:val="decimal"/>
      <w:pStyle w:val="4"/>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1">
    <w:nsid w:val="5D031170"/>
    <w:multiLevelType w:val="multilevel"/>
    <w:tmpl w:val="5D031170"/>
    <w:lvl w:ilvl="0" w:tentative="0">
      <w:start w:val="1"/>
      <w:numFmt w:val="decimal"/>
      <w:lvlText w:val="%1"/>
      <w:lvlJc w:val="left"/>
      <w:pPr>
        <w:ind w:left="432" w:hanging="432"/>
      </w:pPr>
    </w:lvl>
    <w:lvl w:ilvl="1" w:tentative="0">
      <w:start w:val="1"/>
      <w:numFmt w:val="decimal"/>
      <w:lvlText w:val="%1.%2"/>
      <w:lvlJc w:val="left"/>
      <w:pPr>
        <w:ind w:left="576" w:hanging="576"/>
      </w:pPr>
    </w:lvl>
    <w:lvl w:ilvl="2" w:tentative="0">
      <w:start w:val="1"/>
      <w:numFmt w:val="decimal"/>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1C9E"/>
    <w:rsid w:val="0000234D"/>
    <w:rsid w:val="000046A0"/>
    <w:rsid w:val="0001051C"/>
    <w:rsid w:val="000136E5"/>
    <w:rsid w:val="000142F8"/>
    <w:rsid w:val="00014E45"/>
    <w:rsid w:val="000151EA"/>
    <w:rsid w:val="000175BE"/>
    <w:rsid w:val="00022173"/>
    <w:rsid w:val="00026A62"/>
    <w:rsid w:val="000276A1"/>
    <w:rsid w:val="00036545"/>
    <w:rsid w:val="00037237"/>
    <w:rsid w:val="000372AA"/>
    <w:rsid w:val="00037A7A"/>
    <w:rsid w:val="000419E0"/>
    <w:rsid w:val="0004468B"/>
    <w:rsid w:val="000461DC"/>
    <w:rsid w:val="00051E51"/>
    <w:rsid w:val="0005531A"/>
    <w:rsid w:val="0005575F"/>
    <w:rsid w:val="00065C93"/>
    <w:rsid w:val="000716DB"/>
    <w:rsid w:val="00074C0A"/>
    <w:rsid w:val="00075942"/>
    <w:rsid w:val="00075E7D"/>
    <w:rsid w:val="00076146"/>
    <w:rsid w:val="0008159A"/>
    <w:rsid w:val="0008163F"/>
    <w:rsid w:val="000838C2"/>
    <w:rsid w:val="00085A4C"/>
    <w:rsid w:val="00086503"/>
    <w:rsid w:val="00087D6D"/>
    <w:rsid w:val="00095DE1"/>
    <w:rsid w:val="000976E8"/>
    <w:rsid w:val="000979FD"/>
    <w:rsid w:val="000A3E71"/>
    <w:rsid w:val="000B010D"/>
    <w:rsid w:val="000B550D"/>
    <w:rsid w:val="000B5C6E"/>
    <w:rsid w:val="000C234F"/>
    <w:rsid w:val="000C3822"/>
    <w:rsid w:val="000C4454"/>
    <w:rsid w:val="000C6978"/>
    <w:rsid w:val="000C6B5F"/>
    <w:rsid w:val="000D1D4D"/>
    <w:rsid w:val="000D3C18"/>
    <w:rsid w:val="000D7371"/>
    <w:rsid w:val="000E10DD"/>
    <w:rsid w:val="000E1992"/>
    <w:rsid w:val="000E2F7B"/>
    <w:rsid w:val="000F00D0"/>
    <w:rsid w:val="000F03EF"/>
    <w:rsid w:val="000F3EE9"/>
    <w:rsid w:val="000F53B3"/>
    <w:rsid w:val="000F7275"/>
    <w:rsid w:val="0010291A"/>
    <w:rsid w:val="00106465"/>
    <w:rsid w:val="0011261F"/>
    <w:rsid w:val="0011294B"/>
    <w:rsid w:val="00125830"/>
    <w:rsid w:val="00126AB6"/>
    <w:rsid w:val="00127075"/>
    <w:rsid w:val="00127FA5"/>
    <w:rsid w:val="0013061A"/>
    <w:rsid w:val="00132699"/>
    <w:rsid w:val="00132B78"/>
    <w:rsid w:val="00141AE3"/>
    <w:rsid w:val="00142C6A"/>
    <w:rsid w:val="00142F7A"/>
    <w:rsid w:val="00144E93"/>
    <w:rsid w:val="001459B6"/>
    <w:rsid w:val="0014692F"/>
    <w:rsid w:val="00147906"/>
    <w:rsid w:val="00156B1E"/>
    <w:rsid w:val="001609DF"/>
    <w:rsid w:val="00165390"/>
    <w:rsid w:val="00165A31"/>
    <w:rsid w:val="0016692C"/>
    <w:rsid w:val="001676D5"/>
    <w:rsid w:val="001712FC"/>
    <w:rsid w:val="001747DA"/>
    <w:rsid w:val="00177D40"/>
    <w:rsid w:val="0018191F"/>
    <w:rsid w:val="00182E7F"/>
    <w:rsid w:val="00192135"/>
    <w:rsid w:val="0019465C"/>
    <w:rsid w:val="00196BB4"/>
    <w:rsid w:val="001A00A1"/>
    <w:rsid w:val="001A0D24"/>
    <w:rsid w:val="001A16E7"/>
    <w:rsid w:val="001A2D3F"/>
    <w:rsid w:val="001A2D93"/>
    <w:rsid w:val="001A7FF4"/>
    <w:rsid w:val="001B7282"/>
    <w:rsid w:val="001B7953"/>
    <w:rsid w:val="001C00FE"/>
    <w:rsid w:val="001C06D2"/>
    <w:rsid w:val="001C1FBB"/>
    <w:rsid w:val="001C35F0"/>
    <w:rsid w:val="001C4478"/>
    <w:rsid w:val="001C49C9"/>
    <w:rsid w:val="001C622B"/>
    <w:rsid w:val="001C7C6D"/>
    <w:rsid w:val="001D0380"/>
    <w:rsid w:val="001D21AA"/>
    <w:rsid w:val="001D2BF4"/>
    <w:rsid w:val="001E0007"/>
    <w:rsid w:val="001E0C68"/>
    <w:rsid w:val="001E25D1"/>
    <w:rsid w:val="001E3543"/>
    <w:rsid w:val="001E44B6"/>
    <w:rsid w:val="001F0C30"/>
    <w:rsid w:val="001F3B30"/>
    <w:rsid w:val="001F4EBF"/>
    <w:rsid w:val="001F6B69"/>
    <w:rsid w:val="001F73D1"/>
    <w:rsid w:val="00200B33"/>
    <w:rsid w:val="00201190"/>
    <w:rsid w:val="00205B34"/>
    <w:rsid w:val="00206550"/>
    <w:rsid w:val="0020706E"/>
    <w:rsid w:val="00207CE5"/>
    <w:rsid w:val="00214739"/>
    <w:rsid w:val="00214848"/>
    <w:rsid w:val="002170F5"/>
    <w:rsid w:val="00217F29"/>
    <w:rsid w:val="00222ADE"/>
    <w:rsid w:val="002241AD"/>
    <w:rsid w:val="00226D4F"/>
    <w:rsid w:val="00230195"/>
    <w:rsid w:val="002312FE"/>
    <w:rsid w:val="00232852"/>
    <w:rsid w:val="00234F15"/>
    <w:rsid w:val="00235487"/>
    <w:rsid w:val="00236FA1"/>
    <w:rsid w:val="002378E5"/>
    <w:rsid w:val="00241A20"/>
    <w:rsid w:val="00241EAD"/>
    <w:rsid w:val="002424AA"/>
    <w:rsid w:val="00242F49"/>
    <w:rsid w:val="00254D6D"/>
    <w:rsid w:val="00257FE5"/>
    <w:rsid w:val="00260E4D"/>
    <w:rsid w:val="00260F0B"/>
    <w:rsid w:val="00263B83"/>
    <w:rsid w:val="00266336"/>
    <w:rsid w:val="0027090E"/>
    <w:rsid w:val="00270A47"/>
    <w:rsid w:val="002722EF"/>
    <w:rsid w:val="00272B4F"/>
    <w:rsid w:val="00274BE1"/>
    <w:rsid w:val="00277738"/>
    <w:rsid w:val="00280E05"/>
    <w:rsid w:val="0028171A"/>
    <w:rsid w:val="00291123"/>
    <w:rsid w:val="002920C1"/>
    <w:rsid w:val="00292197"/>
    <w:rsid w:val="00294406"/>
    <w:rsid w:val="00295475"/>
    <w:rsid w:val="00296D2B"/>
    <w:rsid w:val="002A12DE"/>
    <w:rsid w:val="002A2234"/>
    <w:rsid w:val="002A30CE"/>
    <w:rsid w:val="002A7BC9"/>
    <w:rsid w:val="002B1F3E"/>
    <w:rsid w:val="002B26A2"/>
    <w:rsid w:val="002B3A5E"/>
    <w:rsid w:val="002C2F7F"/>
    <w:rsid w:val="002C336B"/>
    <w:rsid w:val="002C3A92"/>
    <w:rsid w:val="002C3DCB"/>
    <w:rsid w:val="002C47CC"/>
    <w:rsid w:val="002C4C62"/>
    <w:rsid w:val="002C5B66"/>
    <w:rsid w:val="002C6907"/>
    <w:rsid w:val="002D759C"/>
    <w:rsid w:val="002D77F8"/>
    <w:rsid w:val="002D7E13"/>
    <w:rsid w:val="002E008D"/>
    <w:rsid w:val="002E21F4"/>
    <w:rsid w:val="002E2EC5"/>
    <w:rsid w:val="002E3289"/>
    <w:rsid w:val="002E4393"/>
    <w:rsid w:val="002E6777"/>
    <w:rsid w:val="002F65E6"/>
    <w:rsid w:val="002F6E69"/>
    <w:rsid w:val="002F7DAE"/>
    <w:rsid w:val="003028BB"/>
    <w:rsid w:val="00303FF3"/>
    <w:rsid w:val="0031121F"/>
    <w:rsid w:val="00321359"/>
    <w:rsid w:val="00323872"/>
    <w:rsid w:val="003264FE"/>
    <w:rsid w:val="00326C50"/>
    <w:rsid w:val="00330DE0"/>
    <w:rsid w:val="00331DEC"/>
    <w:rsid w:val="00333261"/>
    <w:rsid w:val="003364E1"/>
    <w:rsid w:val="00343377"/>
    <w:rsid w:val="00343BD0"/>
    <w:rsid w:val="00345434"/>
    <w:rsid w:val="00345921"/>
    <w:rsid w:val="003465C6"/>
    <w:rsid w:val="003474B8"/>
    <w:rsid w:val="00350A8F"/>
    <w:rsid w:val="00350B63"/>
    <w:rsid w:val="00357C60"/>
    <w:rsid w:val="00360596"/>
    <w:rsid w:val="00362186"/>
    <w:rsid w:val="00370483"/>
    <w:rsid w:val="0037172F"/>
    <w:rsid w:val="00371B00"/>
    <w:rsid w:val="00373A78"/>
    <w:rsid w:val="00373FF4"/>
    <w:rsid w:val="003760B5"/>
    <w:rsid w:val="003768CE"/>
    <w:rsid w:val="00380FC3"/>
    <w:rsid w:val="00384798"/>
    <w:rsid w:val="00386FB7"/>
    <w:rsid w:val="00392FBB"/>
    <w:rsid w:val="00393202"/>
    <w:rsid w:val="003948B0"/>
    <w:rsid w:val="00394B5A"/>
    <w:rsid w:val="0039755C"/>
    <w:rsid w:val="00397D7D"/>
    <w:rsid w:val="00397FE6"/>
    <w:rsid w:val="003A1A39"/>
    <w:rsid w:val="003A780E"/>
    <w:rsid w:val="003B0631"/>
    <w:rsid w:val="003B2862"/>
    <w:rsid w:val="003B3ADC"/>
    <w:rsid w:val="003C13ED"/>
    <w:rsid w:val="003C2984"/>
    <w:rsid w:val="003C5906"/>
    <w:rsid w:val="003C7229"/>
    <w:rsid w:val="003D0401"/>
    <w:rsid w:val="003D205A"/>
    <w:rsid w:val="003D24B4"/>
    <w:rsid w:val="003D3BB3"/>
    <w:rsid w:val="003D4A7B"/>
    <w:rsid w:val="003E0611"/>
    <w:rsid w:val="003E1686"/>
    <w:rsid w:val="003E31AB"/>
    <w:rsid w:val="003E3BE3"/>
    <w:rsid w:val="003E3E81"/>
    <w:rsid w:val="003E4EDC"/>
    <w:rsid w:val="003E535F"/>
    <w:rsid w:val="003E6AF6"/>
    <w:rsid w:val="003E77FD"/>
    <w:rsid w:val="003E7902"/>
    <w:rsid w:val="003F1B9D"/>
    <w:rsid w:val="003F444B"/>
    <w:rsid w:val="00400DBD"/>
    <w:rsid w:val="00401500"/>
    <w:rsid w:val="00401946"/>
    <w:rsid w:val="004073D5"/>
    <w:rsid w:val="00410204"/>
    <w:rsid w:val="00412BC8"/>
    <w:rsid w:val="00416192"/>
    <w:rsid w:val="00416845"/>
    <w:rsid w:val="00417BB6"/>
    <w:rsid w:val="004213B0"/>
    <w:rsid w:val="00422C92"/>
    <w:rsid w:val="0042324A"/>
    <w:rsid w:val="004232F7"/>
    <w:rsid w:val="004233B1"/>
    <w:rsid w:val="00423911"/>
    <w:rsid w:val="0042586A"/>
    <w:rsid w:val="00432758"/>
    <w:rsid w:val="004343DF"/>
    <w:rsid w:val="00440987"/>
    <w:rsid w:val="00440B75"/>
    <w:rsid w:val="00442C32"/>
    <w:rsid w:val="00443623"/>
    <w:rsid w:val="004442A8"/>
    <w:rsid w:val="00450AD3"/>
    <w:rsid w:val="004543CC"/>
    <w:rsid w:val="00454CBE"/>
    <w:rsid w:val="00462931"/>
    <w:rsid w:val="004632E0"/>
    <w:rsid w:val="004704A6"/>
    <w:rsid w:val="004711FA"/>
    <w:rsid w:val="004730FA"/>
    <w:rsid w:val="00475969"/>
    <w:rsid w:val="00476078"/>
    <w:rsid w:val="0048204F"/>
    <w:rsid w:val="0048476F"/>
    <w:rsid w:val="00490400"/>
    <w:rsid w:val="004906D3"/>
    <w:rsid w:val="00491194"/>
    <w:rsid w:val="004912F4"/>
    <w:rsid w:val="004914D9"/>
    <w:rsid w:val="00491632"/>
    <w:rsid w:val="00491636"/>
    <w:rsid w:val="0049254E"/>
    <w:rsid w:val="00493149"/>
    <w:rsid w:val="00497CC8"/>
    <w:rsid w:val="004A02DE"/>
    <w:rsid w:val="004A1243"/>
    <w:rsid w:val="004A3369"/>
    <w:rsid w:val="004A6403"/>
    <w:rsid w:val="004A655F"/>
    <w:rsid w:val="004B02F7"/>
    <w:rsid w:val="004B1B8E"/>
    <w:rsid w:val="004B3C65"/>
    <w:rsid w:val="004C07BD"/>
    <w:rsid w:val="004C1C88"/>
    <w:rsid w:val="004C27FB"/>
    <w:rsid w:val="004C2CFF"/>
    <w:rsid w:val="004C523A"/>
    <w:rsid w:val="004C5703"/>
    <w:rsid w:val="004C5BE1"/>
    <w:rsid w:val="004C6CCE"/>
    <w:rsid w:val="004C6DE4"/>
    <w:rsid w:val="004D12E2"/>
    <w:rsid w:val="004D1B23"/>
    <w:rsid w:val="004D5DAF"/>
    <w:rsid w:val="004D6436"/>
    <w:rsid w:val="004D7A38"/>
    <w:rsid w:val="004E0406"/>
    <w:rsid w:val="004E09D6"/>
    <w:rsid w:val="004E533A"/>
    <w:rsid w:val="004E72C7"/>
    <w:rsid w:val="004E7694"/>
    <w:rsid w:val="004F0550"/>
    <w:rsid w:val="004F1C61"/>
    <w:rsid w:val="004F7896"/>
    <w:rsid w:val="005028F8"/>
    <w:rsid w:val="00507E6C"/>
    <w:rsid w:val="00510029"/>
    <w:rsid w:val="0051013E"/>
    <w:rsid w:val="00511B9A"/>
    <w:rsid w:val="00512548"/>
    <w:rsid w:val="0051351C"/>
    <w:rsid w:val="00514A54"/>
    <w:rsid w:val="005151DF"/>
    <w:rsid w:val="00516239"/>
    <w:rsid w:val="005208C4"/>
    <w:rsid w:val="00521067"/>
    <w:rsid w:val="00521D70"/>
    <w:rsid w:val="005253C7"/>
    <w:rsid w:val="00526D8F"/>
    <w:rsid w:val="00530327"/>
    <w:rsid w:val="00530E0E"/>
    <w:rsid w:val="005315CD"/>
    <w:rsid w:val="005341AD"/>
    <w:rsid w:val="00535CBA"/>
    <w:rsid w:val="00541BC1"/>
    <w:rsid w:val="005455B7"/>
    <w:rsid w:val="0054666C"/>
    <w:rsid w:val="0054778A"/>
    <w:rsid w:val="005517EB"/>
    <w:rsid w:val="00551C57"/>
    <w:rsid w:val="005548E0"/>
    <w:rsid w:val="00555650"/>
    <w:rsid w:val="00556CD2"/>
    <w:rsid w:val="00557D80"/>
    <w:rsid w:val="0056174F"/>
    <w:rsid w:val="00563439"/>
    <w:rsid w:val="00570862"/>
    <w:rsid w:val="005726B2"/>
    <w:rsid w:val="00575C55"/>
    <w:rsid w:val="00576EDA"/>
    <w:rsid w:val="005802EA"/>
    <w:rsid w:val="00583415"/>
    <w:rsid w:val="005904BA"/>
    <w:rsid w:val="00591193"/>
    <w:rsid w:val="005A0EC6"/>
    <w:rsid w:val="005A2351"/>
    <w:rsid w:val="005A46F5"/>
    <w:rsid w:val="005A4DE0"/>
    <w:rsid w:val="005B030D"/>
    <w:rsid w:val="005B1DF6"/>
    <w:rsid w:val="005B29C1"/>
    <w:rsid w:val="005B3765"/>
    <w:rsid w:val="005B3927"/>
    <w:rsid w:val="005B59D8"/>
    <w:rsid w:val="005B7669"/>
    <w:rsid w:val="005B7A83"/>
    <w:rsid w:val="005C167C"/>
    <w:rsid w:val="005C6303"/>
    <w:rsid w:val="005D16B0"/>
    <w:rsid w:val="005D5E9F"/>
    <w:rsid w:val="005D678C"/>
    <w:rsid w:val="005E0539"/>
    <w:rsid w:val="005E2060"/>
    <w:rsid w:val="005E2D58"/>
    <w:rsid w:val="005E379F"/>
    <w:rsid w:val="005F1985"/>
    <w:rsid w:val="005F2BD1"/>
    <w:rsid w:val="005F5D72"/>
    <w:rsid w:val="005F623C"/>
    <w:rsid w:val="006020CE"/>
    <w:rsid w:val="00602402"/>
    <w:rsid w:val="00606D9E"/>
    <w:rsid w:val="00606DC2"/>
    <w:rsid w:val="00607BEB"/>
    <w:rsid w:val="00607D0A"/>
    <w:rsid w:val="00613987"/>
    <w:rsid w:val="00613CEA"/>
    <w:rsid w:val="00616F8F"/>
    <w:rsid w:val="00617E95"/>
    <w:rsid w:val="00620199"/>
    <w:rsid w:val="00621CAC"/>
    <w:rsid w:val="00622D96"/>
    <w:rsid w:val="00625B23"/>
    <w:rsid w:val="00625E04"/>
    <w:rsid w:val="0062633F"/>
    <w:rsid w:val="00633B98"/>
    <w:rsid w:val="0063516C"/>
    <w:rsid w:val="00643929"/>
    <w:rsid w:val="00651619"/>
    <w:rsid w:val="00651862"/>
    <w:rsid w:val="006526C6"/>
    <w:rsid w:val="00652B9A"/>
    <w:rsid w:val="00653A00"/>
    <w:rsid w:val="00655542"/>
    <w:rsid w:val="0065592E"/>
    <w:rsid w:val="00663F74"/>
    <w:rsid w:val="00663FCB"/>
    <w:rsid w:val="00665643"/>
    <w:rsid w:val="0066757B"/>
    <w:rsid w:val="00667B83"/>
    <w:rsid w:val="00670689"/>
    <w:rsid w:val="0068180D"/>
    <w:rsid w:val="00682633"/>
    <w:rsid w:val="006865FF"/>
    <w:rsid w:val="006878FD"/>
    <w:rsid w:val="006908BB"/>
    <w:rsid w:val="00690DC1"/>
    <w:rsid w:val="00691306"/>
    <w:rsid w:val="006923E2"/>
    <w:rsid w:val="00692BF5"/>
    <w:rsid w:val="0069517D"/>
    <w:rsid w:val="0069729A"/>
    <w:rsid w:val="006A1C02"/>
    <w:rsid w:val="006A4344"/>
    <w:rsid w:val="006A49AD"/>
    <w:rsid w:val="006B045A"/>
    <w:rsid w:val="006B2DBB"/>
    <w:rsid w:val="006B5836"/>
    <w:rsid w:val="006B6E81"/>
    <w:rsid w:val="006B7718"/>
    <w:rsid w:val="006B795A"/>
    <w:rsid w:val="006C06BF"/>
    <w:rsid w:val="006C1E69"/>
    <w:rsid w:val="006D05A6"/>
    <w:rsid w:val="006D22FE"/>
    <w:rsid w:val="006D4357"/>
    <w:rsid w:val="006D7304"/>
    <w:rsid w:val="006D7496"/>
    <w:rsid w:val="006E156B"/>
    <w:rsid w:val="006E52ED"/>
    <w:rsid w:val="006F0085"/>
    <w:rsid w:val="00703619"/>
    <w:rsid w:val="00710092"/>
    <w:rsid w:val="00711BC2"/>
    <w:rsid w:val="00714D00"/>
    <w:rsid w:val="00715EED"/>
    <w:rsid w:val="007230C9"/>
    <w:rsid w:val="00723CFA"/>
    <w:rsid w:val="00727201"/>
    <w:rsid w:val="007319E8"/>
    <w:rsid w:val="007333F7"/>
    <w:rsid w:val="00733AC3"/>
    <w:rsid w:val="00734756"/>
    <w:rsid w:val="00734EB9"/>
    <w:rsid w:val="0074052B"/>
    <w:rsid w:val="00740720"/>
    <w:rsid w:val="00741B63"/>
    <w:rsid w:val="00743D68"/>
    <w:rsid w:val="00745914"/>
    <w:rsid w:val="0074617F"/>
    <w:rsid w:val="007502E9"/>
    <w:rsid w:val="00752F46"/>
    <w:rsid w:val="00754D24"/>
    <w:rsid w:val="00754DB3"/>
    <w:rsid w:val="0076073B"/>
    <w:rsid w:val="00762729"/>
    <w:rsid w:val="00762E4C"/>
    <w:rsid w:val="00765E15"/>
    <w:rsid w:val="00771616"/>
    <w:rsid w:val="00772819"/>
    <w:rsid w:val="00774607"/>
    <w:rsid w:val="00776D17"/>
    <w:rsid w:val="00777754"/>
    <w:rsid w:val="007778B2"/>
    <w:rsid w:val="00780413"/>
    <w:rsid w:val="00780E03"/>
    <w:rsid w:val="00785C73"/>
    <w:rsid w:val="00787BBF"/>
    <w:rsid w:val="00795070"/>
    <w:rsid w:val="007A1059"/>
    <w:rsid w:val="007A512C"/>
    <w:rsid w:val="007A5A38"/>
    <w:rsid w:val="007A66EB"/>
    <w:rsid w:val="007A73F7"/>
    <w:rsid w:val="007B0B32"/>
    <w:rsid w:val="007B1323"/>
    <w:rsid w:val="007B2743"/>
    <w:rsid w:val="007B29CA"/>
    <w:rsid w:val="007B5815"/>
    <w:rsid w:val="007B60D6"/>
    <w:rsid w:val="007B7241"/>
    <w:rsid w:val="007B7E06"/>
    <w:rsid w:val="007C1C43"/>
    <w:rsid w:val="007C1FF3"/>
    <w:rsid w:val="007C2973"/>
    <w:rsid w:val="007C2AA0"/>
    <w:rsid w:val="007D0798"/>
    <w:rsid w:val="007D2B86"/>
    <w:rsid w:val="007D3F19"/>
    <w:rsid w:val="007E3F06"/>
    <w:rsid w:val="007E52E4"/>
    <w:rsid w:val="007F0CCB"/>
    <w:rsid w:val="007F3C3E"/>
    <w:rsid w:val="007F536E"/>
    <w:rsid w:val="007F569D"/>
    <w:rsid w:val="007F79FC"/>
    <w:rsid w:val="0080047B"/>
    <w:rsid w:val="00800859"/>
    <w:rsid w:val="00803CFD"/>
    <w:rsid w:val="008060D7"/>
    <w:rsid w:val="0080640E"/>
    <w:rsid w:val="00806B29"/>
    <w:rsid w:val="008070ED"/>
    <w:rsid w:val="00815695"/>
    <w:rsid w:val="00820B19"/>
    <w:rsid w:val="00821935"/>
    <w:rsid w:val="00822DD4"/>
    <w:rsid w:val="008234FC"/>
    <w:rsid w:val="0082525C"/>
    <w:rsid w:val="00827A8E"/>
    <w:rsid w:val="00832B59"/>
    <w:rsid w:val="00834D0D"/>
    <w:rsid w:val="00835452"/>
    <w:rsid w:val="00835E1C"/>
    <w:rsid w:val="00841BC1"/>
    <w:rsid w:val="008462DD"/>
    <w:rsid w:val="00851E09"/>
    <w:rsid w:val="008530AA"/>
    <w:rsid w:val="008530F9"/>
    <w:rsid w:val="00863988"/>
    <w:rsid w:val="0086573D"/>
    <w:rsid w:val="00865930"/>
    <w:rsid w:val="008663E8"/>
    <w:rsid w:val="0087085C"/>
    <w:rsid w:val="008723A0"/>
    <w:rsid w:val="00873E3F"/>
    <w:rsid w:val="00876DFF"/>
    <w:rsid w:val="00877FA3"/>
    <w:rsid w:val="00881016"/>
    <w:rsid w:val="008840B6"/>
    <w:rsid w:val="0088423E"/>
    <w:rsid w:val="0088765C"/>
    <w:rsid w:val="0089288A"/>
    <w:rsid w:val="00893128"/>
    <w:rsid w:val="008937C1"/>
    <w:rsid w:val="008A254D"/>
    <w:rsid w:val="008A5C0C"/>
    <w:rsid w:val="008A6FD7"/>
    <w:rsid w:val="008B01C8"/>
    <w:rsid w:val="008B5881"/>
    <w:rsid w:val="008C1BEE"/>
    <w:rsid w:val="008C1BFD"/>
    <w:rsid w:val="008C3892"/>
    <w:rsid w:val="008C6F9D"/>
    <w:rsid w:val="008C72EF"/>
    <w:rsid w:val="008D0CE3"/>
    <w:rsid w:val="008E0179"/>
    <w:rsid w:val="008E0268"/>
    <w:rsid w:val="008E09E8"/>
    <w:rsid w:val="008E54D3"/>
    <w:rsid w:val="008F221D"/>
    <w:rsid w:val="008F336F"/>
    <w:rsid w:val="008F5626"/>
    <w:rsid w:val="008F5C9A"/>
    <w:rsid w:val="008F69A2"/>
    <w:rsid w:val="008F6DD2"/>
    <w:rsid w:val="008F72A4"/>
    <w:rsid w:val="009018EF"/>
    <w:rsid w:val="00902AD8"/>
    <w:rsid w:val="009031B7"/>
    <w:rsid w:val="00904B15"/>
    <w:rsid w:val="00907F40"/>
    <w:rsid w:val="009125D9"/>
    <w:rsid w:val="00915CBE"/>
    <w:rsid w:val="00920230"/>
    <w:rsid w:val="00923D23"/>
    <w:rsid w:val="00923D5A"/>
    <w:rsid w:val="0092692D"/>
    <w:rsid w:val="0092708D"/>
    <w:rsid w:val="00930E45"/>
    <w:rsid w:val="00931E91"/>
    <w:rsid w:val="00932D68"/>
    <w:rsid w:val="009341C8"/>
    <w:rsid w:val="009342EE"/>
    <w:rsid w:val="009369C9"/>
    <w:rsid w:val="00936E9A"/>
    <w:rsid w:val="0095361E"/>
    <w:rsid w:val="009547B6"/>
    <w:rsid w:val="00955180"/>
    <w:rsid w:val="009555C1"/>
    <w:rsid w:val="00964DAB"/>
    <w:rsid w:val="00971B4B"/>
    <w:rsid w:val="00971D15"/>
    <w:rsid w:val="00971EEC"/>
    <w:rsid w:val="0098180C"/>
    <w:rsid w:val="00985830"/>
    <w:rsid w:val="00986D45"/>
    <w:rsid w:val="00987895"/>
    <w:rsid w:val="0099104C"/>
    <w:rsid w:val="009926D1"/>
    <w:rsid w:val="00993FAD"/>
    <w:rsid w:val="00997751"/>
    <w:rsid w:val="009A0031"/>
    <w:rsid w:val="009A36B4"/>
    <w:rsid w:val="009A71B2"/>
    <w:rsid w:val="009A77FB"/>
    <w:rsid w:val="009B1C9E"/>
    <w:rsid w:val="009B2F08"/>
    <w:rsid w:val="009B4C70"/>
    <w:rsid w:val="009B5BD7"/>
    <w:rsid w:val="009B6069"/>
    <w:rsid w:val="009B66DC"/>
    <w:rsid w:val="009B69B7"/>
    <w:rsid w:val="009C2E99"/>
    <w:rsid w:val="009D0250"/>
    <w:rsid w:val="009D1310"/>
    <w:rsid w:val="009D3028"/>
    <w:rsid w:val="009D369E"/>
    <w:rsid w:val="009D3FC6"/>
    <w:rsid w:val="009D5554"/>
    <w:rsid w:val="009D6753"/>
    <w:rsid w:val="009E2FD9"/>
    <w:rsid w:val="009E53B0"/>
    <w:rsid w:val="009F27CA"/>
    <w:rsid w:val="009F2CBC"/>
    <w:rsid w:val="009F4ED6"/>
    <w:rsid w:val="009F522C"/>
    <w:rsid w:val="00A051E0"/>
    <w:rsid w:val="00A10DEF"/>
    <w:rsid w:val="00A1187E"/>
    <w:rsid w:val="00A12641"/>
    <w:rsid w:val="00A12DB4"/>
    <w:rsid w:val="00A1325C"/>
    <w:rsid w:val="00A13346"/>
    <w:rsid w:val="00A13E1B"/>
    <w:rsid w:val="00A17643"/>
    <w:rsid w:val="00A20A18"/>
    <w:rsid w:val="00A21AA9"/>
    <w:rsid w:val="00A21B6D"/>
    <w:rsid w:val="00A21F29"/>
    <w:rsid w:val="00A3053C"/>
    <w:rsid w:val="00A32C42"/>
    <w:rsid w:val="00A41089"/>
    <w:rsid w:val="00A4175A"/>
    <w:rsid w:val="00A431BC"/>
    <w:rsid w:val="00A53CD9"/>
    <w:rsid w:val="00A549B5"/>
    <w:rsid w:val="00A572E2"/>
    <w:rsid w:val="00A62348"/>
    <w:rsid w:val="00A640A7"/>
    <w:rsid w:val="00A65C30"/>
    <w:rsid w:val="00A65E1F"/>
    <w:rsid w:val="00A665F2"/>
    <w:rsid w:val="00A71969"/>
    <w:rsid w:val="00A71B8B"/>
    <w:rsid w:val="00A72BB3"/>
    <w:rsid w:val="00A73343"/>
    <w:rsid w:val="00A75E48"/>
    <w:rsid w:val="00A76FA7"/>
    <w:rsid w:val="00A81D65"/>
    <w:rsid w:val="00A835FA"/>
    <w:rsid w:val="00A8611C"/>
    <w:rsid w:val="00A92363"/>
    <w:rsid w:val="00A92702"/>
    <w:rsid w:val="00AA11C2"/>
    <w:rsid w:val="00AA157F"/>
    <w:rsid w:val="00AA3713"/>
    <w:rsid w:val="00AA437D"/>
    <w:rsid w:val="00AB1B91"/>
    <w:rsid w:val="00AB7D0B"/>
    <w:rsid w:val="00AC0545"/>
    <w:rsid w:val="00AC5413"/>
    <w:rsid w:val="00AC6599"/>
    <w:rsid w:val="00AD1149"/>
    <w:rsid w:val="00AD12E0"/>
    <w:rsid w:val="00AD6F4D"/>
    <w:rsid w:val="00AD7FE7"/>
    <w:rsid w:val="00AE165B"/>
    <w:rsid w:val="00AE2026"/>
    <w:rsid w:val="00AE28F7"/>
    <w:rsid w:val="00AE2DC5"/>
    <w:rsid w:val="00AE3341"/>
    <w:rsid w:val="00AE4C6A"/>
    <w:rsid w:val="00AE54DB"/>
    <w:rsid w:val="00AE63FB"/>
    <w:rsid w:val="00AF2CF0"/>
    <w:rsid w:val="00AF4161"/>
    <w:rsid w:val="00B03FE5"/>
    <w:rsid w:val="00B05306"/>
    <w:rsid w:val="00B07248"/>
    <w:rsid w:val="00B100BE"/>
    <w:rsid w:val="00B1090D"/>
    <w:rsid w:val="00B12435"/>
    <w:rsid w:val="00B15C38"/>
    <w:rsid w:val="00B1781C"/>
    <w:rsid w:val="00B201A7"/>
    <w:rsid w:val="00B20F93"/>
    <w:rsid w:val="00B246E5"/>
    <w:rsid w:val="00B251B8"/>
    <w:rsid w:val="00B25901"/>
    <w:rsid w:val="00B30B9D"/>
    <w:rsid w:val="00B329BB"/>
    <w:rsid w:val="00B3491C"/>
    <w:rsid w:val="00B37F81"/>
    <w:rsid w:val="00B4154D"/>
    <w:rsid w:val="00B430C9"/>
    <w:rsid w:val="00B43178"/>
    <w:rsid w:val="00B43944"/>
    <w:rsid w:val="00B46D12"/>
    <w:rsid w:val="00B475ED"/>
    <w:rsid w:val="00B47AA2"/>
    <w:rsid w:val="00B526F6"/>
    <w:rsid w:val="00B53D92"/>
    <w:rsid w:val="00B55107"/>
    <w:rsid w:val="00B60CD0"/>
    <w:rsid w:val="00B6254B"/>
    <w:rsid w:val="00B62C4F"/>
    <w:rsid w:val="00B63F1A"/>
    <w:rsid w:val="00B6450A"/>
    <w:rsid w:val="00B66C74"/>
    <w:rsid w:val="00B6718B"/>
    <w:rsid w:val="00B734A3"/>
    <w:rsid w:val="00B8323F"/>
    <w:rsid w:val="00B8461D"/>
    <w:rsid w:val="00B84B9F"/>
    <w:rsid w:val="00B87621"/>
    <w:rsid w:val="00B87FD4"/>
    <w:rsid w:val="00B94E2B"/>
    <w:rsid w:val="00B976AE"/>
    <w:rsid w:val="00BA0F46"/>
    <w:rsid w:val="00BA3E09"/>
    <w:rsid w:val="00BA5FB6"/>
    <w:rsid w:val="00BA7718"/>
    <w:rsid w:val="00BA7805"/>
    <w:rsid w:val="00BB0088"/>
    <w:rsid w:val="00BB26BA"/>
    <w:rsid w:val="00BB6867"/>
    <w:rsid w:val="00BB69FD"/>
    <w:rsid w:val="00BC129A"/>
    <w:rsid w:val="00BD3B75"/>
    <w:rsid w:val="00BD4934"/>
    <w:rsid w:val="00BD506A"/>
    <w:rsid w:val="00BD5DDD"/>
    <w:rsid w:val="00BD6FE2"/>
    <w:rsid w:val="00BE2B66"/>
    <w:rsid w:val="00BE4B26"/>
    <w:rsid w:val="00BE59E9"/>
    <w:rsid w:val="00BF0D43"/>
    <w:rsid w:val="00BF28F8"/>
    <w:rsid w:val="00BF52D1"/>
    <w:rsid w:val="00BF7687"/>
    <w:rsid w:val="00C00925"/>
    <w:rsid w:val="00C00C4A"/>
    <w:rsid w:val="00C0165F"/>
    <w:rsid w:val="00C01C6F"/>
    <w:rsid w:val="00C110E6"/>
    <w:rsid w:val="00C11D89"/>
    <w:rsid w:val="00C122B6"/>
    <w:rsid w:val="00C149EF"/>
    <w:rsid w:val="00C14C30"/>
    <w:rsid w:val="00C15F22"/>
    <w:rsid w:val="00C16A3C"/>
    <w:rsid w:val="00C16F8A"/>
    <w:rsid w:val="00C23C21"/>
    <w:rsid w:val="00C26D0B"/>
    <w:rsid w:val="00C27E0A"/>
    <w:rsid w:val="00C30ED3"/>
    <w:rsid w:val="00C31E6A"/>
    <w:rsid w:val="00C321D1"/>
    <w:rsid w:val="00C327E9"/>
    <w:rsid w:val="00C34A5C"/>
    <w:rsid w:val="00C4037D"/>
    <w:rsid w:val="00C407CD"/>
    <w:rsid w:val="00C409E9"/>
    <w:rsid w:val="00C42BDD"/>
    <w:rsid w:val="00C44466"/>
    <w:rsid w:val="00C44879"/>
    <w:rsid w:val="00C44AA1"/>
    <w:rsid w:val="00C45C72"/>
    <w:rsid w:val="00C466FF"/>
    <w:rsid w:val="00C468CE"/>
    <w:rsid w:val="00C47616"/>
    <w:rsid w:val="00C47D8C"/>
    <w:rsid w:val="00C53427"/>
    <w:rsid w:val="00C5708C"/>
    <w:rsid w:val="00C61BD9"/>
    <w:rsid w:val="00C63A22"/>
    <w:rsid w:val="00C654BB"/>
    <w:rsid w:val="00C669A5"/>
    <w:rsid w:val="00C66AF5"/>
    <w:rsid w:val="00C66D0C"/>
    <w:rsid w:val="00C72034"/>
    <w:rsid w:val="00C7451D"/>
    <w:rsid w:val="00C774D3"/>
    <w:rsid w:val="00C7763B"/>
    <w:rsid w:val="00C8365D"/>
    <w:rsid w:val="00C856B8"/>
    <w:rsid w:val="00C868EE"/>
    <w:rsid w:val="00C87B2B"/>
    <w:rsid w:val="00C90B53"/>
    <w:rsid w:val="00C932F8"/>
    <w:rsid w:val="00C95DC8"/>
    <w:rsid w:val="00C95FEF"/>
    <w:rsid w:val="00CA02F3"/>
    <w:rsid w:val="00CA095E"/>
    <w:rsid w:val="00CA0A2D"/>
    <w:rsid w:val="00CA11F4"/>
    <w:rsid w:val="00CA38B8"/>
    <w:rsid w:val="00CA3BCD"/>
    <w:rsid w:val="00CA55B8"/>
    <w:rsid w:val="00CA6047"/>
    <w:rsid w:val="00CA7291"/>
    <w:rsid w:val="00CB1CA9"/>
    <w:rsid w:val="00CB3B84"/>
    <w:rsid w:val="00CB504F"/>
    <w:rsid w:val="00CB5243"/>
    <w:rsid w:val="00CB53CE"/>
    <w:rsid w:val="00CB632B"/>
    <w:rsid w:val="00CC141D"/>
    <w:rsid w:val="00CC1ED8"/>
    <w:rsid w:val="00CC2870"/>
    <w:rsid w:val="00CC43FA"/>
    <w:rsid w:val="00CC4795"/>
    <w:rsid w:val="00CC596C"/>
    <w:rsid w:val="00CD0A38"/>
    <w:rsid w:val="00CD5CDD"/>
    <w:rsid w:val="00CD7CBF"/>
    <w:rsid w:val="00CE2990"/>
    <w:rsid w:val="00CF0E1F"/>
    <w:rsid w:val="00D01E8D"/>
    <w:rsid w:val="00D02E89"/>
    <w:rsid w:val="00D02F1F"/>
    <w:rsid w:val="00D07285"/>
    <w:rsid w:val="00D11C07"/>
    <w:rsid w:val="00D1307F"/>
    <w:rsid w:val="00D14024"/>
    <w:rsid w:val="00D166BD"/>
    <w:rsid w:val="00D170C5"/>
    <w:rsid w:val="00D2071A"/>
    <w:rsid w:val="00D226C2"/>
    <w:rsid w:val="00D245CD"/>
    <w:rsid w:val="00D24B26"/>
    <w:rsid w:val="00D25E72"/>
    <w:rsid w:val="00D37501"/>
    <w:rsid w:val="00D402D2"/>
    <w:rsid w:val="00D43273"/>
    <w:rsid w:val="00D43544"/>
    <w:rsid w:val="00D4745C"/>
    <w:rsid w:val="00D51AB8"/>
    <w:rsid w:val="00D53C12"/>
    <w:rsid w:val="00D60877"/>
    <w:rsid w:val="00D61783"/>
    <w:rsid w:val="00D61C22"/>
    <w:rsid w:val="00D621EF"/>
    <w:rsid w:val="00D72149"/>
    <w:rsid w:val="00D726F7"/>
    <w:rsid w:val="00D73D2A"/>
    <w:rsid w:val="00D75905"/>
    <w:rsid w:val="00D761CF"/>
    <w:rsid w:val="00D76488"/>
    <w:rsid w:val="00D77792"/>
    <w:rsid w:val="00D80442"/>
    <w:rsid w:val="00D80FA6"/>
    <w:rsid w:val="00D81BE3"/>
    <w:rsid w:val="00D81FEF"/>
    <w:rsid w:val="00D867BA"/>
    <w:rsid w:val="00D86923"/>
    <w:rsid w:val="00D9048E"/>
    <w:rsid w:val="00D9109D"/>
    <w:rsid w:val="00D936BA"/>
    <w:rsid w:val="00D9520C"/>
    <w:rsid w:val="00D96672"/>
    <w:rsid w:val="00DA041B"/>
    <w:rsid w:val="00DA6129"/>
    <w:rsid w:val="00DB0313"/>
    <w:rsid w:val="00DB4777"/>
    <w:rsid w:val="00DC243C"/>
    <w:rsid w:val="00DC24A0"/>
    <w:rsid w:val="00DC402B"/>
    <w:rsid w:val="00DC492C"/>
    <w:rsid w:val="00DC50D5"/>
    <w:rsid w:val="00DC718A"/>
    <w:rsid w:val="00DC772F"/>
    <w:rsid w:val="00DD2089"/>
    <w:rsid w:val="00DD43C2"/>
    <w:rsid w:val="00DD7969"/>
    <w:rsid w:val="00DE13AD"/>
    <w:rsid w:val="00DE54E7"/>
    <w:rsid w:val="00DE72C6"/>
    <w:rsid w:val="00DE7644"/>
    <w:rsid w:val="00DF12AA"/>
    <w:rsid w:val="00DF20CB"/>
    <w:rsid w:val="00DF4A39"/>
    <w:rsid w:val="00DF5283"/>
    <w:rsid w:val="00DF6353"/>
    <w:rsid w:val="00DF69D9"/>
    <w:rsid w:val="00E037FA"/>
    <w:rsid w:val="00E039BC"/>
    <w:rsid w:val="00E03D52"/>
    <w:rsid w:val="00E04C31"/>
    <w:rsid w:val="00E07321"/>
    <w:rsid w:val="00E0733C"/>
    <w:rsid w:val="00E11C30"/>
    <w:rsid w:val="00E11F19"/>
    <w:rsid w:val="00E15053"/>
    <w:rsid w:val="00E15A6B"/>
    <w:rsid w:val="00E15C75"/>
    <w:rsid w:val="00E20112"/>
    <w:rsid w:val="00E2121C"/>
    <w:rsid w:val="00E2281D"/>
    <w:rsid w:val="00E238AE"/>
    <w:rsid w:val="00E25812"/>
    <w:rsid w:val="00E30D36"/>
    <w:rsid w:val="00E32933"/>
    <w:rsid w:val="00E34D0E"/>
    <w:rsid w:val="00E34DA5"/>
    <w:rsid w:val="00E35F5E"/>
    <w:rsid w:val="00E37E18"/>
    <w:rsid w:val="00E41041"/>
    <w:rsid w:val="00E412C3"/>
    <w:rsid w:val="00E42383"/>
    <w:rsid w:val="00E44657"/>
    <w:rsid w:val="00E51EEC"/>
    <w:rsid w:val="00E53EBC"/>
    <w:rsid w:val="00E54F10"/>
    <w:rsid w:val="00E563AB"/>
    <w:rsid w:val="00E56D96"/>
    <w:rsid w:val="00E57DB4"/>
    <w:rsid w:val="00E657C2"/>
    <w:rsid w:val="00E66B2A"/>
    <w:rsid w:val="00E73E88"/>
    <w:rsid w:val="00E748FA"/>
    <w:rsid w:val="00E80D0A"/>
    <w:rsid w:val="00E82EB2"/>
    <w:rsid w:val="00E86781"/>
    <w:rsid w:val="00E86ECF"/>
    <w:rsid w:val="00E910CA"/>
    <w:rsid w:val="00E917B9"/>
    <w:rsid w:val="00E97418"/>
    <w:rsid w:val="00EA2C28"/>
    <w:rsid w:val="00EA3237"/>
    <w:rsid w:val="00EA519E"/>
    <w:rsid w:val="00EA79AA"/>
    <w:rsid w:val="00EB27F3"/>
    <w:rsid w:val="00EB2C91"/>
    <w:rsid w:val="00EB2E0F"/>
    <w:rsid w:val="00EB36A5"/>
    <w:rsid w:val="00EB430A"/>
    <w:rsid w:val="00EB52D2"/>
    <w:rsid w:val="00EB7829"/>
    <w:rsid w:val="00EC0153"/>
    <w:rsid w:val="00ED18E5"/>
    <w:rsid w:val="00ED3D6A"/>
    <w:rsid w:val="00ED4907"/>
    <w:rsid w:val="00ED4B80"/>
    <w:rsid w:val="00ED725A"/>
    <w:rsid w:val="00ED7DD0"/>
    <w:rsid w:val="00EE138C"/>
    <w:rsid w:val="00EE491B"/>
    <w:rsid w:val="00EF1C19"/>
    <w:rsid w:val="00EF2BF7"/>
    <w:rsid w:val="00EF37F9"/>
    <w:rsid w:val="00EF390F"/>
    <w:rsid w:val="00EF425E"/>
    <w:rsid w:val="00F000D1"/>
    <w:rsid w:val="00F01AB4"/>
    <w:rsid w:val="00F102F3"/>
    <w:rsid w:val="00F12A57"/>
    <w:rsid w:val="00F13C39"/>
    <w:rsid w:val="00F1455F"/>
    <w:rsid w:val="00F15DDB"/>
    <w:rsid w:val="00F16228"/>
    <w:rsid w:val="00F16A62"/>
    <w:rsid w:val="00F215E9"/>
    <w:rsid w:val="00F22CD7"/>
    <w:rsid w:val="00F24251"/>
    <w:rsid w:val="00F24574"/>
    <w:rsid w:val="00F2605F"/>
    <w:rsid w:val="00F3085E"/>
    <w:rsid w:val="00F357FF"/>
    <w:rsid w:val="00F36D46"/>
    <w:rsid w:val="00F40B75"/>
    <w:rsid w:val="00F434C1"/>
    <w:rsid w:val="00F4366C"/>
    <w:rsid w:val="00F46598"/>
    <w:rsid w:val="00F50E43"/>
    <w:rsid w:val="00F51CDF"/>
    <w:rsid w:val="00F52826"/>
    <w:rsid w:val="00F53B29"/>
    <w:rsid w:val="00F544F3"/>
    <w:rsid w:val="00F62279"/>
    <w:rsid w:val="00F6394C"/>
    <w:rsid w:val="00F64E46"/>
    <w:rsid w:val="00F65DB3"/>
    <w:rsid w:val="00F67484"/>
    <w:rsid w:val="00F71F6B"/>
    <w:rsid w:val="00F7207C"/>
    <w:rsid w:val="00F76B19"/>
    <w:rsid w:val="00F82E64"/>
    <w:rsid w:val="00F8334E"/>
    <w:rsid w:val="00F84800"/>
    <w:rsid w:val="00F873DE"/>
    <w:rsid w:val="00F87E91"/>
    <w:rsid w:val="00F901E2"/>
    <w:rsid w:val="00F90E66"/>
    <w:rsid w:val="00F92B97"/>
    <w:rsid w:val="00F92BBD"/>
    <w:rsid w:val="00F94448"/>
    <w:rsid w:val="00F95EA2"/>
    <w:rsid w:val="00FA0851"/>
    <w:rsid w:val="00FA1C56"/>
    <w:rsid w:val="00FA3AE2"/>
    <w:rsid w:val="00FA4A39"/>
    <w:rsid w:val="00FA541C"/>
    <w:rsid w:val="00FA5497"/>
    <w:rsid w:val="00FA574C"/>
    <w:rsid w:val="00FA6DC8"/>
    <w:rsid w:val="00FA7158"/>
    <w:rsid w:val="00FA74B9"/>
    <w:rsid w:val="00FA772F"/>
    <w:rsid w:val="00FB12B0"/>
    <w:rsid w:val="00FB31AE"/>
    <w:rsid w:val="00FB43B0"/>
    <w:rsid w:val="00FB4C6A"/>
    <w:rsid w:val="00FB511F"/>
    <w:rsid w:val="00FB53AF"/>
    <w:rsid w:val="00FB66D2"/>
    <w:rsid w:val="00FB7490"/>
    <w:rsid w:val="00FC032A"/>
    <w:rsid w:val="00FC2519"/>
    <w:rsid w:val="00FD0D88"/>
    <w:rsid w:val="00FD1832"/>
    <w:rsid w:val="00FD5B1E"/>
    <w:rsid w:val="00FD5C19"/>
    <w:rsid w:val="00FD6B82"/>
    <w:rsid w:val="00FE18B8"/>
    <w:rsid w:val="00FE2128"/>
    <w:rsid w:val="00FE7195"/>
    <w:rsid w:val="00FE78AE"/>
    <w:rsid w:val="00FF2C7D"/>
    <w:rsid w:val="00FF76DF"/>
    <w:rsid w:val="3B04372B"/>
    <w:rsid w:val="70ED3339"/>
    <w:rsid w:val="76B2560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qFormat="1" w:uiPriority="39" w:semiHidden="0" w:name="toc 4"/>
    <w:lsdException w:uiPriority="39" w:semiHidden="0" w:name="toc 5"/>
    <w:lsdException w:qFormat="1"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宋体" w:hAnsi="宋体" w:eastAsia="宋体" w:cs="宋体"/>
      <w:kern w:val="2"/>
      <w:sz w:val="24"/>
      <w:szCs w:val="24"/>
      <w:lang w:val="en-US" w:eastAsia="zh-CN" w:bidi="ar-SA"/>
    </w:rPr>
  </w:style>
  <w:style w:type="paragraph" w:styleId="2">
    <w:name w:val="heading 1"/>
    <w:basedOn w:val="1"/>
    <w:next w:val="1"/>
    <w:link w:val="30"/>
    <w:autoRedefine/>
    <w:qFormat/>
    <w:uiPriority w:val="9"/>
    <w:pPr>
      <w:keepNext/>
      <w:keepLines/>
      <w:numPr>
        <w:ilvl w:val="0"/>
        <w:numId w:val="1"/>
      </w:numPr>
      <w:spacing w:before="340" w:after="330" w:line="578" w:lineRule="auto"/>
      <w:ind w:firstLine="0" w:firstLineChars="0"/>
      <w:jc w:val="center"/>
      <w:outlineLvl w:val="0"/>
    </w:pPr>
    <w:rPr>
      <w:rFonts w:ascii="黑体" w:hAnsi="黑体" w:eastAsia="黑体" w:cs="黑体"/>
      <w:bCs/>
      <w:color w:val="000000"/>
      <w:kern w:val="44"/>
      <w:sz w:val="36"/>
      <w:szCs w:val="36"/>
    </w:rPr>
  </w:style>
  <w:style w:type="paragraph" w:styleId="3">
    <w:name w:val="heading 2"/>
    <w:basedOn w:val="1"/>
    <w:next w:val="1"/>
    <w:link w:val="31"/>
    <w:autoRedefine/>
    <w:unhideWhenUsed/>
    <w:qFormat/>
    <w:uiPriority w:val="9"/>
    <w:pPr>
      <w:keepNext/>
      <w:keepLines/>
      <w:numPr>
        <w:ilvl w:val="1"/>
        <w:numId w:val="1"/>
      </w:numPr>
      <w:spacing w:before="260" w:after="260" w:line="415" w:lineRule="auto"/>
      <w:ind w:firstLine="0" w:firstLineChars="0"/>
      <w:jc w:val="left"/>
      <w:outlineLvl w:val="1"/>
    </w:pPr>
    <w:rPr>
      <w:rFonts w:ascii="黑体" w:hAnsi="黑体" w:eastAsia="黑体" w:cs="黑体"/>
      <w:bCs/>
      <w:color w:val="000000"/>
      <w:sz w:val="28"/>
      <w:szCs w:val="28"/>
    </w:rPr>
  </w:style>
  <w:style w:type="paragraph" w:styleId="4">
    <w:name w:val="heading 3"/>
    <w:basedOn w:val="1"/>
    <w:next w:val="1"/>
    <w:link w:val="32"/>
    <w:autoRedefine/>
    <w:unhideWhenUsed/>
    <w:qFormat/>
    <w:uiPriority w:val="9"/>
    <w:pPr>
      <w:keepNext/>
      <w:keepLines/>
      <w:numPr>
        <w:ilvl w:val="2"/>
        <w:numId w:val="1"/>
      </w:numPr>
      <w:spacing w:before="260" w:after="260" w:line="415" w:lineRule="auto"/>
      <w:ind w:firstLine="0" w:firstLineChars="0"/>
      <w:outlineLvl w:val="2"/>
    </w:pPr>
    <w:rPr>
      <w:rFonts w:ascii="黑体" w:hAnsi="黑体" w:eastAsia="黑体" w:cs="黑体"/>
      <w:bCs/>
      <w:color w:val="000000"/>
    </w:rPr>
  </w:style>
  <w:style w:type="paragraph" w:styleId="5">
    <w:name w:val="heading 4"/>
    <w:basedOn w:val="1"/>
    <w:next w:val="1"/>
    <w:link w:val="33"/>
    <w:unhideWhenUsed/>
    <w:qFormat/>
    <w:uiPriority w:val="9"/>
    <w:pPr>
      <w:keepNext/>
      <w:keepLines/>
      <w:numPr>
        <w:ilvl w:val="3"/>
        <w:numId w:val="2"/>
      </w:numPr>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34"/>
    <w:semiHidden/>
    <w:unhideWhenUsed/>
    <w:qFormat/>
    <w:uiPriority w:val="9"/>
    <w:pPr>
      <w:keepNext/>
      <w:keepLines/>
      <w:numPr>
        <w:ilvl w:val="4"/>
        <w:numId w:val="2"/>
      </w:numPr>
      <w:spacing w:before="280" w:after="290" w:line="376" w:lineRule="auto"/>
      <w:outlineLvl w:val="4"/>
    </w:pPr>
    <w:rPr>
      <w:b/>
      <w:bCs/>
      <w:sz w:val="28"/>
      <w:szCs w:val="28"/>
    </w:rPr>
  </w:style>
  <w:style w:type="paragraph" w:styleId="7">
    <w:name w:val="heading 6"/>
    <w:basedOn w:val="1"/>
    <w:next w:val="1"/>
    <w:link w:val="35"/>
    <w:semiHidden/>
    <w:unhideWhenUsed/>
    <w:qFormat/>
    <w:uiPriority w:val="9"/>
    <w:pPr>
      <w:keepNext/>
      <w:keepLines/>
      <w:numPr>
        <w:ilvl w:val="5"/>
        <w:numId w:val="2"/>
      </w:numPr>
      <w:spacing w:before="240" w:after="64" w:line="320" w:lineRule="auto"/>
      <w:outlineLvl w:val="5"/>
    </w:pPr>
    <w:rPr>
      <w:rFonts w:asciiTheme="majorHAnsi" w:hAnsiTheme="majorHAnsi" w:eastAsiaTheme="majorEastAsia" w:cstheme="majorBidi"/>
      <w:b/>
      <w:bCs/>
    </w:rPr>
  </w:style>
  <w:style w:type="paragraph" w:styleId="8">
    <w:name w:val="heading 7"/>
    <w:basedOn w:val="1"/>
    <w:next w:val="1"/>
    <w:link w:val="36"/>
    <w:semiHidden/>
    <w:unhideWhenUsed/>
    <w:qFormat/>
    <w:uiPriority w:val="9"/>
    <w:pPr>
      <w:keepNext/>
      <w:keepLines/>
      <w:numPr>
        <w:ilvl w:val="6"/>
        <w:numId w:val="2"/>
      </w:numPr>
      <w:spacing w:before="240" w:after="64" w:line="320" w:lineRule="auto"/>
      <w:outlineLvl w:val="6"/>
    </w:pPr>
    <w:rPr>
      <w:b/>
      <w:bCs/>
    </w:rPr>
  </w:style>
  <w:style w:type="paragraph" w:styleId="9">
    <w:name w:val="heading 8"/>
    <w:basedOn w:val="1"/>
    <w:next w:val="1"/>
    <w:link w:val="37"/>
    <w:semiHidden/>
    <w:unhideWhenUsed/>
    <w:qFormat/>
    <w:uiPriority w:val="9"/>
    <w:pPr>
      <w:keepNext/>
      <w:keepLines/>
      <w:numPr>
        <w:ilvl w:val="7"/>
        <w:numId w:val="2"/>
      </w:numPr>
      <w:spacing w:before="240" w:after="64" w:line="320" w:lineRule="auto"/>
      <w:outlineLvl w:val="7"/>
    </w:pPr>
    <w:rPr>
      <w:rFonts w:asciiTheme="majorHAnsi" w:hAnsiTheme="majorHAnsi" w:eastAsiaTheme="majorEastAsia" w:cstheme="majorBidi"/>
    </w:rPr>
  </w:style>
  <w:style w:type="paragraph" w:styleId="10">
    <w:name w:val="heading 9"/>
    <w:basedOn w:val="1"/>
    <w:next w:val="1"/>
    <w:link w:val="38"/>
    <w:semiHidden/>
    <w:unhideWhenUsed/>
    <w:qFormat/>
    <w:uiPriority w:val="9"/>
    <w:pPr>
      <w:keepNext/>
      <w:keepLines/>
      <w:numPr>
        <w:ilvl w:val="8"/>
        <w:numId w:val="2"/>
      </w:numPr>
      <w:spacing w:before="240" w:after="64" w:line="320" w:lineRule="auto"/>
      <w:outlineLvl w:val="8"/>
    </w:pPr>
    <w:rPr>
      <w:rFonts w:asciiTheme="majorHAnsi" w:hAnsiTheme="majorHAnsi" w:eastAsiaTheme="majorEastAsia" w:cstheme="majorBidi"/>
      <w:szCs w:val="21"/>
    </w:rPr>
  </w:style>
  <w:style w:type="character" w:default="1" w:styleId="25">
    <w:name w:val="Default Paragraph Font"/>
    <w:semiHidden/>
    <w:unhideWhenUsed/>
    <w:uiPriority w:val="1"/>
  </w:style>
  <w:style w:type="table" w:default="1" w:styleId="24">
    <w:name w:val="Normal Table"/>
    <w:semiHidden/>
    <w:unhideWhenUsed/>
    <w:uiPriority w:val="99"/>
    <w:tblPr>
      <w:tblCellMar>
        <w:top w:w="0" w:type="dxa"/>
        <w:left w:w="108" w:type="dxa"/>
        <w:bottom w:w="0" w:type="dxa"/>
        <w:right w:w="108" w:type="dxa"/>
      </w:tblCellMar>
    </w:tblPr>
  </w:style>
  <w:style w:type="paragraph" w:styleId="11">
    <w:name w:val="toc 7"/>
    <w:basedOn w:val="1"/>
    <w:next w:val="1"/>
    <w:autoRedefine/>
    <w:unhideWhenUsed/>
    <w:uiPriority w:val="39"/>
    <w:pPr>
      <w:spacing w:line="240" w:lineRule="auto"/>
      <w:ind w:left="2520" w:leftChars="1200"/>
    </w:pPr>
    <w:rPr>
      <w:rFonts w:asciiTheme="minorHAnsi" w:hAnsiTheme="minorHAnsi" w:eastAsiaTheme="minorEastAsia" w:cstheme="minorBidi"/>
      <w:sz w:val="21"/>
      <w:szCs w:val="22"/>
    </w:rPr>
  </w:style>
  <w:style w:type="paragraph" w:styleId="12">
    <w:name w:val="toc 5"/>
    <w:basedOn w:val="1"/>
    <w:next w:val="1"/>
    <w:autoRedefine/>
    <w:unhideWhenUsed/>
    <w:uiPriority w:val="39"/>
    <w:pPr>
      <w:spacing w:line="240" w:lineRule="auto"/>
      <w:ind w:left="1680" w:leftChars="800"/>
    </w:pPr>
    <w:rPr>
      <w:rFonts w:asciiTheme="minorHAnsi" w:hAnsiTheme="minorHAnsi" w:eastAsiaTheme="minorEastAsia" w:cstheme="minorBidi"/>
      <w:sz w:val="21"/>
      <w:szCs w:val="22"/>
    </w:rPr>
  </w:style>
  <w:style w:type="paragraph" w:styleId="13">
    <w:name w:val="toc 3"/>
    <w:basedOn w:val="1"/>
    <w:next w:val="1"/>
    <w:autoRedefine/>
    <w:unhideWhenUsed/>
    <w:uiPriority w:val="39"/>
    <w:pPr>
      <w:ind w:left="840" w:leftChars="400"/>
    </w:pPr>
  </w:style>
  <w:style w:type="paragraph" w:styleId="14">
    <w:name w:val="toc 8"/>
    <w:basedOn w:val="1"/>
    <w:next w:val="1"/>
    <w:autoRedefine/>
    <w:unhideWhenUsed/>
    <w:uiPriority w:val="39"/>
    <w:pPr>
      <w:spacing w:line="240" w:lineRule="auto"/>
      <w:ind w:left="2940" w:leftChars="1400"/>
    </w:pPr>
    <w:rPr>
      <w:rFonts w:asciiTheme="minorHAnsi" w:hAnsiTheme="minorHAnsi" w:eastAsiaTheme="minorEastAsia" w:cstheme="minorBidi"/>
      <w:sz w:val="21"/>
      <w:szCs w:val="22"/>
    </w:rPr>
  </w:style>
  <w:style w:type="paragraph" w:styleId="15">
    <w:name w:val="footer"/>
    <w:basedOn w:val="1"/>
    <w:link w:val="40"/>
    <w:unhideWhenUsed/>
    <w:uiPriority w:val="99"/>
    <w:pPr>
      <w:tabs>
        <w:tab w:val="center" w:pos="4153"/>
        <w:tab w:val="right" w:pos="8306"/>
      </w:tabs>
      <w:snapToGrid w:val="0"/>
      <w:jc w:val="left"/>
    </w:pPr>
    <w:rPr>
      <w:sz w:val="18"/>
      <w:szCs w:val="18"/>
    </w:rPr>
  </w:style>
  <w:style w:type="paragraph" w:styleId="16">
    <w:name w:val="header"/>
    <w:basedOn w:val="1"/>
    <w:link w:val="39"/>
    <w:unhideWhenUsed/>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autoRedefine/>
    <w:unhideWhenUsed/>
    <w:uiPriority w:val="39"/>
    <w:pPr>
      <w:tabs>
        <w:tab w:val="left" w:pos="420"/>
        <w:tab w:val="right" w:leader="dot" w:pos="8296"/>
      </w:tabs>
    </w:pPr>
  </w:style>
  <w:style w:type="paragraph" w:styleId="18">
    <w:name w:val="toc 4"/>
    <w:basedOn w:val="1"/>
    <w:next w:val="1"/>
    <w:autoRedefine/>
    <w:unhideWhenUsed/>
    <w:qFormat/>
    <w:uiPriority w:val="39"/>
    <w:pPr>
      <w:spacing w:line="240" w:lineRule="auto"/>
      <w:ind w:left="1260" w:leftChars="600"/>
    </w:pPr>
    <w:rPr>
      <w:rFonts w:asciiTheme="minorHAnsi" w:hAnsiTheme="minorHAnsi" w:eastAsiaTheme="minorEastAsia" w:cstheme="minorBidi"/>
      <w:sz w:val="21"/>
      <w:szCs w:val="22"/>
    </w:rPr>
  </w:style>
  <w:style w:type="paragraph" w:styleId="19">
    <w:name w:val="Subtitle"/>
    <w:basedOn w:val="1"/>
    <w:next w:val="1"/>
    <w:link w:val="54"/>
    <w:qFormat/>
    <w:uiPriority w:val="11"/>
    <w:pPr>
      <w:spacing w:before="240" w:after="60" w:line="312" w:lineRule="auto"/>
      <w:jc w:val="center"/>
      <w:outlineLvl w:val="1"/>
    </w:pPr>
    <w:rPr>
      <w:rFonts w:asciiTheme="minorHAnsi" w:hAnsiTheme="minorHAnsi" w:eastAsiaTheme="minorEastAsia" w:cstheme="minorBidi"/>
      <w:b/>
      <w:bCs/>
      <w:kern w:val="28"/>
      <w:sz w:val="32"/>
      <w:szCs w:val="32"/>
    </w:rPr>
  </w:style>
  <w:style w:type="paragraph" w:styleId="20">
    <w:name w:val="toc 6"/>
    <w:basedOn w:val="1"/>
    <w:next w:val="1"/>
    <w:autoRedefine/>
    <w:unhideWhenUsed/>
    <w:qFormat/>
    <w:uiPriority w:val="39"/>
    <w:pPr>
      <w:spacing w:line="240" w:lineRule="auto"/>
      <w:ind w:left="2100" w:leftChars="1000"/>
    </w:pPr>
    <w:rPr>
      <w:rFonts w:asciiTheme="minorHAnsi" w:hAnsiTheme="minorHAnsi" w:eastAsiaTheme="minorEastAsia" w:cstheme="minorBidi"/>
      <w:sz w:val="21"/>
      <w:szCs w:val="22"/>
    </w:rPr>
  </w:style>
  <w:style w:type="paragraph" w:styleId="21">
    <w:name w:val="toc 2"/>
    <w:basedOn w:val="1"/>
    <w:next w:val="1"/>
    <w:autoRedefine/>
    <w:unhideWhenUsed/>
    <w:uiPriority w:val="39"/>
    <w:pPr>
      <w:ind w:left="420" w:leftChars="200"/>
    </w:pPr>
  </w:style>
  <w:style w:type="paragraph" w:styleId="22">
    <w:name w:val="toc 9"/>
    <w:basedOn w:val="1"/>
    <w:next w:val="1"/>
    <w:autoRedefine/>
    <w:unhideWhenUsed/>
    <w:uiPriority w:val="39"/>
    <w:pPr>
      <w:spacing w:line="240" w:lineRule="auto"/>
      <w:ind w:left="3360" w:leftChars="1600"/>
    </w:pPr>
    <w:rPr>
      <w:rFonts w:asciiTheme="minorHAnsi" w:hAnsiTheme="minorHAnsi" w:eastAsiaTheme="minorEastAsia" w:cstheme="minorBidi"/>
      <w:sz w:val="21"/>
      <w:szCs w:val="22"/>
    </w:rPr>
  </w:style>
  <w:style w:type="paragraph" w:styleId="23">
    <w:name w:val="Normal (Web)"/>
    <w:basedOn w:val="1"/>
    <w:semiHidden/>
    <w:unhideWhenUsed/>
    <w:uiPriority w:val="99"/>
    <w:pPr>
      <w:widowControl/>
      <w:spacing w:before="100" w:beforeAutospacing="1" w:after="100" w:afterAutospacing="1" w:line="240" w:lineRule="auto"/>
      <w:jc w:val="left"/>
    </w:pPr>
    <w:rPr>
      <w:kern w:val="0"/>
    </w:rPr>
  </w:style>
  <w:style w:type="character" w:styleId="26">
    <w:name w:val="Strong"/>
    <w:basedOn w:val="25"/>
    <w:qFormat/>
    <w:uiPriority w:val="22"/>
    <w:rPr>
      <w:b/>
      <w:bCs/>
    </w:rPr>
  </w:style>
  <w:style w:type="character" w:styleId="27">
    <w:name w:val="FollowedHyperlink"/>
    <w:basedOn w:val="25"/>
    <w:semiHidden/>
    <w:unhideWhenUsed/>
    <w:uiPriority w:val="99"/>
    <w:rPr>
      <w:color w:val="954F72" w:themeColor="followedHyperlink"/>
      <w:u w:val="single"/>
      <w14:textFill>
        <w14:solidFill>
          <w14:schemeClr w14:val="folHlink"/>
        </w14:solidFill>
      </w14:textFill>
    </w:rPr>
  </w:style>
  <w:style w:type="character" w:styleId="28">
    <w:name w:val="Hyperlink"/>
    <w:basedOn w:val="25"/>
    <w:unhideWhenUsed/>
    <w:uiPriority w:val="99"/>
    <w:rPr>
      <w:color w:val="0563C1" w:themeColor="hyperlink"/>
      <w:u w:val="single"/>
      <w14:textFill>
        <w14:solidFill>
          <w14:schemeClr w14:val="hlink"/>
        </w14:solidFill>
      </w14:textFill>
    </w:rPr>
  </w:style>
  <w:style w:type="character" w:styleId="29">
    <w:name w:val="HTML Code"/>
    <w:basedOn w:val="25"/>
    <w:semiHidden/>
    <w:unhideWhenUsed/>
    <w:uiPriority w:val="99"/>
    <w:rPr>
      <w:rFonts w:ascii="Courier New" w:hAnsi="Courier New"/>
      <w:sz w:val="20"/>
    </w:rPr>
  </w:style>
  <w:style w:type="character" w:customStyle="1" w:styleId="30">
    <w:name w:val="标题 1 字符"/>
    <w:basedOn w:val="25"/>
    <w:link w:val="2"/>
    <w:uiPriority w:val="9"/>
    <w:rPr>
      <w:rFonts w:ascii="黑体" w:hAnsi="黑体" w:eastAsia="黑体" w:cs="黑体"/>
      <w:bCs/>
      <w:kern w:val="44"/>
      <w:sz w:val="36"/>
      <w:szCs w:val="36"/>
    </w:rPr>
  </w:style>
  <w:style w:type="character" w:customStyle="1" w:styleId="31">
    <w:name w:val="标题 2 字符"/>
    <w:basedOn w:val="25"/>
    <w:link w:val="3"/>
    <w:qFormat/>
    <w:uiPriority w:val="9"/>
    <w:rPr>
      <w:rFonts w:ascii="黑体" w:hAnsi="黑体" w:eastAsia="黑体" w:cs="黑体"/>
      <w:bCs/>
      <w:sz w:val="28"/>
      <w:szCs w:val="28"/>
    </w:rPr>
  </w:style>
  <w:style w:type="character" w:customStyle="1" w:styleId="32">
    <w:name w:val="标题 3 字符"/>
    <w:basedOn w:val="25"/>
    <w:link w:val="4"/>
    <w:uiPriority w:val="9"/>
    <w:rPr>
      <w:rFonts w:ascii="黑体" w:hAnsi="黑体" w:eastAsia="黑体" w:cs="黑体"/>
      <w:bCs/>
      <w:sz w:val="24"/>
      <w:szCs w:val="24"/>
    </w:rPr>
  </w:style>
  <w:style w:type="character" w:customStyle="1" w:styleId="33">
    <w:name w:val="标题 4 字符"/>
    <w:basedOn w:val="25"/>
    <w:link w:val="5"/>
    <w:uiPriority w:val="9"/>
    <w:rPr>
      <w:rFonts w:asciiTheme="majorHAnsi" w:hAnsiTheme="majorHAnsi" w:eastAsiaTheme="majorEastAsia" w:cstheme="majorBidi"/>
      <w:b/>
      <w:bCs/>
      <w:sz w:val="28"/>
      <w:szCs w:val="28"/>
    </w:rPr>
  </w:style>
  <w:style w:type="character" w:customStyle="1" w:styleId="34">
    <w:name w:val="标题 5 字符"/>
    <w:basedOn w:val="25"/>
    <w:link w:val="6"/>
    <w:semiHidden/>
    <w:qFormat/>
    <w:uiPriority w:val="9"/>
    <w:rPr>
      <w:b/>
      <w:bCs/>
      <w:sz w:val="28"/>
      <w:szCs w:val="28"/>
    </w:rPr>
  </w:style>
  <w:style w:type="character" w:customStyle="1" w:styleId="35">
    <w:name w:val="标题 6 字符"/>
    <w:basedOn w:val="25"/>
    <w:link w:val="7"/>
    <w:semiHidden/>
    <w:uiPriority w:val="9"/>
    <w:rPr>
      <w:rFonts w:asciiTheme="majorHAnsi" w:hAnsiTheme="majorHAnsi" w:eastAsiaTheme="majorEastAsia" w:cstheme="majorBidi"/>
      <w:b/>
      <w:bCs/>
      <w:sz w:val="24"/>
      <w:szCs w:val="24"/>
    </w:rPr>
  </w:style>
  <w:style w:type="character" w:customStyle="1" w:styleId="36">
    <w:name w:val="标题 7 字符"/>
    <w:basedOn w:val="25"/>
    <w:link w:val="8"/>
    <w:semiHidden/>
    <w:qFormat/>
    <w:uiPriority w:val="9"/>
    <w:rPr>
      <w:b/>
      <w:bCs/>
      <w:sz w:val="24"/>
      <w:szCs w:val="24"/>
    </w:rPr>
  </w:style>
  <w:style w:type="character" w:customStyle="1" w:styleId="37">
    <w:name w:val="标题 8 字符"/>
    <w:basedOn w:val="25"/>
    <w:link w:val="9"/>
    <w:semiHidden/>
    <w:uiPriority w:val="9"/>
    <w:rPr>
      <w:rFonts w:asciiTheme="majorHAnsi" w:hAnsiTheme="majorHAnsi" w:eastAsiaTheme="majorEastAsia" w:cstheme="majorBidi"/>
      <w:sz w:val="24"/>
      <w:szCs w:val="24"/>
    </w:rPr>
  </w:style>
  <w:style w:type="character" w:customStyle="1" w:styleId="38">
    <w:name w:val="标题 9 字符"/>
    <w:basedOn w:val="25"/>
    <w:link w:val="10"/>
    <w:semiHidden/>
    <w:qFormat/>
    <w:uiPriority w:val="9"/>
    <w:rPr>
      <w:rFonts w:asciiTheme="majorHAnsi" w:hAnsiTheme="majorHAnsi" w:eastAsiaTheme="majorEastAsia" w:cstheme="majorBidi"/>
      <w:szCs w:val="21"/>
    </w:rPr>
  </w:style>
  <w:style w:type="character" w:customStyle="1" w:styleId="39">
    <w:name w:val="页眉 字符"/>
    <w:basedOn w:val="25"/>
    <w:link w:val="16"/>
    <w:uiPriority w:val="99"/>
    <w:rPr>
      <w:sz w:val="18"/>
      <w:szCs w:val="18"/>
    </w:rPr>
  </w:style>
  <w:style w:type="character" w:customStyle="1" w:styleId="40">
    <w:name w:val="页脚 字符"/>
    <w:basedOn w:val="25"/>
    <w:link w:val="15"/>
    <w:uiPriority w:val="99"/>
    <w:rPr>
      <w:sz w:val="18"/>
      <w:szCs w:val="18"/>
    </w:rPr>
  </w:style>
  <w:style w:type="paragraph" w:customStyle="1" w:styleId="41">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bCs w:val="0"/>
      <w:color w:val="2F5597" w:themeColor="accent1" w:themeShade="BF"/>
      <w:kern w:val="0"/>
      <w:sz w:val="32"/>
      <w:szCs w:val="32"/>
    </w:rPr>
  </w:style>
  <w:style w:type="paragraph" w:styleId="42">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 w:type="paragraph" w:styleId="43">
    <w:name w:val="List Paragraph"/>
    <w:basedOn w:val="1"/>
    <w:qFormat/>
    <w:uiPriority w:val="34"/>
    <w:pPr>
      <w:ind w:firstLine="420"/>
    </w:pPr>
  </w:style>
  <w:style w:type="paragraph" w:customStyle="1" w:styleId="44">
    <w:name w:val="石墨文档正文"/>
    <w:uiPriority w:val="0"/>
    <w:pPr>
      <w:suppressAutoHyphens/>
      <w:autoSpaceDN w:val="0"/>
      <w:textAlignment w:val="baseline"/>
    </w:pPr>
    <w:rPr>
      <w:rFonts w:ascii="Liberation Serif" w:hAnsi="Liberation Serif" w:cs="Lohit Devanagari" w:eastAsiaTheme="minorEastAsia"/>
      <w:kern w:val="3"/>
      <w:sz w:val="24"/>
      <w:szCs w:val="22"/>
      <w:lang w:val="en-US" w:eastAsia="zh-CN" w:bidi="hi-IN"/>
    </w:rPr>
  </w:style>
  <w:style w:type="paragraph" w:customStyle="1" w:styleId="45">
    <w:name w:val="图"/>
    <w:basedOn w:val="1"/>
    <w:link w:val="46"/>
    <w:qFormat/>
    <w:uiPriority w:val="0"/>
  </w:style>
  <w:style w:type="character" w:customStyle="1" w:styleId="46">
    <w:name w:val="图 字符"/>
    <w:basedOn w:val="25"/>
    <w:link w:val="45"/>
    <w:qFormat/>
    <w:uiPriority w:val="0"/>
    <w:rPr>
      <w:rFonts w:ascii="宋体" w:hAnsi="宋体" w:eastAsia="宋体" w:cs="宋体"/>
      <w:sz w:val="24"/>
      <w:szCs w:val="24"/>
    </w:rPr>
  </w:style>
  <w:style w:type="paragraph" w:customStyle="1" w:styleId="47">
    <w:name w:val="Standard"/>
    <w:uiPriority w:val="0"/>
    <w:pPr>
      <w:suppressAutoHyphens/>
      <w:autoSpaceDN w:val="0"/>
      <w:textAlignment w:val="baseline"/>
    </w:pPr>
    <w:rPr>
      <w:rFonts w:ascii="Liberation Serif" w:hAnsi="Liberation Serif" w:cs="Lohit Devanagari" w:eastAsiaTheme="minorEastAsia"/>
      <w:kern w:val="3"/>
      <w:sz w:val="24"/>
      <w:szCs w:val="24"/>
      <w:lang w:val="en-US" w:eastAsia="zh-CN" w:bidi="hi-IN"/>
    </w:rPr>
  </w:style>
  <w:style w:type="character" w:customStyle="1" w:styleId="48">
    <w:name w:val="Source Text"/>
    <w:uiPriority w:val="0"/>
    <w:rPr>
      <w:rFonts w:ascii="Liberation Mono" w:hAnsi="Liberation Mono" w:eastAsia="Noto Sans Mono CJK SC" w:cs="Liberation Mono"/>
    </w:rPr>
  </w:style>
  <w:style w:type="paragraph" w:customStyle="1" w:styleId="49">
    <w:name w:val="Text body"/>
    <w:basedOn w:val="47"/>
    <w:uiPriority w:val="0"/>
    <w:pPr>
      <w:spacing w:after="140" w:line="276" w:lineRule="auto"/>
    </w:pPr>
  </w:style>
  <w:style w:type="character" w:customStyle="1" w:styleId="50">
    <w:name w:val="ql-author-13279512"/>
    <w:basedOn w:val="25"/>
    <w:qFormat/>
    <w:uiPriority w:val="0"/>
  </w:style>
  <w:style w:type="character" w:styleId="51">
    <w:name w:val="Placeholder Text"/>
    <w:basedOn w:val="25"/>
    <w:semiHidden/>
    <w:qFormat/>
    <w:uiPriority w:val="99"/>
    <w:rPr>
      <w:color w:val="808080"/>
    </w:rPr>
  </w:style>
  <w:style w:type="character" w:customStyle="1" w:styleId="52">
    <w:name w:val="Unresolved Mention"/>
    <w:basedOn w:val="25"/>
    <w:semiHidden/>
    <w:unhideWhenUsed/>
    <w:qFormat/>
    <w:uiPriority w:val="99"/>
    <w:rPr>
      <w:color w:val="605E5C"/>
      <w:shd w:val="clear" w:color="auto" w:fill="E1DFDD"/>
    </w:rPr>
  </w:style>
  <w:style w:type="character" w:customStyle="1" w:styleId="53">
    <w:name w:val="Subtle Emphasis"/>
    <w:basedOn w:val="25"/>
    <w:qFormat/>
    <w:uiPriority w:val="19"/>
    <w:rPr>
      <w:i/>
      <w:iCs/>
      <w:color w:val="404040" w:themeColor="text1" w:themeTint="BF"/>
      <w14:textFill>
        <w14:solidFill>
          <w14:schemeClr w14:val="tx1">
            <w14:lumMod w14:val="75000"/>
            <w14:lumOff w14:val="25000"/>
          </w14:schemeClr>
        </w14:solidFill>
      </w14:textFill>
    </w:rPr>
  </w:style>
  <w:style w:type="character" w:customStyle="1" w:styleId="54">
    <w:name w:val="副标题 字符"/>
    <w:basedOn w:val="25"/>
    <w:link w:val="19"/>
    <w:qFormat/>
    <w:uiPriority w:val="11"/>
    <w:rPr>
      <w:b/>
      <w:bCs/>
      <w:kern w:val="28"/>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485CD3-2B0D-487E-90D3-6C702098C0C7}">
  <ds:schemaRefs/>
</ds:datastoreItem>
</file>

<file path=docProps/app.xml><?xml version="1.0" encoding="utf-8"?>
<Properties xmlns="http://schemas.openxmlformats.org/officeDocument/2006/extended-properties" xmlns:vt="http://schemas.openxmlformats.org/officeDocument/2006/docPropsVTypes">
  <Template>Normal.dotm</Template>
  <Pages>10</Pages>
  <Words>2890</Words>
  <Characters>3796</Characters>
  <Lines>51</Lines>
  <Paragraphs>28</Paragraphs>
  <TotalTime>157</TotalTime>
  <ScaleCrop>false</ScaleCrop>
  <LinksUpToDate>false</LinksUpToDate>
  <CharactersWithSpaces>4032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2026-06-11T04:12:00Z</dcterms:created>
  <dc:creator>Thomson Zhang</dc:creator>
  <cp:lastModifiedBy>老夏er</cp:lastModifiedBy>
  <cp:lastPrinted>2025-06-25T06:20:00Z</cp:lastPrinted>
  <dcterms:modified xsi:type="dcterms:W3CDTF">2026-09-07T07:04:30Z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eyJoZGlkIjoiMWFmNTg1ZWIzODg5MTZiMWM3MTZkNTY4NWE0ZTU4ZjUiLCJ1c2VySWQiOiIxMTcyNjAxNTMyIn0=</vt:lpwstr>
  </property>
  <property fmtid="{D5CDD505-2E9C-101B-9397-08002B2CF9AE}" pid="3" name="KSOProductBuildVer">
    <vt:lpwstr>2052-12.1.0.28505</vt:lpwstr>
  </property>
  <property fmtid="{D5CDD505-2E9C-101B-9397-08002B2CF9AE}" pid="4" name="ICV">
    <vt:lpwstr>1A63949D2EB34989822C6CC9A699F4AD_12</vt:lpwstr>
  </property>
</Properties>
</file>