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9162C4A">
      <w:pPr>
        <w:pStyle w:val="style0"/>
        <w:spacing w:before="0" w:after="40"/>
        <w:jc w:val="center"/>
        <w:rPr/>
      </w:pPr>
      <w:r>
        <w:rPr>
          <w:b/>
          <w:color w:val="1b365d"/>
          <w:sz w:val="44"/>
        </w:rPr>
        <w:t>TECHNICAL SPECIFICATION &amp; BLUEPRINT</w:t>
      </w:r>
    </w:p>
    <w:p w14:paraId="F8D6B385">
      <w:pPr>
        <w:pStyle w:val="style0"/>
        <w:spacing w:after="480"/>
        <w:jc w:val="center"/>
        <w:rPr/>
      </w:pPr>
      <w:r>
        <w:rPr>
          <w:i/>
          <w:color w:val="5c768d"/>
          <w:sz w:val="24"/>
        </w:rPr>
        <w:t>High-Accuracy (98%+) Passive RF Anti-UAS Prototype Pipeline</w:t>
      </w:r>
      <w:r>
        <w:rPr>
          <w:i/>
          <w:color w:val="5c768d"/>
          <w:sz w:val="24"/>
        </w:rPr>
        <w:br/>
      </w:r>
      <w:r>
        <w:rPr>
          <w:i/>
          <w:color w:val="5c768d"/>
          <w:sz w:val="24"/>
        </w:rPr>
        <w:t>IIT Jodhpur Flying Wings Hackathon (Ops 3 Track 3)</w:t>
      </w:r>
    </w:p>
    <w:p w14:paraId="C66C5983">
      <w:pPr>
        <w:pStyle w:val="style0"/>
        <w:rPr/>
      </w:pPr>
      <w:r>
        <w:rPr>
          <w:color w:val="333333"/>
        </w:rPr>
        <w:t xml:space="preserve">This technical document provides the explicit end-to-end architecture, mathematics, data formatting, and implementation pipeline for deploying a defense-grade software prototype under the </w:t>
      </w:r>
      <w:r>
        <w:rPr>
          <w:b/>
        </w:rPr>
        <w:t>Ops 3 Track 3 (Anti-UAS RF Early Warning)</w:t>
      </w:r>
      <w:r>
        <w:t xml:space="preserve"> track. To meet the baseline target criteria of a processing latency of </w:t>
      </w:r>
      <w:r>
        <w:rPr>
          <w:b/>
        </w:rPr>
        <w:t>≤ 2 seconds</w:t>
      </w:r>
      <w:r>
        <w:t xml:space="preserve"> and a detection probability (</w:t>
      </w:r>
      <w:r>
        <w:rPr>
          <w:i/>
        </w:rPr>
        <w:t>Pd</w:t>
      </w:r>
      <w:r>
        <w:t xml:space="preserve">) exceeding </w:t>
      </w:r>
      <w:r>
        <w:rPr>
          <w:b/>
        </w:rPr>
        <w:t>98%</w:t>
      </w:r>
      <w:r>
        <w:t xml:space="preserve"> under severe electronic warfare backgrounds, this architecture transitions away from native 2D imagery models into a multi-sensor hybrid feature tensor approach utilizing an INT8 optimized MobileNetV3-Small framework coupled with sequential state tracking.</w:t>
      </w:r>
    </w:p>
    <w:p w14:paraId="F1886C2A">
      <w:pPr>
        <w:pStyle w:val="style0"/>
        <w:keepNext/>
        <w:pBdr>
          <w:bottom w:val="single" w:sz="6" w:space="4" w:color="5c768d"/>
        </w:pBdr>
        <w:spacing w:before="280" w:after="80"/>
        <w:rPr/>
      </w:pPr>
      <w:r>
        <w:rPr>
          <w:rFonts w:ascii="Arial" w:hAnsi="Arial"/>
          <w:b/>
          <w:color w:val="1b365d"/>
          <w:sz w:val="28"/>
        </w:rPr>
        <w:t>1. SYSTEM FLOW AND END-TO-END PIPELINE</w:t>
      </w:r>
    </w:p>
    <w:p w14:paraId="F7079DE9">
      <w:pPr>
        <w:pStyle w:val="style0"/>
        <w:rPr/>
      </w:pPr>
      <w:r>
        <w:t>The physical signal handling and algorithmic progression of the system flows sequentially through five critical software wrappers. Each module operates asynchronously via a localized message queue to guarantee deterministic scheduling and maximize processing throughput.</w:t>
      </w:r>
    </w:p>
    <w:p w14:paraId="BD0FE92E">
      <w:pPr>
        <w:pStyle w:val="style48"/>
        <w:spacing w:after="60"/>
        <w:rPr/>
      </w:pPr>
      <w:r>
        <w:rPr>
          <w:b/>
          <w:color w:val="1b365d"/>
        </w:rPr>
        <w:t xml:space="preserve">1. Data Ingestion Layer: </w:t>
      </w:r>
      <w:r>
        <w:t>Parses binary multi-sensor metadata (.meta) and baseband .sigmf/.npy array structures. Segments continuous data arrays dynamically into streaming matrix epochs based on baseline clock offset alignments.</w:t>
      </w:r>
    </w:p>
    <w:p w14:paraId="73EC07ED">
      <w:pPr>
        <w:pStyle w:val="style48"/>
        <w:spacing w:after="60"/>
        <w:rPr/>
      </w:pPr>
      <w:r>
        <w:rPr>
          <w:b/>
          <w:color w:val="1b365d"/>
        </w:rPr>
        <w:t xml:space="preserve">2. Advanced RF Feature Engineering: </w:t>
      </w:r>
      <w:r>
        <w:t>Transforms raw complex I/Q values into a multi-dimensional spatial tensor, rendering structural amplitude profiles, explicit phase delta variations, and cyclo-stationary properties into an organized 3-channel visual footprint.</w:t>
      </w:r>
    </w:p>
    <w:p w14:paraId="8605C6D0">
      <w:pPr>
        <w:pStyle w:val="style48"/>
        <w:spacing w:after="60"/>
        <w:rPr/>
      </w:pPr>
      <w:r>
        <w:rPr>
          <w:b/>
          <w:color w:val="1b365d"/>
        </w:rPr>
        <w:t xml:space="preserve">3. Quantized Inference Execution: </w:t>
      </w:r>
      <w:r>
        <w:t>Ingests the compiled three-channel sensor tensor into an INT8-quantized MobileNetV3-Small core. Executes sub-3 millisecond hardware-agnostic tensor inferences on the local host CPU.</w:t>
      </w:r>
    </w:p>
    <w:p w14:paraId="E93CBD96">
      <w:pPr>
        <w:pStyle w:val="style48"/>
        <w:spacing w:after="60"/>
        <w:rPr/>
      </w:pPr>
      <w:r>
        <w:rPr>
          <w:b/>
          <w:color w:val="1b365d"/>
        </w:rPr>
        <w:t xml:space="preserve">4. Temporal Smoothing Filter: </w:t>
      </w:r>
      <w:r>
        <w:t>Applies sequential frame accumulation over a rolling 5-step analysis window using a Hidden Markov Model (HMM) or Kalman tracking loop. Eradicates localized multi-path artifacts and transient false positive triggers.</w:t>
      </w:r>
    </w:p>
    <w:p w14:paraId="4198AEE1">
      <w:pPr>
        <w:pStyle w:val="style48"/>
        <w:spacing w:after="60"/>
        <w:rPr/>
      </w:pPr>
      <w:r>
        <w:rPr>
          <w:b/>
          <w:color w:val="1b365d"/>
        </w:rPr>
        <w:t xml:space="preserve">5. Alert Routing &amp; Dashboard Broadcast: </w:t>
      </w:r>
      <w:r>
        <w:t>Calculates accurate AoA/TDoA metrics, saves the event details in a SQLite schema cache, logs a structured JSON history string to 'alerts.json', and updates the React visualization console live via WebSockets.</w:t>
      </w:r>
    </w:p>
    <w:p w14:paraId="4F1DB867">
      <w:pPr>
        <w:pStyle w:val="style0"/>
        <w:keepNext/>
        <w:pBdr>
          <w:bottom w:val="single" w:sz="6" w:space="4" w:color="5c768d"/>
        </w:pBdr>
        <w:spacing w:before="280" w:after="80"/>
        <w:rPr/>
      </w:pPr>
      <w:r>
        <w:rPr>
          <w:rFonts w:ascii="Arial" w:hAnsi="Arial"/>
          <w:b/>
          <w:color w:val="1b365d"/>
          <w:sz w:val="28"/>
        </w:rPr>
        <w:t>2. DETAILED STRUCTURAL LAYER SPECIFICATIONS</w:t>
      </w:r>
    </w:p>
    <w:p w14:paraId="87993AEF">
      <w:pPr>
        <w:pStyle w:val="style0"/>
        <w:keepNext/>
        <w:spacing w:before="280" w:after="80"/>
        <w:rPr/>
      </w:pPr>
      <w:r>
        <w:rPr>
          <w:rFonts w:ascii="Arial" w:hAnsi="Arial"/>
          <w:b/>
          <w:color w:val="1b365d"/>
          <w:sz w:val="24"/>
        </w:rPr>
        <w:t>2.1 Data Ingestion Layer &amp; Pre-Processing</w:t>
      </w:r>
    </w:p>
    <w:p w14:paraId="03168C90">
      <w:pPr>
        <w:pStyle w:val="style0"/>
        <w:rPr/>
      </w:pPr>
      <w:r>
        <w:t xml:space="preserve">The ingest interface must handle raw I/Q data packets without bottlenecking downstream classification. The ingest framework reads data streams into memory in chunks of size </w:t>
      </w:r>
      <w:r>
        <w:rPr>
          <w:i/>
        </w:rPr>
        <w:t>N = 4096</w:t>
      </w:r>
      <w:r>
        <w:t xml:space="preserve"> complex samples. The multi-sensor parsing pipeline extracts synchronization variables from the companion SigMF `.meta` structures, correcting clock drift offsets based on baseline geometric orientation profiles before passing the raw block to the transformation pipeline.</w:t>
      </w:r>
    </w:p>
    <w:p w14:paraId="1B84DE04">
      <w:pPr>
        <w:pStyle w:val="style0"/>
        <w:keepNext/>
        <w:spacing w:before="280" w:after="80"/>
        <w:rPr/>
      </w:pPr>
      <w:r>
        <w:rPr>
          <w:rFonts w:ascii="Arial" w:hAnsi="Arial"/>
          <w:b/>
          <w:color w:val="1b365d"/>
          <w:sz w:val="24"/>
        </w:rPr>
        <w:t>2.2 The 3-Channel Multi-Feature RF Tensor</w:t>
      </w:r>
    </w:p>
    <w:p w14:paraId="CE6DA1C6">
      <w:pPr>
        <w:pStyle w:val="style0"/>
        <w:rPr/>
      </w:pPr>
      <w:r>
        <w:t xml:space="preserve">To ensure true classification accuracy exceeds 98%, you cannot duplicate a standard 2D grayscale spectrogram across RGB dimensions. Instead, construct a unified 3-channel tensor of dimension </w:t>
      </w:r>
      <w:r>
        <w:rPr>
          <w:b/>
        </w:rPr>
        <w:t>(224 × 224 × 3)</w:t>
      </w:r>
      <w:r>
        <w:t>, where each individual channel maps a unique physical attribute of the propagating waveform:</w:t>
      </w:r>
    </w:p>
    <w:p w14:paraId="8FBA981E">
      <w:pPr>
        <w:pStyle w:val="style48"/>
        <w:spacing w:after="60"/>
        <w:rPr/>
      </w:pPr>
      <w:r>
        <w:rPr>
          <w:b/>
        </w:rPr>
        <w:t>Channel 1 (Red Matrix) - Log-Magnitude Spectrogram:</w:t>
      </w:r>
      <w:r>
        <w:t xml:space="preserve"> Derived using a Short-Time Fourier Transform (STFT) with a Hann window. Tracks immediate power distribution, spectral bandwidth, and structural transmission bursts over the time-domain vector.</w:t>
      </w:r>
    </w:p>
    <w:p w14:paraId="E71DD40E">
      <w:pPr>
        <w:pStyle w:val="style48"/>
        <w:spacing w:after="60"/>
        <w:rPr/>
      </w:pPr>
      <w:r>
        <w:rPr>
          <w:b/>
        </w:rPr>
        <w:t>Channel 2 (Green Matrix) - Differential Phase Pattern:</w:t>
      </w:r>
      <w:r>
        <w:t xml:space="preserve"> Formulated via the angular progression delta of adjacent complex values. Extracts micro-structural phase changes unique to specialized UAS telemetry links (e.g., FHSS, GFSK, OFDM) even when signals are severely attenuated.</w:t>
      </w:r>
    </w:p>
    <w:p w14:paraId="D16B64D5">
      <w:pPr>
        <w:pStyle w:val="style48"/>
        <w:spacing w:after="60"/>
        <w:rPr/>
      </w:pPr>
      <w:r>
        <w:rPr>
          <w:b/>
        </w:rPr>
        <w:t>Channel 3 (Blue Matrix) - Cyclic Spectral Density (CSD):</w:t>
      </w:r>
      <w:r>
        <w:t xml:space="preserve"> Isolates cyclic frequency correlation fingerprints. Because standard environmental background noise is completely stationary and un-correlated, the CSD channel mathematically filters ambient white noise spikes, boosting detection bounds in extremely low SNR conditions.</w:t>
      </w:r>
    </w:p>
    <w:p w14:paraId="A63EA525">
      <w:pPr>
        <w:pStyle w:val="style0"/>
        <w:keepNext/>
        <w:spacing w:before="280" w:after="80"/>
        <w:rPr/>
      </w:pPr>
      <w:r>
        <w:rPr>
          <w:rFonts w:ascii="Arial" w:hAnsi="Arial"/>
          <w:b/>
          <w:color w:val="1b365d"/>
          <w:sz w:val="24"/>
        </w:rPr>
        <w:t>2.3 Quantized INT8 ONNX Model Core</w:t>
      </w:r>
    </w:p>
    <w:p w14:paraId="FD01AC18">
      <w:pPr>
        <w:pStyle w:val="style0"/>
        <w:rPr/>
      </w:pPr>
      <w:r>
        <w:t xml:space="preserve">The backbone topology leverages a lightweight </w:t>
      </w:r>
      <w:r>
        <w:rPr>
          <w:b/>
        </w:rPr>
        <w:t>MobileNetV3-Small</w:t>
      </w:r>
      <w:r>
        <w:t xml:space="preserve"> implementation optimized using the ONNX Runtime execution engine. While standard float32 networks require roughly 12ms to evaluate an image vector on normal CPU hardware, converting the model weights using </w:t>
      </w:r>
      <w:r>
        <w:rPr>
          <w:b/>
        </w:rPr>
        <w:t>INT8 Quantization</w:t>
      </w:r>
      <w:r>
        <w:t xml:space="preserve"> compresses structural precision to reduce frame processing latency down to </w:t>
      </w:r>
      <w:r>
        <w:rPr>
          <w:b/>
        </w:rPr>
        <w:t>&lt; 3 milliseconds</w:t>
      </w:r>
      <w:r>
        <w:t>. This optimization leaves ample processing capacity for parallel operations, ensuring total system execution stays well under the 2-second hackathon constraint.</w:t>
      </w:r>
    </w:p>
    <w:p w14:paraId="D4BF6A84">
      <w:pPr>
        <w:pStyle w:val="style0"/>
        <w:keepNext/>
        <w:spacing w:before="280" w:after="80"/>
        <w:rPr/>
      </w:pPr>
      <w:r>
        <w:rPr>
          <w:rFonts w:ascii="Arial" w:hAnsi="Arial"/>
          <w:b/>
          <w:color w:val="1b365d"/>
          <w:sz w:val="24"/>
        </w:rPr>
        <w:t>2.4 The Temporal Accumulation Layer (The 98% Threshold Key)</w:t>
      </w:r>
    </w:p>
    <w:p w14:paraId="05ADB077">
      <w:pPr>
        <w:pStyle w:val="style0"/>
        <w:rPr/>
      </w:pPr>
      <w:r>
        <w:t xml:space="preserve">Pure single-frame computer vision evaluations fluctuate wildly under real-world EW environments due to multi-path fading or rapid frequency-hopping cycles. To permanently squash false triggers, the model outputs feed into a rolling </w:t>
      </w:r>
      <w:r>
        <w:rPr>
          <w:b/>
        </w:rPr>
        <w:t>5-Frame Temporal Smoothing Filter</w:t>
      </w:r>
      <w:r>
        <w:t xml:space="preserve"> (such as a lightweight Hidden Markov Model or Moving Average Window).</w:t>
      </w:r>
    </w:p>
    <w:p w14:paraId="ED0CDE5A">
      <w:pPr>
        <w:pStyle w:val="style0"/>
        <w:pBdr>
          <w:left w:val="single" w:sz="24" w:space="12" w:color="1b365d"/>
        </w:pBdr>
        <w:shd w:val="nil" w:color="auto" w:fill="f4f6f8"/>
        <w:spacing w:before="120" w:after="120"/>
        <w:ind w:left="576" w:right="576"/>
        <w:rPr/>
      </w:pPr>
      <w:r>
        <w:rPr>
          <w:i/>
          <w:sz w:val="20"/>
        </w:rPr>
        <w:t>Operational Guardrail: An active UAS alert is only dispatched if the multi-feature tensor triggers a true classification in at least 3 out of 5 sequential matrix windows. This temporal confirmation filters isolated noise spikes and signal fading, raising detection probability (Pd) past 98% while suppressing false alarms (Pfa) to near 0%.</w:t>
      </w:r>
    </w:p>
    <w:p w14:paraId="FEAC83B4">
      <w:pPr>
        <w:pStyle w:val="style0"/>
        <w:keepNext/>
        <w:pBdr>
          <w:bottom w:val="single" w:sz="6" w:space="4" w:color="5c768d"/>
        </w:pBdr>
        <w:spacing w:before="280" w:after="80"/>
        <w:rPr/>
      </w:pPr>
      <w:r>
        <w:rPr>
          <w:rFonts w:ascii="Arial" w:hAnsi="Arial"/>
          <w:b/>
          <w:color w:val="1b365d"/>
          <w:sz w:val="28"/>
        </w:rPr>
        <w:t>3. MODULE IMPLEMENTATION METRICS AND TARGETS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1728"/>
        <w:gridCol w:w="1872"/>
      </w:tblGrid>
      <w:tr w14:paraId="FAEC37E2">
        <w:trPr>
          <w:jc w:val="center"/>
        </w:trPr>
        <w:tc>
          <w:tcPr>
            <w:tcW w:w="2160" w:type="dxa"/>
            <w:tcBorders/>
            <w:shd w:val="nil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DC1393">
            <w:pPr>
              <w:pStyle w:val="style0"/>
              <w:jc w:val="center"/>
              <w:rPr/>
            </w:pPr>
            <w:r>
              <w:rPr>
                <w:b/>
                <w:color w:val="ffffff"/>
                <w:sz w:val="19"/>
              </w:rPr>
              <w:t>Pipeline Stage</w:t>
            </w:r>
          </w:p>
        </w:tc>
        <w:tc>
          <w:tcPr>
            <w:tcW w:w="3600" w:type="dxa"/>
            <w:tcBorders/>
            <w:shd w:val="nil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9DB99E5E">
            <w:pPr>
              <w:pStyle w:val="style0"/>
              <w:jc w:val="center"/>
              <w:rPr/>
            </w:pPr>
            <w:r>
              <w:rPr>
                <w:b/>
                <w:color w:val="ffffff"/>
                <w:sz w:val="19"/>
              </w:rPr>
              <w:t>Primary Operations</w:t>
            </w:r>
          </w:p>
        </w:tc>
        <w:tc>
          <w:tcPr>
            <w:tcW w:w="1728" w:type="dxa"/>
            <w:tcBorders/>
            <w:shd w:val="nil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9B842F0F">
            <w:pPr>
              <w:pStyle w:val="style0"/>
              <w:jc w:val="center"/>
              <w:rPr/>
            </w:pPr>
            <w:r>
              <w:rPr>
                <w:b/>
                <w:color w:val="ffffff"/>
                <w:sz w:val="19"/>
              </w:rPr>
              <w:t>Expected Latency</w:t>
            </w:r>
          </w:p>
        </w:tc>
        <w:tc>
          <w:tcPr>
            <w:tcW w:w="1872" w:type="dxa"/>
            <w:tcBorders/>
            <w:shd w:val="nil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AA4545">
            <w:pPr>
              <w:pStyle w:val="style0"/>
              <w:jc w:val="center"/>
              <w:rPr/>
            </w:pPr>
            <w:r>
              <w:rPr>
                <w:b/>
                <w:color w:val="ffffff"/>
                <w:sz w:val="19"/>
              </w:rPr>
              <w:t>Accuracy Vector Contribution</w:t>
            </w:r>
          </w:p>
        </w:tc>
      </w:tr>
      <w:tr w14:paraId="000DB689">
        <w:tblPrEx/>
        <w:trPr>
          <w:jc w:val="center"/>
        </w:trPr>
        <w:tc>
          <w:tcPr>
            <w:tcW w:w="216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8BF45F10">
            <w:pPr>
              <w:pStyle w:val="style0"/>
              <w:spacing w:after="0"/>
              <w:rPr/>
            </w:pPr>
            <w:r>
              <w:rPr>
                <w:sz w:val="19"/>
              </w:rPr>
              <w:t>Data Ingestion</w:t>
            </w:r>
          </w:p>
        </w:tc>
        <w:tc>
          <w:tcPr>
            <w:tcW w:w="360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EDA4EC31">
            <w:pPr>
              <w:pStyle w:val="style0"/>
              <w:spacing w:after="0"/>
              <w:rPr/>
            </w:pPr>
            <w:r>
              <w:rPr>
                <w:sz w:val="19"/>
              </w:rPr>
              <w:t>SigMF parsing, array segmentation, multi-sensor sync.</w:t>
            </w:r>
          </w:p>
        </w:tc>
        <w:tc>
          <w:tcPr>
            <w:tcW w:w="1728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A27BAE26">
            <w:pPr>
              <w:pStyle w:val="style0"/>
              <w:spacing w:after="0"/>
              <w:jc w:val="center"/>
              <w:rPr/>
            </w:pPr>
            <w:r>
              <w:rPr>
                <w:sz w:val="19"/>
              </w:rPr>
              <w:t>&lt; 50 ms</w:t>
            </w:r>
          </w:p>
        </w:tc>
        <w:tc>
          <w:tcPr>
            <w:tcW w:w="1872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0842C">
            <w:pPr>
              <w:pStyle w:val="style0"/>
              <w:spacing w:after="0"/>
              <w:rPr/>
            </w:pPr>
            <w:r>
              <w:rPr>
                <w:sz w:val="19"/>
              </w:rPr>
              <w:t>Ensures zero frame drops or alignment skew</w:t>
            </w:r>
          </w:p>
        </w:tc>
      </w:tr>
      <w:tr w14:paraId="BA3AC3C2">
        <w:tblPrEx/>
        <w:trPr>
          <w:jc w:val="center"/>
        </w:trPr>
        <w:tc>
          <w:tcPr>
            <w:tcW w:w="2160" w:type="dxa"/>
            <w:tcBorders/>
            <w:shd w:val="nil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D7A45A81">
            <w:pPr>
              <w:pStyle w:val="style0"/>
              <w:spacing w:after="0"/>
              <w:rPr/>
            </w:pPr>
            <w:r>
              <w:rPr>
                <w:sz w:val="19"/>
              </w:rPr>
              <w:t>Feature Mapping</w:t>
            </w:r>
          </w:p>
        </w:tc>
        <w:tc>
          <w:tcPr>
            <w:tcW w:w="3600" w:type="dxa"/>
            <w:tcBorders/>
            <w:shd w:val="nil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A17C3">
            <w:pPr>
              <w:pStyle w:val="style0"/>
              <w:spacing w:after="0"/>
              <w:rPr/>
            </w:pPr>
            <w:r>
              <w:rPr>
                <w:sz w:val="19"/>
              </w:rPr>
              <w:t>STFT extraction, Phase Delta tracking, CSD matrix scaling</w:t>
            </w:r>
          </w:p>
        </w:tc>
        <w:tc>
          <w:tcPr>
            <w:tcW w:w="1728" w:type="dxa"/>
            <w:tcBorders/>
            <w:shd w:val="nil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AD484C10">
            <w:pPr>
              <w:pStyle w:val="style0"/>
              <w:spacing w:after="0"/>
              <w:jc w:val="center"/>
              <w:rPr/>
            </w:pPr>
            <w:r>
              <w:rPr>
                <w:sz w:val="19"/>
              </w:rPr>
              <w:t>&lt; 150 ms</w:t>
            </w:r>
          </w:p>
        </w:tc>
        <w:tc>
          <w:tcPr>
            <w:tcW w:w="1872" w:type="dxa"/>
            <w:tcBorders/>
            <w:shd w:val="nil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864D0CBA">
            <w:pPr>
              <w:pStyle w:val="style0"/>
              <w:spacing w:after="0"/>
              <w:rPr/>
            </w:pPr>
            <w:r>
              <w:rPr>
                <w:sz w:val="19"/>
              </w:rPr>
              <w:t>Extracts hidden signals in noise (low SNR)</w:t>
            </w:r>
          </w:p>
        </w:tc>
      </w:tr>
      <w:tr w14:paraId="62C6EC56">
        <w:tblPrEx/>
        <w:trPr>
          <w:jc w:val="center"/>
        </w:trPr>
        <w:tc>
          <w:tcPr>
            <w:tcW w:w="216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9FF518D1">
            <w:pPr>
              <w:pStyle w:val="style0"/>
              <w:spacing w:after="0"/>
              <w:rPr/>
            </w:pPr>
            <w:r>
              <w:rPr>
                <w:sz w:val="19"/>
              </w:rPr>
              <w:t>ONNX Model Core</w:t>
            </w:r>
          </w:p>
        </w:tc>
        <w:tc>
          <w:tcPr>
            <w:tcW w:w="360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C7043989">
            <w:pPr>
              <w:pStyle w:val="style0"/>
              <w:spacing w:after="0"/>
              <w:rPr/>
            </w:pPr>
            <w:r>
              <w:rPr>
                <w:sz w:val="19"/>
              </w:rPr>
              <w:t>INT8 Quantized MobileNetV3 structural inference</w:t>
            </w:r>
          </w:p>
        </w:tc>
        <w:tc>
          <w:tcPr>
            <w:tcW w:w="1728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4CF9C">
            <w:pPr>
              <w:pStyle w:val="style0"/>
              <w:spacing w:after="0"/>
              <w:jc w:val="center"/>
              <w:rPr/>
            </w:pPr>
            <w:r>
              <w:rPr>
                <w:sz w:val="19"/>
              </w:rPr>
              <w:t>&lt; 3 ms</w:t>
            </w:r>
          </w:p>
        </w:tc>
        <w:tc>
          <w:tcPr>
            <w:tcW w:w="1872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7300E">
            <w:pPr>
              <w:pStyle w:val="style0"/>
              <w:spacing w:after="0"/>
              <w:rPr/>
            </w:pPr>
            <w:r>
              <w:rPr>
                <w:sz w:val="19"/>
              </w:rPr>
              <w:t>High-speed pattern matching &amp; baseline classification</w:t>
            </w:r>
          </w:p>
        </w:tc>
      </w:tr>
      <w:tr w14:paraId="E022788A">
        <w:tblPrEx/>
        <w:trPr>
          <w:jc w:val="center"/>
        </w:trPr>
        <w:tc>
          <w:tcPr>
            <w:tcW w:w="2160" w:type="dxa"/>
            <w:tcBorders/>
            <w:shd w:val="nil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42F57">
            <w:pPr>
              <w:pStyle w:val="style0"/>
              <w:spacing w:after="0"/>
              <w:rPr/>
            </w:pPr>
            <w:r>
              <w:rPr>
                <w:sz w:val="19"/>
              </w:rPr>
              <w:t>Temporal Filter</w:t>
            </w:r>
          </w:p>
        </w:tc>
        <w:tc>
          <w:tcPr>
            <w:tcW w:w="3600" w:type="dxa"/>
            <w:tcBorders/>
            <w:shd w:val="nil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FC75EFF9">
            <w:pPr>
              <w:pStyle w:val="style0"/>
              <w:spacing w:after="0"/>
              <w:rPr/>
            </w:pPr>
            <w:r>
              <w:rPr>
                <w:sz w:val="19"/>
              </w:rPr>
              <w:t>5-step HMM state calculation &amp; moving frame review</w:t>
            </w:r>
          </w:p>
        </w:tc>
        <w:tc>
          <w:tcPr>
            <w:tcW w:w="1728" w:type="dxa"/>
            <w:tcBorders/>
            <w:shd w:val="nil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6D6AD">
            <w:pPr>
              <w:pStyle w:val="style0"/>
              <w:spacing w:after="0"/>
              <w:jc w:val="center"/>
              <w:rPr/>
            </w:pPr>
            <w:r>
              <w:rPr>
                <w:sz w:val="19"/>
              </w:rPr>
              <w:t>&lt; 1 ms</w:t>
            </w:r>
          </w:p>
        </w:tc>
        <w:tc>
          <w:tcPr>
            <w:tcW w:w="1872" w:type="dxa"/>
            <w:tcBorders/>
            <w:shd w:val="nil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F1B12">
            <w:pPr>
              <w:pStyle w:val="style0"/>
              <w:spacing w:after="0"/>
              <w:rPr/>
            </w:pPr>
            <w:r>
              <w:rPr>
                <w:sz w:val="19"/>
              </w:rPr>
              <w:t>Eliminates false positives to cross 98% threshold</w:t>
            </w:r>
          </w:p>
        </w:tc>
      </w:tr>
    </w:tbl>
    <w:p w14:paraId="72C3A1C7">
      <w:pPr>
        <w:pStyle w:val="style0"/>
        <w:spacing w:before="120"/>
        <w:rPr/>
      </w:pPr>
    </w:p>
    <w:p w14:paraId="AA7A9B7C">
      <w:pPr>
        <w:pStyle w:val="style0"/>
        <w:keepNext/>
        <w:pBdr>
          <w:bottom w:val="single" w:sz="6" w:space="4" w:color="5c768d"/>
        </w:pBdr>
        <w:spacing w:before="280" w:after="80"/>
        <w:rPr/>
      </w:pPr>
      <w:r>
        <w:rPr>
          <w:rFonts w:ascii="Arial" w:hAnsi="Arial"/>
          <w:b/>
          <w:color w:val="1b365d"/>
          <w:sz w:val="28"/>
        </w:rPr>
        <w:t>4. ROADMAP AND STEP-BY-STEP IMPLEMENTATION TASKS</w:t>
      </w:r>
    </w:p>
    <w:p w14:paraId="F8DB7A67">
      <w:pPr>
        <w:pStyle w:val="style0"/>
        <w:spacing w:after="80"/>
        <w:ind w:left="360"/>
        <w:rPr/>
      </w:pPr>
      <w:r>
        <w:rPr>
          <w:b/>
          <w:color w:val="5c768d"/>
        </w:rPr>
        <w:t xml:space="preserve">1. </w:t>
      </w:r>
      <w:r>
        <w:rPr>
          <w:b/>
        </w:rPr>
        <w:t xml:space="preserve">Phase 1: Environment Setup &amp; Script Parsing: </w:t>
      </w:r>
      <w:r>
        <w:t>Install `onnxruntime`, `numpy`, and `h5py/scipy`. Build an ingest wrapper script that opens sample binary data and decodes paired JSON metadata fields cleanly.</w:t>
      </w:r>
    </w:p>
    <w:p w14:paraId="DC91B645">
      <w:pPr>
        <w:pStyle w:val="style0"/>
        <w:spacing w:after="80"/>
        <w:ind w:left="360"/>
        <w:rPr/>
      </w:pPr>
      <w:r>
        <w:rPr>
          <w:b/>
          <w:color w:val="5c768d"/>
        </w:rPr>
        <w:t xml:space="preserve">2. </w:t>
      </w:r>
      <w:r>
        <w:rPr>
          <w:b/>
        </w:rPr>
        <w:t xml:space="preserve">Phase 2: Signal Transformation Block Development: </w:t>
      </w:r>
      <w:r>
        <w:t>Write standard Python helper scripts utilizing `scipy.signal.stft` to map amplitude. Construct a secondary utility calculating the phase differences across sequentially paired complex numbers (`np.angle`). Layer these into a composite NumPy tensor stack.</w:t>
      </w:r>
    </w:p>
    <w:p w14:paraId="5E1E196D">
      <w:pPr>
        <w:pStyle w:val="style0"/>
        <w:spacing w:after="80"/>
        <w:ind w:left="360"/>
        <w:rPr/>
      </w:pPr>
      <w:r>
        <w:rPr>
          <w:b/>
          <w:color w:val="5c768d"/>
        </w:rPr>
        <w:t xml:space="preserve">3. </w:t>
      </w:r>
      <w:r>
        <w:rPr>
          <w:b/>
        </w:rPr>
        <w:t xml:space="preserve">Phase 3: Model Export, Optimization &amp; Quantization: </w:t>
      </w:r>
      <w:r>
        <w:t>Export your custom-trained or adapted MobileNetV3-Small architecture from PyTorch/TensorFlow out to an intermediate ONNX configuration file. Execute the ONNX runtime integer quantization utility (`onnxruntime.quantization.quantize_dynamic`) to convert operations from Float32 to highly efficient INT8 parameters.</w:t>
      </w:r>
    </w:p>
    <w:p w14:paraId="B7175D36">
      <w:pPr>
        <w:pStyle w:val="style0"/>
        <w:spacing w:after="80"/>
        <w:ind w:left="360"/>
        <w:rPr/>
      </w:pPr>
      <w:r>
        <w:rPr>
          <w:b/>
          <w:color w:val="5c768d"/>
        </w:rPr>
        <w:t xml:space="preserve">4. </w:t>
      </w:r>
      <w:r>
        <w:rPr>
          <w:b/>
        </w:rPr>
        <w:t xml:space="preserve">Phase 4: Temporal Integration &amp; Backend Assembly: </w:t>
      </w:r>
      <w:r>
        <w:t>Construct the 5-frame moving window ring buffer array. Integrate the localization matrix rules, hook up the SQLite logging database routines, write the automated telemetry updates to `alerts.json`, and connect an asynchronous WebSockets channel handler.</w:t>
      </w:r>
    </w:p>
    <w:p w14:paraId="72B5F3B8">
      <w:pPr>
        <w:pStyle w:val="style0"/>
        <w:spacing w:after="80"/>
        <w:ind w:left="360"/>
        <w:rPr/>
      </w:pPr>
      <w:r>
        <w:rPr>
          <w:b/>
          <w:color w:val="5c768d"/>
        </w:rPr>
        <w:t xml:space="preserve">5. </w:t>
      </w:r>
      <w:r>
        <w:rPr>
          <w:b/>
        </w:rPr>
        <w:t xml:space="preserve">Phase 5: Real-World Multi-Sensor Stress Evaluation: </w:t>
      </w:r>
      <w:r>
        <w:t>Inject artificial white Gaussian noise matrices into your test patterns to check performance limitations. Validate that the combined processing runtime checks out safely under 2 seconds, and ensure the rolling 5-step filter prevents noise bursts from causing false positive system activations.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color w:val="333333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fea418b-091e-48b1-84ef-f555f882c88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38356ad-ac48-457b-bc1f-51a1ac78a9ee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337ff066-cb8f-4a85-82a9-645ba08fc72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3d057b8-2962-4283-9b0f-e98231379a9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96da92b-3c78-456a-a276-e1eadf52ca3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c34f96d-a1ed-45dd-80f7-a899fcd6e7b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0fa4fbe-3d46-495d-ac60-057dc1e6d0ff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48257d4-1f58-4db8-8873-7be8593edb5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854f494-a2d6-4002-be53-1accc0347a08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4d8fa742-e043-467b-bb26-1a8a9525619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d37d494-5db2-4695-afd6-6dd9aa6510e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bfe74bb-350e-46cc-966e-120155f45f2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0c4c90b-624d-43f6-a92e-3536bad0148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a2874f1-07db-4c85-a09f-97498023202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1014</Words>
  <Pages>1</Pages>
  <Characters>6515</Characters>
  <Application>WPS Office</Application>
  <DocSecurity>0</DocSecurity>
  <Paragraphs>56</Paragraphs>
  <ScaleCrop>false</ScaleCrop>
  <LinksUpToDate>false</LinksUpToDate>
  <CharactersWithSpaces>7478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CPH2693</lastModifiedBy>
  <dcterms:modified xsi:type="dcterms:W3CDTF">2026-06-18T05:22:30Z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6eff061c3f0744a2bbd672f03adfa74c_23</vt:lpwstr>
  </property>
</Properties>
</file>