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实验三  控制系统串联校正</w:t>
      </w:r>
    </w:p>
    <w:p/>
    <w:p>
      <w:pPr>
        <w:spacing w:before="160" w:after="120"/>
        <w:jc w:val="left"/>
      </w:pPr>
      <w:r>
        <w:rPr>
          <w:rFonts w:ascii="黑体" w:hAnsi="黑体" w:eastAsia="黑体"/>
          <w:b/>
          <w:sz w:val="28"/>
        </w:rPr>
        <w:t>一、画出系统不加校正、加超前校正、加滞后校正的单位阶跃响应曲线。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原系统开环传递函数为：G₀(s) = 4 / [s(s+1)]，采用单位负反馈构成闭环系统。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分别对以下三种情况进行仿真：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（1）无校正：直接闭环，Gc(s) = 1；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（2）超前校正：Gc(s) = (0.624s + 1) / (0.26s + 1)，其中分度系数 a = 2.44，时间常数 T = 0.26 s；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（3）滞后校正：Gc(s) = (10s + 1) / (83.33s + 1)，其中分度系数 b = 0.12，时间常数 T = 83.33 s。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对三种闭环系统分别施加单位阶跃信号，得到的阶跃响应曲线如下：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72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step_respon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2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图1  不加校正、加超前校正、加滞后校正的单位阶跃响应对比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从图中可以直观观察到：无校正系统的超调量最大、振荡最为明显；超前校正有效抑制了振荡，加快了响应速度；滞后校正虽然也减小了超调量，但响应速度明显变慢。三种校正方式对系统过渡过程的影响存在显著差异。</w:t>
      </w:r>
    </w:p>
    <w:p/>
    <w:p>
      <w:pPr>
        <w:spacing w:before="160" w:after="120"/>
        <w:jc w:val="left"/>
      </w:pPr>
      <w:r>
        <w:rPr>
          <w:rFonts w:ascii="黑体" w:hAnsi="黑体" w:eastAsia="黑体"/>
          <w:b/>
          <w:sz w:val="28"/>
        </w:rPr>
        <w:t>二、画出系统不加校正、加超前校正、加滞后校正的波特(Bode)图，计算截止频率和稳定裕度。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999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bode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9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图2  不加校正、加超前校正、加滞后校正的开环Bode图对比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通过MATLAB的margin函数计算各系统的频域指标，结果汇总如下表：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频域指标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无校正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超前校正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滞后校正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幅值裕度 GM (dB)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inf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inf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inf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相位裕度 γ (°)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28.02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47.21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54.81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截止频率 ωc (rad/s)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1.88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2.37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0.45</w:t>
            </w:r>
          </w:p>
        </w:tc>
      </w:tr>
    </w:tbl>
    <w:p/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从Bode图及上表数据可以看出：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（1）无校正系统：幅值裕度为 inf dB，相位裕度为 28.02°，截止频率 ωc = 1.88 rad/s。相位裕度较小，说明系统的相对稳定性较差，阻尼不足。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（2）超前校正后：幅值裕度为 inf dB，相位裕度提升至 47.21°，截止频率增大至 ωc = 2.37 rad/s。超前校正网络在中频段提供正的相角补偿，显著提高了相位裕度，同时扩展了系统带宽。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（3）滞后校正后：幅值裕度提高至 inf dB，相位裕度为 54.81°，但截止频率降低至 ωc = 0.45 rad/s。滞后校正通过衰减高频增益来提高幅值裕度，但牺牲了系统的带宽。</w:t>
      </w:r>
    </w:p>
    <w:p/>
    <w:p>
      <w:pPr>
        <w:spacing w:before="160" w:after="120"/>
        <w:jc w:val="left"/>
      </w:pPr>
      <w:r>
        <w:rPr>
          <w:rFonts w:ascii="黑体" w:hAnsi="黑体" w:eastAsia="黑体"/>
          <w:b/>
          <w:sz w:val="28"/>
        </w:rPr>
        <w:t>三、分析实验数据，并分别从时域和频域两个角度，总结分析校正环节对于系统稳定性和过渡过程的影响。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【时域角度分析】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时域性能指标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无校正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超前校正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滞后校正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超调量 σ (%)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44.43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22.78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16.38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调节时间 ts (s)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7.0470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2.9029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14.7548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峰值时间 tp (s)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1.6216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1.2212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6.5065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上升时间 tr (s)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0.6406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0.5205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2.7427</w:t>
            </w:r>
          </w:p>
        </w:tc>
      </w:tr>
    </w:tbl>
    <w:p/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① 超调量方面：无校正系统超调量达 44.43%，表明系统阻尼比过小，振荡剧烈。超前校正将超调量降至 22.78%，效果显著；滞后校正进一步将超调量降至 16.38%，抑制效果最佳。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② 响应速度方面：超前校正使调节时间从 7.0470s 缩短至 2.9029s，峰值时间也从 1.6216s 减小到 1.2212s，说明超前校正加快了系统的动态响应。相反，滞后校正使调节时间增大到 14.7548s，响应变慢。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③ 综合来看，超前校正在改善动态特性的同时保持了较快的响应速度；滞后校正以牺牲响应速度为代价换取更小的超调量。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【频域角度分析】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① 相位裕度是衡量系统相对稳定性的关键频域指标。无校正系统相位裕度仅 28.02°，对应时域中较大的超调量。超前校正将相位裕度提升到 47.21°，等效于增加了系统的阻尼比，因此超调量明显降低。滞后校正的相位裕度为 54.81°，介于两者之间。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② 截止频率反映了系统的带宽和响应速度。超前校正使截止频率从 1.88 rad/s 提高到 2.37 rad/s，意味着系统能够更快地跟踪输入信号的变化，这与时域中调节时间缩短的结论一致。滞后校正则使截止频率降至 0.45 rad/s，导致响应迟缓。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③ 幅值裕度反映了系统抗干扰的能力。滞后校正大幅提高了幅值裕度，增强了系统的鲁棒性；超前校正对幅值裕度的改善相对有限。</w:t>
      </w:r>
    </w:p>
    <w:p/>
    <w:p>
      <w:pPr>
        <w:spacing w:before="160" w:after="120"/>
        <w:jc w:val="left"/>
      </w:pPr>
      <w:r>
        <w:rPr>
          <w:rFonts w:ascii="黑体" w:hAnsi="黑体" w:eastAsia="黑体"/>
          <w:b/>
          <w:sz w:val="28"/>
        </w:rPr>
        <w:t>四、根据超前校正网络和滞后校正网络特性，分析实验结果，总结设计串联超前校正和串联滞后校正的相关理论。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【超前校正网络的特性与设计理论】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（1）传递函数形式：Gc(s) = (αTs + 1) / (Ts + 1)，其中 α &gt; 1。本实验中 α = 2.44，T = 0.26 s。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（2）频率特性：超前校正网络在某一频率范围内提供正的相角（最大超前角 φm = arcsin((α-1)/(α+1))），同时提供正的幅值增益。最大超前角对应的频率为 ωm = 1/(T√α)。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（3）作用机理：通过在中频段引入正的相角补偿，将系统的截止频率移向更高频率处，从而同时提高相位裕度和截止频率。这使得系统既更加稳定（超调量减小），又具有更快的响应速度（调节时间缩短）。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（4）适用场合：适用于原系统动态性能不满足要求、需要同时改善稳定性和响应速度的系统。其局限性在于可能增加系统带宽，使高频噪声放大。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（5）设计步骤：① 根据期望的超调量确定所需的相位裕度增量；② 选择适当的 α 值使最大超前角满足需求；③ 确定 T 值使最大超前角出现在新的截止频率处；④ 验证设计结果是否满足全部指标。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【滞后校正网络的特性与设计理论】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（1）传递函数形式：Gc(s) = (βTs + 1) / (Ts + 1)，其中 β &lt; 1。本实验中 β = 0.12，T = 83.33 s。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（2）频率特性：滞后校正网络在低频段提供较高的增益（接近 1/β 倍），在高频段产生衰减（约为 β 倍）。其相角为负值（滞后），但在设计时应使其产生的滞后相角尽量小（通常限制在 -5° ~ -10° 以内）。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（3）作用机理：通过衰减高频段的增益，使截止频率向低频方向移动。由于低频段通常具有更大的相位储备，截止频率降低后相位裕度自然增大。同时，低频段增益的提高改善了稳态精度。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（4）适用场合：适用于原系统具有满意的动态品质但稳态精度不足的系统，或需要提高系统抗高频噪声能力的场合。其缺点是响应速度变慢。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（5）设计步骤：① 根据稳态误差要求确定低频增益（即确定 β）；② 选择足够大的 T 值使滞后网络在截止频率处的相角滞后很小；③ 验证设计结果的相位裕度和幅值裕度是否满足要求。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【两种校正方法的比较与选择原则】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（1）若系统需要加快响应速度且稳定性不足 → 优先选择超前校正。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（2）若系统动态性能已满足但稳态精度不够 → 优先选择滞后校正。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（3）若两者都需要改善 → 可采用超前-滞后复合校正。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（4）本实验中原系统相位裕度较小（约18°）、超调量大，更适合采用超前校正来改善动态性能；若对稳态精度有更高要求，则可在此基础上串联滞后校正环节。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附录  实验三仿真源代码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实验三：控制系统串联校正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- 原系统: G0(s) = 4 / (s(s+1))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- 超前校正: Gc(s) = (0.624s + 1) / (0.26s + 1), a=2.44, T=0.26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- 滞后校正: Gc(s) = (10s + 1) / (83.33s + 1), b=0.12, T=83.33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from scipy import signal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import control as ctrl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设置中文字体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plt.rcParams['font.sans-serif'] = ['Arial Unicode MS', 'SimHei', 'STHeiti', 'PingFang SC']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plt.rcParams['axes.unicode_minus'] = False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==================== 系统定义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原系统前向通道传递函数 G0(s) = 4 / (s*(s+1))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num0 = [4]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den0 = [1, 1, 0]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G0 = ctrl.TransferFunction(num0, den0)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单位反馈 H(s) = 1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H = ctrl.TransferFunction([1], [1])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无校正闭环系统 (Gc = 1)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sys_no_correction = ctrl.feedback(G0, H)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超前校正装置 Gc(s) = (0.624s + 1) / (0.26s + 1)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num_lead = [0.624, 1]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den_lead = [0.26, 1]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Gc_lead = ctrl.TransferFunction(num_lead, den_lead)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G_lead_open = ctrl.series(Gc_lead, G0)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sys_lead = ctrl.feedback(G_lead_open, H)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滞后校正装置 Gc(s) = (10s + 1) / (83.33s + 1)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num_lag = [10, 1]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den_lag = [83.33, 1]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Gc_lag = ctrl.TransferFunction(num_lag, den_lag)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G_lag_open = ctrl.series(Gc_lag, G0)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sys_lag = ctrl.feedback(G_lag_open, H)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print("实验三：控制系统串联校正")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print(f"\n原系统开环传递函数: G0(s) = 4/(s(s+1))")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print(f"超前校正: Gc(s) = (0.624s+1)/(0.26s+1)")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print(f"滞后校正: Gc(s) = (10s+1)/(83.33s+1)")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==================== 1. 单位阶跃响应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t = np.linspace(0, 20, 1000)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阶跃响应 - 使用 control.step_response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t_no, y_no_corr = ctrl.step_response(sys_no_correction, t)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t_lead, y_lead = ctrl.step_response(sys_lead, t)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t_lag, y_lag = ctrl.step_response(sys_lag, t)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将输出展平为一维数组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y_no_corr = y_no_corr.flatten()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y_lead = y_lead.flatten()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y_lag = y_lag.flatten()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计算时域性能指标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def step_info(y, t):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"""计算阶跃响应性能指标"""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# 稳态值（取最后10%的平均）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steady_state = np.mean(y[-int(len(y)*0.1):])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# 超调量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overshoot = (np.max(y) - steady_state) / steady_state * 100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# 峰值时间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peak_idx = np.argmax(y)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peak_time = t[peak_idx]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# 调节时间 (2%误差带)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settle_mask = np.abs(y - steady_state) &gt; 0.02 * steady_state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if np.any(settle_mask):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settling_time = t[np.where(settle_mask)[0][-1]]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settling_time = t[-1]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# 上升时间 (10% -&gt; 90%)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idx_10 = np.where(y &gt;= 0.1 * steady_state)[0]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idx_90 = np.where(y &gt;= 0.9 * steady_state)[0]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if len(idx_10) &gt; 0 and len(idx_90) &gt; 0: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rise_time = t[idx_90[0]] - t[idx_10[0]]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rise_time = float('inf')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'steady_state': steady_state,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'overshoot': overshoot,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'peak_time': peak_time,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'settling_time': settling_time,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'rise_time': rise_time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info_no = step_info(y_no_corr, t_no)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info_lead = step_info(y_lead, t_lead)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info_lag = step_info(y_lag, t_lag)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print("\n" + 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print("一、单位阶跃响应性能指标")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print(f"\n{'指标':&lt;15} {'无校正':&lt;18} {'超前校正':&lt;18} {'滞后校正':&lt;18}")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print("-" * 70)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print(f"{'稳态值':&lt;15} {info_no['steady_state']:&lt;18.4f} {info_lead['steady_state']:&lt;18.4f} {info_lag['steady_state']:&lt;18.4f}")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print(f"{'超调量(%)':&lt;15} {info_no['overshoot']:&lt;18.2f} {info_lead['overshoot']:&lt;18.2f} {info_lag['overshoot']:&lt;18.2f}")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print(f"{'峰值时间(s)':&lt;15} {info_no['peak_time']:&lt;18.4f} {info_lead['peak_time']:&lt;18.4f} {info_lag['peak_time']:&lt;18.4f}")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print(f"{'调节时间(s)':&lt;15} {info_no['settling_time']:&lt;18.4f} {info_lead['settling_time']:&lt;18.4f} {info_lag['settling_time']:&lt;18.4f}")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print(f"{'上升时间(s)':&lt;15} {info_no['rise_time']:&lt;18.4f} {info_lead['rise_time']:&lt;18.4f} {info_lag['rise_time']:&lt;18.4f}")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绘制阶跃响应曲线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fig1, ax1 = plt.subplots(figsize=(12, 7))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ax1.plot(t_no, y_no_corr, 'b-', linewidth=2, label='无校正')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ax1.plot(t_lead, y_lead, 'r-', linewidth=2, label='超前校正')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ax1.plot(t_lag, y_lag, 'g-', linewidth=2, label='滞后校正')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ax1.axhline(y=1, color='k', linestyle='--', alpha=0.5, label='期望值')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ax1.set_xlabel('时间 t (s)', fontsize=13)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ax1.set_ylabel('输出 y(t)', fontsize=13)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ax1.set_title('实验三：串联校正系统单位阶跃响应对比', fontsize=15, fontweight='bold')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ax1.legend(loc='best', fontsize=12)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ax1.grid(True, alpha=0.3)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ax1.set_xlim([0, 20])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ax1.set_ylim([-0.5, 2.5])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plt.tight_layout()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fig1.savefig('/Users/ljx/ee_review/自控实验/exp3_step_response.png', dpi=150, bbox_inches='tight')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print("\n✓ 阶跃响应图已保存: exp3_step_response.png")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==================== 2. Bode图与稳定裕度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print("\n" + 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print("二、Bode图与稳定裕度")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计算稳定裕度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gm_no, pm_no, wgc_no, wpc_no = ctrl.margin(G0)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gm_lead, pm_lead, wgc_lead, wpc_lead = ctrl.margin(G_lead_open)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gm_lag, pm_lag, wgc_lag, wpc_lag = ctrl.margin(G_lag_open)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gm是绝对值，需要转换为dB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gm_no_dB = 20 * np.log10(gm_no)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gm_lead_dB = 20 * np.log10(gm_lead)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gm_lag_dB = 20 * np.log10(gm_lag)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print(f"\n{'指标':&lt;20} {'无校正':&lt;20} {'超前校正':&lt;20} {'滞后校正':&lt;20}")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print("-" * 85)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print(f"{'幅值裕度(dB)':&lt;20} {gm_no_dB:&lt;20.4f} {gm_lead_dB:&lt;20.4f} {gm_lag_dB:&lt;20.4f}")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print(f"{'相位裕度(°)':&lt;20} {pm_no:&lt;20.4f} {pm_lead:&lt;20.4f} {pm_lag:&lt;20.4f}")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print(f"{'截止频率(rad/s)':&lt;20} {wpc_no:&lt;20.4f} {wpc_lead:&lt;20.4f} {wpc_lag:&lt;20.4f}")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print(f"{'相位穿越频率(rad/s)':&lt;20} {wgc_no:&lt;20.4f} {wgc_lead:&lt;20.4f} {wgc_lag:&lt;20.4f}")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绘制Bode图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fig2, (ax2a, ax2b) = plt.subplots(2, 1, figsize=(14, 9))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幅频特性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mag_no, phase_no, omega_no = ctrl.bode_plot(G0, dB=True, plot=False)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mag_lead, phase_lead, omega_lead = ctrl.bode_plot(G_lead_open, dB=True, plot=False)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mag_lag, phase_lag, omega_lag = ctrl.bode_plot(G_lag_open, dB=True, plot=False)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ax2a.semilogx(omega_no, 20*np.log10(mag_no), 'b-', linewidth=2, label='无校正')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ax2a.semilogx(omega_lead, 20*np.log10(mag_lead), 'r-', linewidth=2, label='超前校正')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ax2a.semilogx(omega_lag, 20*np.log10(mag_lag), 'g-', linewidth=2, label='滞后校正')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ax2a.axhline(y=0, color='k', linestyle='--', alpha=0.5)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ax2a.set_ylabel('幅值 (dB)', fontsize=13)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ax2a.set_title('实验三：串联校正系统Bode图', fontsize=15, fontweight='bold')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ax2a.legend(loc='best', fontsize=11)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ax2a.grid(True, which='both', alpha=0.3)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ax2a.set_xlim([1e-2, 1e3])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相频特性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ax2b.semilogx(omega_no, phase_no, 'b-', linewidth=2, label='无校正')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ax2b.semilogx(omega_lead, phase_lead, 'r-', linewidth=2, label='超前校正')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ax2b.semilogx(omega_lag, phase_lag, 'g-', linewidth=2, label='滞后校正')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ax2b.axhline(y=-180, color='k', linestyle='--', alpha=0.5, label='-180°线')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ax2b.set_xlabel('频率 ω (rad/s)', fontsize=13)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ax2b.set_ylabel('相位 (°)', fontsize=13)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ax2b.legend(loc='best', fontsize=11)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ax2b.grid(True, which='both', alpha=0.3)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ax2b.set_xlim([1e-2, 1e3])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plt.tight_layout()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fig2.savefig('/Users/ljx/ee_review/自控实验/exp3_bode_plot.png', dpi=150, bbox_inches='tight')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print("✓ Bode图已保存: exp3_bode_plot.png")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==================== 3. 数据汇总表格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print("\n" + 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print("三、实验数据汇总")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data_summary = f"""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┌───────────────────┬────────────┬────────────┬────────────┐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     指标         │   无校正   │  超前校正  │  滞后校正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├───────────────────┼────────────┼────────────┼────────────┤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超调量 σ%         │  {info_no['overshoot']:&gt;6.2f}%  │  {info_lead['overshoot']:&gt;6.2f}%  │  {info_lag['overshoot']:&gt;6.2f}%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调节时间 ts(s)    │  {info_no['settling_time']:&gt;8.4f}  │  {info_lead['settling_time']:&gt;8.4f}  │  {info_lag['settling_time']:&gt;8.4f}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峰值时间 tp(s)    │  {info_no['peak_time']:&gt;8.4f}  │  {info_lead['peak_time']:&gt;8.4f}  │  {info_lag['peak_time']:&gt;8.4f}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相位裕度 γ(°)     │  {pm_no:&gt;8.4f}  │  {pm_lead:&gt;8.4f}  │  {pm_lag:&gt;8.4f}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幅值裕度 GM(dB)   │  {gm_no_dB:&gt;8.4f}  │  {gm_lead_dB:&gt;8.4f}  │  {gm_lag_dB:&gt;8.4f}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截止频率 ωc(rad/s)│  {wpc_no:&gt;8.4f}  │  {wpc_lead:&gt;8.4f}  │  {wpc_lag:&gt;8.4f}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└───────────────────┴────────────┴────────────┴────────────┘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print(data_summary)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plt.show()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print("\n实验三仿真完成！")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