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DCD" w:rsidRPr="004B3A34" w:rsidRDefault="004B3A34">
      <w:pPr>
        <w:rPr>
          <w:b/>
        </w:rPr>
      </w:pPr>
      <w:r w:rsidRPr="004B3A34">
        <w:rPr>
          <w:b/>
        </w:rPr>
        <w:t>Leland Randles DATA606</w:t>
      </w:r>
    </w:p>
    <w:p w:rsidR="004B3A34" w:rsidRPr="004B3A34" w:rsidRDefault="004B3A34">
      <w:pPr>
        <w:rPr>
          <w:u w:val="single"/>
        </w:rPr>
      </w:pPr>
      <w:r w:rsidRPr="004B3A34">
        <w:rPr>
          <w:u w:val="single"/>
        </w:rPr>
        <w:t>Homework, Chapter 2</w:t>
      </w:r>
    </w:p>
    <w:p w:rsidR="004B3A34" w:rsidRDefault="004B3A34" w:rsidP="004B3A34">
      <w:pPr>
        <w:spacing w:after="0"/>
      </w:pPr>
      <w:r>
        <w:rPr>
          <w:noProof/>
        </w:rPr>
        <w:drawing>
          <wp:inline distT="0" distB="0" distL="0" distR="0">
            <wp:extent cx="4079875" cy="78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9875" cy="782320"/>
                    </a:xfrm>
                    <a:prstGeom prst="rect">
                      <a:avLst/>
                    </a:prstGeom>
                    <a:noFill/>
                    <a:ln>
                      <a:noFill/>
                    </a:ln>
                  </pic:spPr>
                </pic:pic>
              </a:graphicData>
            </a:graphic>
          </wp:inline>
        </w:drawing>
      </w:r>
    </w:p>
    <w:p w:rsidR="006872D0" w:rsidRDefault="006872D0" w:rsidP="004B3A34">
      <w:pPr>
        <w:spacing w:after="0"/>
      </w:pPr>
    </w:p>
    <w:p w:rsidR="004B3A34" w:rsidRDefault="006872D0" w:rsidP="006872D0">
      <w:pPr>
        <w:pStyle w:val="ListParagraph"/>
        <w:numPr>
          <w:ilvl w:val="0"/>
          <w:numId w:val="1"/>
        </w:numPr>
        <w:spacing w:after="0"/>
      </w:pPr>
      <w:r>
        <w:t>The probability is zero because it is not possible to roll two dice and get a sum of 1</w:t>
      </w:r>
    </w:p>
    <w:p w:rsidR="006872D0" w:rsidRDefault="006872D0" w:rsidP="006872D0">
      <w:pPr>
        <w:pStyle w:val="ListParagraph"/>
        <w:numPr>
          <w:ilvl w:val="0"/>
          <w:numId w:val="1"/>
        </w:numPr>
        <w:spacing w:after="0"/>
      </w:pPr>
      <w:r>
        <w:t>There are four different combinations which could lead to a sum of 5 – 1 &amp; 4, 2 &amp; 3, 4 &amp; 1, or 3 &amp; 2, hence the probability is 4 out of the total combinations, which is 36 (6 times 6).  Hence the probability is 4/36 or 1/9.</w:t>
      </w:r>
    </w:p>
    <w:p w:rsidR="006872D0" w:rsidRDefault="006872D0" w:rsidP="006872D0">
      <w:pPr>
        <w:pStyle w:val="ListParagraph"/>
        <w:numPr>
          <w:ilvl w:val="0"/>
          <w:numId w:val="1"/>
        </w:numPr>
        <w:spacing w:after="0"/>
      </w:pPr>
      <w:r>
        <w:t>Only 6 and 6 would yield a sum of 12, and the odds of rolling two sixes is 1/6 * 1/6 or 1/36.</w:t>
      </w:r>
    </w:p>
    <w:p w:rsidR="00EB47CA" w:rsidRDefault="00EB47CA" w:rsidP="00EB47CA">
      <w:pPr>
        <w:spacing w:after="0"/>
      </w:pPr>
    </w:p>
    <w:p w:rsidR="006872D0" w:rsidRDefault="006872D0" w:rsidP="004B3A34">
      <w:pPr>
        <w:spacing w:after="0"/>
      </w:pPr>
    </w:p>
    <w:p w:rsidR="004B3A34" w:rsidRDefault="004B3A34" w:rsidP="004B3A34">
      <w:pPr>
        <w:spacing w:after="0"/>
      </w:pPr>
      <w:r>
        <w:rPr>
          <w:noProof/>
        </w:rPr>
        <w:drawing>
          <wp:inline distT="0" distB="0" distL="0" distR="0">
            <wp:extent cx="5178425" cy="227711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8425" cy="2277110"/>
                    </a:xfrm>
                    <a:prstGeom prst="rect">
                      <a:avLst/>
                    </a:prstGeom>
                    <a:noFill/>
                    <a:ln>
                      <a:noFill/>
                    </a:ln>
                  </pic:spPr>
                </pic:pic>
              </a:graphicData>
            </a:graphic>
          </wp:inline>
        </w:drawing>
      </w:r>
    </w:p>
    <w:p w:rsidR="004B3A34" w:rsidRDefault="004B3A34" w:rsidP="004B3A34">
      <w:pPr>
        <w:spacing w:after="0"/>
      </w:pPr>
    </w:p>
    <w:p w:rsidR="004B3A34" w:rsidRDefault="00EB47CA" w:rsidP="00EB47CA">
      <w:pPr>
        <w:pStyle w:val="ListParagraph"/>
        <w:numPr>
          <w:ilvl w:val="0"/>
          <w:numId w:val="2"/>
        </w:numPr>
        <w:spacing w:after="0"/>
      </w:pPr>
      <w:r>
        <w:t>No, they are not disjoint</w:t>
      </w:r>
    </w:p>
    <w:p w:rsidR="00EB47CA" w:rsidRDefault="00EB47CA" w:rsidP="00EB47CA">
      <w:pPr>
        <w:pStyle w:val="ListParagraph"/>
        <w:numPr>
          <w:ilvl w:val="0"/>
          <w:numId w:val="2"/>
        </w:numPr>
        <w:spacing w:after="0"/>
      </w:pPr>
      <w:r>
        <w:t>Oval labeled “speak foreign language” represents 20.7% of survey participants, oval with “live below poverty line” represents 14.6% of survey participants, and the intersection of the two ovals represents the 4.2% that fall into both categories:</w:t>
      </w:r>
    </w:p>
    <w:p w:rsidR="00EB47CA" w:rsidRDefault="00EB47CA" w:rsidP="00EB47CA">
      <w:pPr>
        <w:spacing w:after="0"/>
      </w:pPr>
      <w:r>
        <w:rPr>
          <w:noProof/>
        </w:rPr>
        <mc:AlternateContent>
          <mc:Choice Requires="wps">
            <w:drawing>
              <wp:anchor distT="0" distB="0" distL="114300" distR="114300" simplePos="0" relativeHeight="251659264" behindDoc="1" locked="0" layoutInCell="1" allowOverlap="1" wp14:anchorId="3AF0891C" wp14:editId="38C8BDC1">
                <wp:simplePos x="0" y="0"/>
                <wp:positionH relativeFrom="column">
                  <wp:posOffset>1705610</wp:posOffset>
                </wp:positionH>
                <wp:positionV relativeFrom="paragraph">
                  <wp:posOffset>93345</wp:posOffset>
                </wp:positionV>
                <wp:extent cx="1406525" cy="694055"/>
                <wp:effectExtent l="0" t="0" r="22225" b="10795"/>
                <wp:wrapTight wrapText="bothSides">
                  <wp:wrapPolygon edited="0">
                    <wp:start x="7314" y="0"/>
                    <wp:lineTo x="0" y="2371"/>
                    <wp:lineTo x="0" y="15414"/>
                    <wp:lineTo x="2926" y="18972"/>
                    <wp:lineTo x="2926" y="19565"/>
                    <wp:lineTo x="6144" y="21343"/>
                    <wp:lineTo x="6729" y="21343"/>
                    <wp:lineTo x="14920" y="21343"/>
                    <wp:lineTo x="15505" y="21343"/>
                    <wp:lineTo x="19016" y="18972"/>
                    <wp:lineTo x="21649" y="14822"/>
                    <wp:lineTo x="21649" y="1779"/>
                    <wp:lineTo x="14335" y="0"/>
                    <wp:lineTo x="7314" y="0"/>
                  </wp:wrapPolygon>
                </wp:wrapTight>
                <wp:docPr id="7" name="Oval 7"/>
                <wp:cNvGraphicFramePr/>
                <a:graphic xmlns:a="http://schemas.openxmlformats.org/drawingml/2006/main">
                  <a:graphicData uri="http://schemas.microsoft.com/office/word/2010/wordprocessingShape">
                    <wps:wsp>
                      <wps:cNvSpPr/>
                      <wps:spPr>
                        <a:xfrm>
                          <a:off x="0" y="0"/>
                          <a:ext cx="1406525" cy="6940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47CA" w:rsidRPr="00EB47CA" w:rsidRDefault="00EB47CA" w:rsidP="00EB47CA">
                            <w:pPr>
                              <w:rPr>
                                <w:color w:val="000000" w:themeColor="text1"/>
                                <w:w w:val="80"/>
                              </w:rPr>
                            </w:pPr>
                            <w:r>
                              <w:rPr>
                                <w:color w:val="000000" w:themeColor="text1"/>
                                <w:w w:val="80"/>
                              </w:rPr>
                              <w:t>Speak foreign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w14:anchorId="3AF0891C" id="Oval 7" o:spid="_x0000_s1026" style="position:absolute;margin-left:134.3pt;margin-top:7.35pt;width:110.75pt;height:54.6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" filled="f" strokecolor="#243f60 [1604]" strokeweight="2pt">
                <v:textbox>
                  <w:txbxContent>
                    <w:p w:rsidR="00EB47CA" w:rsidRPr="00EB47CA" w:rsidRDefault="00EB47CA" w:rsidP="00EB47CA">
                      <w:pPr>
                        <w:rPr>
                          <w:color w:val="000000" w:themeColor="text1"/>
                          <w:w w:val="80"/>
                        </w:rPr>
                      </w:pPr>
                      <w:r>
                        <w:rPr>
                          <w:color w:val="000000" w:themeColor="text1"/>
                          <w:w w:val="80"/>
                        </w:rPr>
                        <w:t>Speak foreign language</w:t>
                      </w:r>
                    </w:p>
                  </w:txbxContent>
                </v:textbox>
                <w10:wrap type="tight"/>
              </v:oval>
            </w:pict>
          </mc:Fallback>
        </mc:AlternateContent>
      </w:r>
      <w:r>
        <w:rPr>
          <w:noProof/>
        </w:rPr>
        <mc:AlternateContent>
          <mc:Choice Requires="wps">
            <w:drawing>
              <wp:anchor distT="0" distB="0" distL="114300" distR="114300" simplePos="0" relativeHeight="251660288" behindDoc="0" locked="0" layoutInCell="1" allowOverlap="1" wp14:anchorId="08247301" wp14:editId="795C9153">
                <wp:simplePos x="0" y="0"/>
                <wp:positionH relativeFrom="column">
                  <wp:posOffset>2848708</wp:posOffset>
                </wp:positionH>
                <wp:positionV relativeFrom="paragraph">
                  <wp:posOffset>163781</wp:posOffset>
                </wp:positionV>
                <wp:extent cx="984739" cy="685800"/>
                <wp:effectExtent l="0" t="0" r="25400" b="19050"/>
                <wp:wrapNone/>
                <wp:docPr id="8" name="Oval 8"/>
                <wp:cNvGraphicFramePr/>
                <a:graphic xmlns:a="http://schemas.openxmlformats.org/drawingml/2006/main">
                  <a:graphicData uri="http://schemas.microsoft.com/office/word/2010/wordprocessingShape">
                    <wps:wsp>
                      <wps:cNvSpPr/>
                      <wps:spPr>
                        <a:xfrm>
                          <a:off x="0" y="0"/>
                          <a:ext cx="984739" cy="685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47CA" w:rsidRPr="00EB47CA" w:rsidRDefault="00EB47CA" w:rsidP="00EB47CA">
                            <w:pPr>
                              <w:spacing w:after="0"/>
                              <w:jc w:val="right"/>
                              <w:rPr>
                                <w:color w:val="000000" w:themeColor="text1"/>
                                <w:w w:val="80"/>
                              </w:rPr>
                            </w:pPr>
                            <w:r w:rsidRPr="00EB47CA">
                              <w:rPr>
                                <w:color w:val="000000" w:themeColor="text1"/>
                                <w:w w:val="66"/>
                              </w:rPr>
                              <w:t>Live below poverty</w:t>
                            </w:r>
                            <w:r w:rsidRPr="00EB47CA">
                              <w:rPr>
                                <w:color w:val="000000" w:themeColor="text1"/>
                                <w:w w:val="80"/>
                              </w:rPr>
                              <w:t xml:space="preserve"> li</w:t>
                            </w:r>
                            <w:r>
                              <w:rPr>
                                <w:color w:val="000000" w:themeColor="text1"/>
                                <w:w w:val="80"/>
                              </w:rPr>
                              <w:t>n</w:t>
                            </w:r>
                            <w:r w:rsidRPr="00EB47CA">
                              <w:rPr>
                                <w:color w:val="000000" w:themeColor="text1"/>
                                <w:w w:val="80"/>
                              </w:rPr>
                              <w:t>e</w:t>
                            </w:r>
                          </w:p>
                          <w:p w:rsidR="00EB47CA" w:rsidRDefault="00EB47CA" w:rsidP="00EB47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247301" id="Oval 8" o:spid="_x0000_s1027" style="position:absolute;margin-left:224.3pt;margin-top:12.9pt;width:77.5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" filled="f" strokecolor="#243f60 [1604]" strokeweight="2pt">
                <v:textbox>
                  <w:txbxContent>
                    <w:p w:rsidR="00EB47CA" w:rsidRPr="00EB47CA" w:rsidRDefault="00EB47CA" w:rsidP="00EB47CA">
                      <w:pPr>
                        <w:spacing w:after="0"/>
                        <w:jc w:val="right"/>
                        <w:rPr>
                          <w:color w:val="000000" w:themeColor="text1"/>
                          <w:w w:val="80"/>
                        </w:rPr>
                      </w:pPr>
                      <w:r w:rsidRPr="00EB47CA">
                        <w:rPr>
                          <w:color w:val="000000" w:themeColor="text1"/>
                          <w:w w:val="66"/>
                        </w:rPr>
                        <w:t>Live below poverty</w:t>
                      </w:r>
                      <w:r w:rsidRPr="00EB47CA">
                        <w:rPr>
                          <w:color w:val="000000" w:themeColor="text1"/>
                          <w:w w:val="80"/>
                        </w:rPr>
                        <w:t xml:space="preserve"> li</w:t>
                      </w:r>
                      <w:r>
                        <w:rPr>
                          <w:color w:val="000000" w:themeColor="text1"/>
                          <w:w w:val="80"/>
                        </w:rPr>
                        <w:t>n</w:t>
                      </w:r>
                      <w:r w:rsidRPr="00EB47CA">
                        <w:rPr>
                          <w:color w:val="000000" w:themeColor="text1"/>
                          <w:w w:val="80"/>
                        </w:rPr>
                        <w:t>e</w:t>
                      </w:r>
                    </w:p>
                    <w:p w:rsidR="00EB47CA" w:rsidRDefault="00EB47CA" w:rsidP="00EB47CA">
                      <w:pPr>
                        <w:jc w:val="center"/>
                      </w:pPr>
                    </w:p>
                  </w:txbxContent>
                </v:textbox>
              </v:oval>
            </w:pict>
          </mc:Fallback>
        </mc:AlternateContent>
      </w:r>
    </w:p>
    <w:p w:rsidR="00EB47CA" w:rsidRPr="00EB47CA" w:rsidRDefault="00EB47CA" w:rsidP="00EB47CA">
      <w:pPr>
        <w:tabs>
          <w:tab w:val="left" w:pos="3434"/>
          <w:tab w:val="left" w:pos="3863"/>
        </w:tabs>
      </w:pPr>
      <w:r>
        <w:tab/>
      </w:r>
      <w:r>
        <w:tab/>
      </w:r>
    </w:p>
    <w:p w:rsidR="00C9404F" w:rsidRDefault="00C9404F" w:rsidP="004B3A34">
      <w:pPr>
        <w:spacing w:after="0"/>
      </w:pPr>
    </w:p>
    <w:p w:rsidR="00C9404F" w:rsidRDefault="00C9404F" w:rsidP="004B3A34">
      <w:pPr>
        <w:spacing w:after="0"/>
      </w:pPr>
    </w:p>
    <w:p w:rsidR="00C9404F" w:rsidRDefault="00C9404F" w:rsidP="004B3A34">
      <w:pPr>
        <w:spacing w:after="0"/>
      </w:pPr>
    </w:p>
    <w:p w:rsidR="00C9404F" w:rsidRDefault="00C9404F" w:rsidP="00C9404F">
      <w:pPr>
        <w:pStyle w:val="ListParagraph"/>
        <w:numPr>
          <w:ilvl w:val="0"/>
          <w:numId w:val="2"/>
        </w:numPr>
        <w:spacing w:after="0"/>
      </w:pPr>
      <w:r>
        <w:t>14.6% minus 4.2% = 10.4%</w:t>
      </w:r>
    </w:p>
    <w:p w:rsidR="00C9404F" w:rsidRDefault="00C9404F" w:rsidP="00C9404F">
      <w:pPr>
        <w:pStyle w:val="ListParagraph"/>
        <w:numPr>
          <w:ilvl w:val="0"/>
          <w:numId w:val="2"/>
        </w:numPr>
        <w:spacing w:after="0"/>
      </w:pPr>
      <w:r>
        <w:t>14.6% + 20.7% - 4.2% = 31.3%</w:t>
      </w:r>
    </w:p>
    <w:p w:rsidR="00C9404F" w:rsidRDefault="00C9404F" w:rsidP="00C9404F">
      <w:pPr>
        <w:pStyle w:val="ListParagraph"/>
        <w:numPr>
          <w:ilvl w:val="0"/>
          <w:numId w:val="2"/>
        </w:numPr>
        <w:spacing w:after="0"/>
      </w:pPr>
      <w:r>
        <w:t>Seems to be repeat of c above, which was 14.6% minus 4.2% = 10.4%</w:t>
      </w:r>
    </w:p>
    <w:p w:rsidR="00C9404F" w:rsidRDefault="00C9404F" w:rsidP="00C9404F">
      <w:pPr>
        <w:pStyle w:val="ListParagraph"/>
        <w:numPr>
          <w:ilvl w:val="0"/>
          <w:numId w:val="2"/>
        </w:numPr>
        <w:spacing w:after="0"/>
      </w:pPr>
      <w:r>
        <w:t>No, there is overlap between the two</w:t>
      </w:r>
    </w:p>
    <w:p w:rsidR="004B3A34" w:rsidRDefault="004B3A34" w:rsidP="004B3A34">
      <w:pPr>
        <w:spacing w:after="0"/>
      </w:pPr>
      <w:r>
        <w:rPr>
          <w:noProof/>
        </w:rPr>
        <w:lastRenderedPageBreak/>
        <w:drawing>
          <wp:inline distT="0" distB="0" distL="0" distR="0">
            <wp:extent cx="5275580" cy="305943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5580" cy="3059430"/>
                    </a:xfrm>
                    <a:prstGeom prst="rect">
                      <a:avLst/>
                    </a:prstGeom>
                    <a:noFill/>
                    <a:ln>
                      <a:noFill/>
                    </a:ln>
                  </pic:spPr>
                </pic:pic>
              </a:graphicData>
            </a:graphic>
          </wp:inline>
        </w:drawing>
      </w:r>
    </w:p>
    <w:p w:rsidR="004B3A34" w:rsidRDefault="004B3A34" w:rsidP="004B3A34">
      <w:pPr>
        <w:spacing w:after="0"/>
      </w:pPr>
    </w:p>
    <w:p w:rsidR="007D145F" w:rsidRDefault="00D43686" w:rsidP="007D145F">
      <w:pPr>
        <w:pStyle w:val="ListParagraph"/>
        <w:numPr>
          <w:ilvl w:val="0"/>
          <w:numId w:val="4"/>
        </w:numPr>
        <w:spacing w:after="0"/>
      </w:pPr>
      <w:r>
        <w:t>There are three possibilities that fulfill the question – the male has blue eyes but his partner does not, the male does not have blue eyes but his partner does, or both the male and his partner have blue eyes.  36 respondents fit the first scenario, 30 respondents fit the 2</w:t>
      </w:r>
      <w:r w:rsidRPr="00D43686">
        <w:rPr>
          <w:vertAlign w:val="superscript"/>
        </w:rPr>
        <w:t>nd</w:t>
      </w:r>
      <w:r>
        <w:t xml:space="preserve"> scenario, and 78 respondents fit the 3</w:t>
      </w:r>
      <w:r w:rsidRPr="00D43686">
        <w:rPr>
          <w:vertAlign w:val="superscript"/>
        </w:rPr>
        <w:t>rd</w:t>
      </w:r>
      <w:r>
        <w:t xml:space="preserve"> scenario, which is a total of 144 out of a total of 204 respondents, which means the probability is 144/204 = 0.706.</w:t>
      </w:r>
    </w:p>
    <w:p w:rsidR="007D145F" w:rsidRDefault="007D145F" w:rsidP="007D145F">
      <w:pPr>
        <w:pStyle w:val="ListParagraph"/>
        <w:numPr>
          <w:ilvl w:val="0"/>
          <w:numId w:val="4"/>
        </w:numPr>
        <w:spacing w:after="0"/>
      </w:pPr>
      <w:r>
        <w:t>78 / 114 = 0.684</w:t>
      </w:r>
    </w:p>
    <w:p w:rsidR="007D145F" w:rsidRDefault="007D145F" w:rsidP="007D145F">
      <w:pPr>
        <w:pStyle w:val="ListParagraph"/>
        <w:numPr>
          <w:ilvl w:val="0"/>
          <w:numId w:val="4"/>
        </w:numPr>
        <w:spacing w:after="0"/>
      </w:pPr>
      <w:r>
        <w:t>19 / 54 = 0.352; 11 / 36 = 0.306</w:t>
      </w:r>
    </w:p>
    <w:p w:rsidR="007D145F" w:rsidRDefault="007D145F" w:rsidP="007D145F">
      <w:pPr>
        <w:pStyle w:val="ListParagraph"/>
        <w:numPr>
          <w:ilvl w:val="0"/>
          <w:numId w:val="4"/>
        </w:numPr>
        <w:spacing w:after="0"/>
      </w:pPr>
      <w:r>
        <w:t>No.  It appears it is more likely that males will pick a partner with the same eye color over a partner with a different eye color, so when you know what color eyes the male respondent has, it effects the likelihood for the eye color of the partner.</w:t>
      </w:r>
    </w:p>
    <w:p w:rsidR="007D145F" w:rsidRDefault="007D145F" w:rsidP="007D145F">
      <w:pPr>
        <w:spacing w:after="0"/>
      </w:pPr>
    </w:p>
    <w:p w:rsidR="007D145F" w:rsidRDefault="007D145F" w:rsidP="007D145F">
      <w:pPr>
        <w:spacing w:after="0"/>
      </w:pPr>
    </w:p>
    <w:p w:rsidR="004B3A34" w:rsidRDefault="004B3A34" w:rsidP="004B3A34">
      <w:pPr>
        <w:spacing w:after="0"/>
      </w:pPr>
      <w:r>
        <w:rPr>
          <w:noProof/>
        </w:rPr>
        <w:drawing>
          <wp:inline distT="0" distB="0" distL="0" distR="0">
            <wp:extent cx="5161280" cy="246189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1280" cy="2461895"/>
                    </a:xfrm>
                    <a:prstGeom prst="rect">
                      <a:avLst/>
                    </a:prstGeom>
                    <a:noFill/>
                    <a:ln>
                      <a:noFill/>
                    </a:ln>
                  </pic:spPr>
                </pic:pic>
              </a:graphicData>
            </a:graphic>
          </wp:inline>
        </w:drawing>
      </w:r>
    </w:p>
    <w:p w:rsidR="007D145F" w:rsidRDefault="007D145F" w:rsidP="004B3A34">
      <w:pPr>
        <w:pStyle w:val="ListParagraph"/>
        <w:numPr>
          <w:ilvl w:val="0"/>
          <w:numId w:val="5"/>
        </w:numPr>
        <w:spacing w:after="0"/>
      </w:pPr>
      <w:r>
        <w:lastRenderedPageBreak/>
        <w:t>Probability of drawing a hardcover book is 28 / 95.  Probability of drawing a paperback fiction book next without replacement is 59 / 94.  Hence the probably of drawing the two in order is 28/95 * 59/94 = 0.185</w:t>
      </w:r>
    </w:p>
    <w:p w:rsidR="007D145F" w:rsidRDefault="007D145F" w:rsidP="004B3A34">
      <w:pPr>
        <w:pStyle w:val="ListParagraph"/>
        <w:numPr>
          <w:ilvl w:val="0"/>
          <w:numId w:val="5"/>
        </w:numPr>
        <w:spacing w:after="0"/>
      </w:pPr>
      <w:r>
        <w:t>Probability of drawing a fiction book is 72 / 95.  Probability of drawing a hardcover b</w:t>
      </w:r>
      <w:r w:rsidR="003C18BA">
        <w:t>ook next without replacement depends on whether the fiction book drawn was paperback or hardcover.  There was a 13/72 chance the fiction</w:t>
      </w:r>
      <w:r>
        <w:t xml:space="preserve"> </w:t>
      </w:r>
      <w:r w:rsidR="003C18BA">
        <w:t>book was hardcover, and 59/72 chance that it was paperback.  Therefore, the chance that the 2</w:t>
      </w:r>
      <w:r w:rsidR="003C18BA" w:rsidRPr="003C18BA">
        <w:rPr>
          <w:vertAlign w:val="superscript"/>
        </w:rPr>
        <w:t>nd</w:t>
      </w:r>
      <w:r w:rsidR="003C18BA">
        <w:t xml:space="preserve"> book drawn is a hardcover book is (13/72)*(27/94) + (59/72)*(28/94), which equals 0.296.  Take 72/95 * 0.296 and you get 0.224.</w:t>
      </w:r>
    </w:p>
    <w:p w:rsidR="003C18BA" w:rsidRDefault="003C18BA" w:rsidP="004B3A34">
      <w:pPr>
        <w:pStyle w:val="ListParagraph"/>
        <w:numPr>
          <w:ilvl w:val="0"/>
          <w:numId w:val="5"/>
        </w:numPr>
        <w:spacing w:after="0"/>
      </w:pPr>
      <w:r>
        <w:t>72/95 * 28/95 = 0.223.</w:t>
      </w:r>
    </w:p>
    <w:p w:rsidR="003C18BA" w:rsidRDefault="003C18BA" w:rsidP="004B3A34">
      <w:pPr>
        <w:pStyle w:val="ListParagraph"/>
        <w:numPr>
          <w:ilvl w:val="0"/>
          <w:numId w:val="5"/>
        </w:numPr>
        <w:spacing w:after="0"/>
      </w:pPr>
      <w:r>
        <w:t>There are fairly similar because the sample size is fairly large (95 books).  The effect of sample with or without replacement diminishes based on the size of the sample.</w:t>
      </w:r>
    </w:p>
    <w:p w:rsidR="003C18BA" w:rsidRDefault="003C18BA" w:rsidP="003C18BA">
      <w:pPr>
        <w:spacing w:after="0"/>
      </w:pPr>
    </w:p>
    <w:p w:rsidR="004B3A34" w:rsidRDefault="004B3A34" w:rsidP="004B3A34">
      <w:pPr>
        <w:spacing w:after="0"/>
      </w:pPr>
    </w:p>
    <w:p w:rsidR="004B3A34" w:rsidRDefault="004B3A34" w:rsidP="003C18BA">
      <w:pPr>
        <w:spacing w:after="0"/>
      </w:pPr>
      <w:r>
        <w:rPr>
          <w:noProof/>
        </w:rPr>
        <w:drawing>
          <wp:inline distT="0" distB="0" distL="0" distR="0" wp14:anchorId="2F9543CC" wp14:editId="0C56C32D">
            <wp:extent cx="5257800" cy="13893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389380"/>
                    </a:xfrm>
                    <a:prstGeom prst="rect">
                      <a:avLst/>
                    </a:prstGeom>
                    <a:noFill/>
                    <a:ln>
                      <a:noFill/>
                    </a:ln>
                  </pic:spPr>
                </pic:pic>
              </a:graphicData>
            </a:graphic>
          </wp:inline>
        </w:drawing>
      </w:r>
    </w:p>
    <w:p w:rsidR="004029DB" w:rsidRDefault="00E56C8E" w:rsidP="00E56C8E">
      <w:pPr>
        <w:pStyle w:val="ListParagraph"/>
        <w:numPr>
          <w:ilvl w:val="0"/>
          <w:numId w:val="7"/>
        </w:numPr>
        <w:spacing w:after="0"/>
      </w:pPr>
      <w:r>
        <w:t>Expected value is 15.7</w:t>
      </w:r>
      <w:r w:rsidR="00435ED3">
        <w:t>.  As you can see from table below, the variance is 376.12, so the standard deviation (σ) = 376.12^0.5 = 19.394.</w:t>
      </w:r>
    </w:p>
    <w:p w:rsidR="004029DB" w:rsidRDefault="004029DB" w:rsidP="003C18BA">
      <w:pPr>
        <w:spacing w:after="0"/>
      </w:pPr>
    </w:p>
    <w:tbl>
      <w:tblPr>
        <w:tblStyle w:val="TableGrid"/>
        <w:tblW w:w="0" w:type="auto"/>
        <w:tblInd w:w="1080" w:type="dxa"/>
        <w:tblLook w:val="04A0" w:firstRow="1" w:lastRow="0" w:firstColumn="1" w:lastColumn="0" w:noHBand="0" w:noVBand="1"/>
      </w:tblPr>
      <w:tblGrid>
        <w:gridCol w:w="1908"/>
        <w:gridCol w:w="1710"/>
        <w:gridCol w:w="1710"/>
        <w:gridCol w:w="1800"/>
        <w:gridCol w:w="1368"/>
      </w:tblGrid>
      <w:tr w:rsidR="00E56C8E" w:rsidTr="00435ED3">
        <w:tc>
          <w:tcPr>
            <w:tcW w:w="1908" w:type="dxa"/>
          </w:tcPr>
          <w:p w:rsidR="004029DB" w:rsidRPr="004029DB" w:rsidRDefault="004029DB" w:rsidP="004029DB">
            <w:pPr>
              <w:pStyle w:val="ListParagraph"/>
              <w:ind w:left="0"/>
              <w:rPr>
                <w:b/>
                <w:i/>
              </w:rPr>
            </w:pPr>
            <w:proofErr w:type="spellStart"/>
            <w:r w:rsidRPr="004029DB">
              <w:rPr>
                <w:b/>
                <w:i/>
              </w:rPr>
              <w:t>i</w:t>
            </w:r>
            <w:proofErr w:type="spellEnd"/>
          </w:p>
        </w:tc>
        <w:tc>
          <w:tcPr>
            <w:tcW w:w="1710" w:type="dxa"/>
          </w:tcPr>
          <w:p w:rsidR="004029DB" w:rsidRPr="004029DB" w:rsidRDefault="004029DB" w:rsidP="00E56C8E">
            <w:pPr>
              <w:pStyle w:val="ListParagraph"/>
              <w:ind w:left="0"/>
              <w:jc w:val="center"/>
              <w:rPr>
                <w:b/>
              </w:rPr>
            </w:pPr>
            <w:r w:rsidRPr="004029DB">
              <w:rPr>
                <w:b/>
              </w:rPr>
              <w:t>1</w:t>
            </w:r>
          </w:p>
        </w:tc>
        <w:tc>
          <w:tcPr>
            <w:tcW w:w="1710" w:type="dxa"/>
          </w:tcPr>
          <w:p w:rsidR="004029DB" w:rsidRPr="004029DB" w:rsidRDefault="004029DB" w:rsidP="00E56C8E">
            <w:pPr>
              <w:pStyle w:val="ListParagraph"/>
              <w:ind w:left="0"/>
              <w:jc w:val="center"/>
              <w:rPr>
                <w:b/>
              </w:rPr>
            </w:pPr>
            <w:r w:rsidRPr="004029DB">
              <w:rPr>
                <w:b/>
              </w:rPr>
              <w:t>2</w:t>
            </w:r>
          </w:p>
        </w:tc>
        <w:tc>
          <w:tcPr>
            <w:tcW w:w="1800" w:type="dxa"/>
          </w:tcPr>
          <w:p w:rsidR="004029DB" w:rsidRPr="004029DB" w:rsidRDefault="004029DB" w:rsidP="00E56C8E">
            <w:pPr>
              <w:pStyle w:val="ListParagraph"/>
              <w:ind w:left="0"/>
              <w:jc w:val="center"/>
              <w:rPr>
                <w:b/>
              </w:rPr>
            </w:pPr>
            <w:r w:rsidRPr="004029DB">
              <w:rPr>
                <w:b/>
              </w:rPr>
              <w:t>3</w:t>
            </w:r>
          </w:p>
        </w:tc>
        <w:tc>
          <w:tcPr>
            <w:tcW w:w="1368" w:type="dxa"/>
          </w:tcPr>
          <w:p w:rsidR="004029DB" w:rsidRPr="004029DB" w:rsidRDefault="004029DB" w:rsidP="004029DB">
            <w:pPr>
              <w:pStyle w:val="ListParagraph"/>
              <w:ind w:left="0"/>
              <w:jc w:val="center"/>
              <w:rPr>
                <w:b/>
              </w:rPr>
            </w:pPr>
            <w:r w:rsidRPr="004029DB">
              <w:rPr>
                <w:b/>
              </w:rPr>
              <w:t>Total</w:t>
            </w:r>
          </w:p>
        </w:tc>
      </w:tr>
      <w:tr w:rsidR="00E56C8E" w:rsidTr="00435ED3">
        <w:tc>
          <w:tcPr>
            <w:tcW w:w="1908" w:type="dxa"/>
          </w:tcPr>
          <w:p w:rsidR="004029DB" w:rsidRPr="00E56C8E" w:rsidRDefault="004029DB" w:rsidP="004029DB">
            <w:pPr>
              <w:pStyle w:val="ListParagraph"/>
              <w:ind w:left="0"/>
            </w:pPr>
            <w:r>
              <w:rPr>
                <w:i/>
              </w:rPr>
              <w:t>x</w:t>
            </w:r>
            <w:r>
              <w:rPr>
                <w:vertAlign w:val="subscript"/>
              </w:rPr>
              <w:t>i</w:t>
            </w:r>
            <w:r w:rsidR="00E56C8E">
              <w:rPr>
                <w:vertAlign w:val="subscript"/>
              </w:rPr>
              <w:t xml:space="preserve"> </w:t>
            </w:r>
            <w:r w:rsidR="00E56C8E">
              <w:t xml:space="preserve"> (in dollars)</w:t>
            </w:r>
          </w:p>
        </w:tc>
        <w:tc>
          <w:tcPr>
            <w:tcW w:w="1710" w:type="dxa"/>
          </w:tcPr>
          <w:p w:rsidR="004029DB" w:rsidRDefault="004029DB" w:rsidP="00E56C8E">
            <w:pPr>
              <w:pStyle w:val="ListParagraph"/>
              <w:ind w:left="0"/>
              <w:jc w:val="center"/>
            </w:pPr>
            <w:r>
              <w:t>0</w:t>
            </w:r>
          </w:p>
        </w:tc>
        <w:tc>
          <w:tcPr>
            <w:tcW w:w="1710" w:type="dxa"/>
          </w:tcPr>
          <w:p w:rsidR="004029DB" w:rsidRDefault="004029DB" w:rsidP="00E56C8E">
            <w:pPr>
              <w:jc w:val="center"/>
            </w:pPr>
            <w:r>
              <w:t>25</w:t>
            </w:r>
          </w:p>
        </w:tc>
        <w:tc>
          <w:tcPr>
            <w:tcW w:w="1800" w:type="dxa"/>
          </w:tcPr>
          <w:p w:rsidR="004029DB" w:rsidRDefault="004029DB" w:rsidP="00E56C8E">
            <w:pPr>
              <w:jc w:val="center"/>
            </w:pPr>
            <w:r>
              <w:t>60</w:t>
            </w:r>
          </w:p>
        </w:tc>
        <w:tc>
          <w:tcPr>
            <w:tcW w:w="1368" w:type="dxa"/>
          </w:tcPr>
          <w:p w:rsidR="004029DB" w:rsidRDefault="004029DB" w:rsidP="004029DB">
            <w:pPr>
              <w:ind w:left="720"/>
            </w:pPr>
          </w:p>
        </w:tc>
      </w:tr>
      <w:tr w:rsidR="00E56C8E" w:rsidTr="00435ED3">
        <w:tc>
          <w:tcPr>
            <w:tcW w:w="1908" w:type="dxa"/>
          </w:tcPr>
          <w:p w:rsidR="004029DB" w:rsidRPr="00E56C8E" w:rsidRDefault="00E56C8E" w:rsidP="00E56C8E">
            <w:pPr>
              <w:pStyle w:val="ListParagraph"/>
              <w:ind w:left="0"/>
            </w:pPr>
            <w:r w:rsidRPr="00E56C8E">
              <w:rPr>
                <w:i/>
              </w:rPr>
              <w:t>P(X</w:t>
            </w:r>
            <w:r>
              <w:t xml:space="preserve"> </w:t>
            </w:r>
            <w:r w:rsidRPr="00E56C8E">
              <w:rPr>
                <w:i/>
              </w:rPr>
              <w:t>= x</w:t>
            </w:r>
            <w:r w:rsidRPr="00E56C8E">
              <w:rPr>
                <w:i/>
                <w:vertAlign w:val="subscript"/>
              </w:rPr>
              <w:t>i</w:t>
            </w:r>
            <w:r w:rsidRPr="00E56C8E">
              <w:rPr>
                <w:i/>
              </w:rPr>
              <w:t>)</w:t>
            </w:r>
          </w:p>
        </w:tc>
        <w:tc>
          <w:tcPr>
            <w:tcW w:w="1710" w:type="dxa"/>
          </w:tcPr>
          <w:p w:rsidR="004029DB" w:rsidRDefault="00E56C8E" w:rsidP="00E56C8E">
            <w:pPr>
              <w:jc w:val="center"/>
            </w:pPr>
            <w:r>
              <w:t>0.54</w:t>
            </w:r>
          </w:p>
        </w:tc>
        <w:tc>
          <w:tcPr>
            <w:tcW w:w="1710" w:type="dxa"/>
          </w:tcPr>
          <w:p w:rsidR="004029DB" w:rsidRDefault="00E56C8E" w:rsidP="00E56C8E">
            <w:pPr>
              <w:pStyle w:val="ListParagraph"/>
              <w:ind w:left="0"/>
              <w:jc w:val="center"/>
            </w:pPr>
            <w:r>
              <w:t>0.34</w:t>
            </w:r>
          </w:p>
        </w:tc>
        <w:tc>
          <w:tcPr>
            <w:tcW w:w="1800" w:type="dxa"/>
          </w:tcPr>
          <w:p w:rsidR="004029DB" w:rsidRDefault="00E56C8E" w:rsidP="00E56C8E">
            <w:pPr>
              <w:pStyle w:val="ListParagraph"/>
              <w:ind w:left="0"/>
              <w:jc w:val="center"/>
            </w:pPr>
            <w:r>
              <w:t>0.12</w:t>
            </w:r>
          </w:p>
        </w:tc>
        <w:tc>
          <w:tcPr>
            <w:tcW w:w="1368" w:type="dxa"/>
          </w:tcPr>
          <w:p w:rsidR="004029DB" w:rsidRDefault="004029DB" w:rsidP="00E56C8E">
            <w:pPr>
              <w:pStyle w:val="ListParagraph"/>
              <w:ind w:left="0"/>
              <w:jc w:val="center"/>
            </w:pPr>
          </w:p>
        </w:tc>
      </w:tr>
      <w:tr w:rsidR="00E56C8E" w:rsidTr="00435ED3">
        <w:tc>
          <w:tcPr>
            <w:tcW w:w="1908" w:type="dxa"/>
          </w:tcPr>
          <w:p w:rsidR="004029DB" w:rsidRPr="00E56C8E" w:rsidRDefault="00E56C8E" w:rsidP="00E56C8E">
            <w:pPr>
              <w:pStyle w:val="ListParagraph"/>
              <w:ind w:left="0"/>
            </w:pPr>
            <w:r>
              <w:rPr>
                <w:i/>
              </w:rPr>
              <w:t>x</w:t>
            </w:r>
            <w:r>
              <w:rPr>
                <w:vertAlign w:val="subscript"/>
              </w:rPr>
              <w:t>i</w:t>
            </w:r>
            <w:r>
              <w:t xml:space="preserve"> * </w:t>
            </w:r>
            <w:r w:rsidRPr="00E56C8E">
              <w:rPr>
                <w:i/>
              </w:rPr>
              <w:t>P(X</w:t>
            </w:r>
            <w:r>
              <w:t xml:space="preserve"> </w:t>
            </w:r>
            <w:r w:rsidRPr="00E56C8E">
              <w:rPr>
                <w:i/>
              </w:rPr>
              <w:t>= x</w:t>
            </w:r>
            <w:r w:rsidRPr="00E56C8E">
              <w:rPr>
                <w:i/>
                <w:vertAlign w:val="subscript"/>
              </w:rPr>
              <w:t>i</w:t>
            </w:r>
            <w:r w:rsidRPr="00E56C8E">
              <w:rPr>
                <w:i/>
              </w:rPr>
              <w:t>)</w:t>
            </w:r>
          </w:p>
        </w:tc>
        <w:tc>
          <w:tcPr>
            <w:tcW w:w="1710" w:type="dxa"/>
          </w:tcPr>
          <w:p w:rsidR="004029DB" w:rsidRDefault="00E56C8E" w:rsidP="00E56C8E">
            <w:pPr>
              <w:pStyle w:val="ListParagraph"/>
              <w:ind w:left="0"/>
              <w:jc w:val="center"/>
            </w:pPr>
            <w:r>
              <w:t>0</w:t>
            </w:r>
          </w:p>
        </w:tc>
        <w:tc>
          <w:tcPr>
            <w:tcW w:w="1710" w:type="dxa"/>
          </w:tcPr>
          <w:p w:rsidR="004029DB" w:rsidRDefault="00E56C8E" w:rsidP="00E56C8E">
            <w:pPr>
              <w:pStyle w:val="ListParagraph"/>
              <w:ind w:left="0"/>
              <w:jc w:val="center"/>
            </w:pPr>
            <w:r>
              <w:t>8.5</w:t>
            </w:r>
          </w:p>
        </w:tc>
        <w:tc>
          <w:tcPr>
            <w:tcW w:w="1800" w:type="dxa"/>
          </w:tcPr>
          <w:p w:rsidR="004029DB" w:rsidRDefault="00E56C8E" w:rsidP="00E56C8E">
            <w:pPr>
              <w:pStyle w:val="ListParagraph"/>
              <w:ind w:left="0"/>
              <w:jc w:val="center"/>
            </w:pPr>
            <w:r>
              <w:t>7.2</w:t>
            </w:r>
          </w:p>
        </w:tc>
        <w:tc>
          <w:tcPr>
            <w:tcW w:w="1368" w:type="dxa"/>
          </w:tcPr>
          <w:p w:rsidR="004029DB" w:rsidRDefault="00E56C8E" w:rsidP="00E56C8E">
            <w:pPr>
              <w:pStyle w:val="ListParagraph"/>
              <w:ind w:left="0"/>
              <w:jc w:val="center"/>
            </w:pPr>
            <w:r>
              <w:t>15.7</w:t>
            </w:r>
          </w:p>
        </w:tc>
      </w:tr>
      <w:tr w:rsidR="00E56C8E" w:rsidTr="00435ED3">
        <w:tc>
          <w:tcPr>
            <w:tcW w:w="1908" w:type="dxa"/>
          </w:tcPr>
          <w:p w:rsidR="004029DB" w:rsidRPr="00E56C8E" w:rsidRDefault="00E56C8E" w:rsidP="00E56C8E">
            <w:pPr>
              <w:pStyle w:val="ListParagraph"/>
              <w:ind w:left="0"/>
            </w:pPr>
            <w:r>
              <w:rPr>
                <w:i/>
              </w:rPr>
              <w:t>x</w:t>
            </w:r>
            <w:r>
              <w:rPr>
                <w:vertAlign w:val="subscript"/>
              </w:rPr>
              <w:t>i</w:t>
            </w:r>
            <w:r>
              <w:t xml:space="preserve"> - </w:t>
            </w:r>
            <w:r w:rsidRPr="00E56C8E">
              <w:rPr>
                <w:i/>
              </w:rPr>
              <w:t>µ</w:t>
            </w:r>
          </w:p>
        </w:tc>
        <w:tc>
          <w:tcPr>
            <w:tcW w:w="1710" w:type="dxa"/>
          </w:tcPr>
          <w:p w:rsidR="004029DB" w:rsidRDefault="00E56C8E" w:rsidP="00E56C8E">
            <w:pPr>
              <w:pStyle w:val="ListParagraph"/>
              <w:ind w:left="0"/>
              <w:jc w:val="center"/>
            </w:pPr>
            <w:r>
              <w:t>-15.7</w:t>
            </w:r>
          </w:p>
        </w:tc>
        <w:tc>
          <w:tcPr>
            <w:tcW w:w="1710" w:type="dxa"/>
          </w:tcPr>
          <w:p w:rsidR="004029DB" w:rsidRDefault="00E56C8E" w:rsidP="00E56C8E">
            <w:pPr>
              <w:pStyle w:val="ListParagraph"/>
              <w:ind w:left="0"/>
              <w:jc w:val="center"/>
            </w:pPr>
            <w:r>
              <w:t>9.3</w:t>
            </w:r>
          </w:p>
        </w:tc>
        <w:tc>
          <w:tcPr>
            <w:tcW w:w="1800" w:type="dxa"/>
          </w:tcPr>
          <w:p w:rsidR="004029DB" w:rsidRDefault="00E56C8E" w:rsidP="00E56C8E">
            <w:pPr>
              <w:pStyle w:val="ListParagraph"/>
              <w:ind w:left="0"/>
              <w:jc w:val="center"/>
            </w:pPr>
            <w:r>
              <w:t>44.3</w:t>
            </w:r>
          </w:p>
        </w:tc>
        <w:tc>
          <w:tcPr>
            <w:tcW w:w="1368" w:type="dxa"/>
          </w:tcPr>
          <w:p w:rsidR="004029DB" w:rsidRDefault="004029DB" w:rsidP="00E56C8E">
            <w:pPr>
              <w:pStyle w:val="ListParagraph"/>
              <w:ind w:left="0"/>
            </w:pPr>
          </w:p>
        </w:tc>
      </w:tr>
      <w:tr w:rsidR="00E56C8E" w:rsidTr="00435ED3">
        <w:tc>
          <w:tcPr>
            <w:tcW w:w="1908" w:type="dxa"/>
          </w:tcPr>
          <w:p w:rsidR="004029DB" w:rsidRPr="00E56C8E" w:rsidRDefault="00E56C8E" w:rsidP="00E56C8E">
            <w:pPr>
              <w:pStyle w:val="ListParagraph"/>
              <w:ind w:left="0"/>
              <w:rPr>
                <w:vertAlign w:val="superscript"/>
              </w:rPr>
            </w:pPr>
            <w:r>
              <w:t>(</w:t>
            </w:r>
            <w:r>
              <w:rPr>
                <w:i/>
              </w:rPr>
              <w:t>x</w:t>
            </w:r>
            <w:r>
              <w:rPr>
                <w:vertAlign w:val="subscript"/>
              </w:rPr>
              <w:t>i</w:t>
            </w:r>
            <w:r>
              <w:t xml:space="preserve"> - </w:t>
            </w:r>
            <w:r w:rsidRPr="00E56C8E">
              <w:rPr>
                <w:i/>
              </w:rPr>
              <w:t>µ</w:t>
            </w:r>
            <w:r w:rsidRPr="00E56C8E">
              <w:t>)</w:t>
            </w:r>
            <w:r>
              <w:rPr>
                <w:vertAlign w:val="superscript"/>
              </w:rPr>
              <w:t>2</w:t>
            </w:r>
          </w:p>
        </w:tc>
        <w:tc>
          <w:tcPr>
            <w:tcW w:w="1710" w:type="dxa"/>
          </w:tcPr>
          <w:p w:rsidR="004029DB" w:rsidRDefault="00E56C8E" w:rsidP="00435ED3">
            <w:pPr>
              <w:pStyle w:val="ListParagraph"/>
              <w:ind w:left="0"/>
              <w:jc w:val="center"/>
            </w:pPr>
            <w:r>
              <w:t>246.69</w:t>
            </w:r>
          </w:p>
        </w:tc>
        <w:tc>
          <w:tcPr>
            <w:tcW w:w="1710" w:type="dxa"/>
          </w:tcPr>
          <w:p w:rsidR="004029DB" w:rsidRDefault="00E56C8E" w:rsidP="00435ED3">
            <w:pPr>
              <w:pStyle w:val="ListParagraph"/>
              <w:ind w:left="0"/>
              <w:jc w:val="center"/>
            </w:pPr>
            <w:r>
              <w:t>86.49</w:t>
            </w:r>
          </w:p>
        </w:tc>
        <w:tc>
          <w:tcPr>
            <w:tcW w:w="1800" w:type="dxa"/>
          </w:tcPr>
          <w:p w:rsidR="004029DB" w:rsidRDefault="00E56C8E" w:rsidP="00435ED3">
            <w:pPr>
              <w:pStyle w:val="ListParagraph"/>
              <w:ind w:left="0"/>
              <w:jc w:val="center"/>
            </w:pPr>
            <w:r>
              <w:t>1962.49</w:t>
            </w:r>
          </w:p>
        </w:tc>
        <w:tc>
          <w:tcPr>
            <w:tcW w:w="1368" w:type="dxa"/>
          </w:tcPr>
          <w:p w:rsidR="004029DB" w:rsidRDefault="004029DB" w:rsidP="00E56C8E">
            <w:pPr>
              <w:ind w:left="720"/>
            </w:pPr>
          </w:p>
        </w:tc>
      </w:tr>
      <w:tr w:rsidR="00E56C8E" w:rsidTr="00435ED3">
        <w:tc>
          <w:tcPr>
            <w:tcW w:w="1908" w:type="dxa"/>
          </w:tcPr>
          <w:p w:rsidR="004029DB" w:rsidRPr="00435ED3" w:rsidRDefault="00435ED3" w:rsidP="00435ED3">
            <w:pPr>
              <w:pStyle w:val="ListParagraph"/>
              <w:ind w:left="0"/>
            </w:pPr>
            <w:r>
              <w:t>(</w:t>
            </w:r>
            <w:r>
              <w:rPr>
                <w:i/>
              </w:rPr>
              <w:t>x</w:t>
            </w:r>
            <w:r>
              <w:rPr>
                <w:vertAlign w:val="subscript"/>
              </w:rPr>
              <w:t>i</w:t>
            </w:r>
            <w:r>
              <w:t xml:space="preserve"> - </w:t>
            </w:r>
            <w:r w:rsidRPr="00E56C8E">
              <w:rPr>
                <w:i/>
              </w:rPr>
              <w:t>µ</w:t>
            </w:r>
            <w:r w:rsidRPr="00E56C8E">
              <w:t>)</w:t>
            </w:r>
            <w:r>
              <w:rPr>
                <w:vertAlign w:val="superscript"/>
              </w:rPr>
              <w:t xml:space="preserve">2 </w:t>
            </w:r>
            <w:r>
              <w:t xml:space="preserve">* </w:t>
            </w:r>
            <w:r w:rsidRPr="00E56C8E">
              <w:rPr>
                <w:i/>
              </w:rPr>
              <w:t>P(X</w:t>
            </w:r>
            <w:r>
              <w:t xml:space="preserve"> </w:t>
            </w:r>
            <w:r w:rsidRPr="00E56C8E">
              <w:rPr>
                <w:i/>
              </w:rPr>
              <w:t>= x</w:t>
            </w:r>
            <w:r w:rsidRPr="00E56C8E">
              <w:rPr>
                <w:i/>
                <w:vertAlign w:val="subscript"/>
              </w:rPr>
              <w:t>i</w:t>
            </w:r>
            <w:r w:rsidRPr="00E56C8E">
              <w:rPr>
                <w:i/>
              </w:rPr>
              <w:t>)</w:t>
            </w:r>
          </w:p>
        </w:tc>
        <w:tc>
          <w:tcPr>
            <w:tcW w:w="1710" w:type="dxa"/>
          </w:tcPr>
          <w:p w:rsidR="004029DB" w:rsidRDefault="00435ED3" w:rsidP="00435ED3">
            <w:pPr>
              <w:pStyle w:val="ListParagraph"/>
              <w:ind w:left="0"/>
              <w:jc w:val="center"/>
            </w:pPr>
            <w:r>
              <w:t>133.21</w:t>
            </w:r>
          </w:p>
        </w:tc>
        <w:tc>
          <w:tcPr>
            <w:tcW w:w="1710" w:type="dxa"/>
          </w:tcPr>
          <w:p w:rsidR="004029DB" w:rsidRDefault="00435ED3" w:rsidP="00435ED3">
            <w:pPr>
              <w:pStyle w:val="ListParagraph"/>
              <w:ind w:left="0"/>
              <w:jc w:val="center"/>
            </w:pPr>
            <w:r>
              <w:t>29.41</w:t>
            </w:r>
          </w:p>
        </w:tc>
        <w:tc>
          <w:tcPr>
            <w:tcW w:w="1800" w:type="dxa"/>
          </w:tcPr>
          <w:p w:rsidR="004029DB" w:rsidRDefault="00435ED3" w:rsidP="00435ED3">
            <w:pPr>
              <w:pStyle w:val="ListParagraph"/>
              <w:ind w:left="0"/>
              <w:jc w:val="center"/>
            </w:pPr>
            <w:r>
              <w:t>235.50</w:t>
            </w:r>
          </w:p>
        </w:tc>
        <w:tc>
          <w:tcPr>
            <w:tcW w:w="1368" w:type="dxa"/>
          </w:tcPr>
          <w:p w:rsidR="004029DB" w:rsidRDefault="00435ED3" w:rsidP="00435ED3">
            <w:pPr>
              <w:pStyle w:val="ListParagraph"/>
              <w:ind w:left="0"/>
              <w:jc w:val="center"/>
            </w:pPr>
            <w:r>
              <w:t>376.12</w:t>
            </w:r>
          </w:p>
        </w:tc>
      </w:tr>
    </w:tbl>
    <w:p w:rsidR="003C18BA" w:rsidRDefault="003C18BA" w:rsidP="003C18BA">
      <w:pPr>
        <w:spacing w:after="0"/>
      </w:pPr>
    </w:p>
    <w:p w:rsidR="004029DB" w:rsidRDefault="00435ED3" w:rsidP="00435ED3">
      <w:pPr>
        <w:pStyle w:val="ListParagraph"/>
        <w:numPr>
          <w:ilvl w:val="0"/>
          <w:numId w:val="7"/>
        </w:numPr>
        <w:spacing w:after="0"/>
      </w:pPr>
      <w:r>
        <w:t>For 120 passengers, you would expect 120 * $15.70 = $1,884.  The standard de</w:t>
      </w:r>
      <w:r w:rsidR="007310EA">
        <w:t>viation of this amount would also be $19.394.</w:t>
      </w:r>
    </w:p>
    <w:p w:rsidR="004B3A34" w:rsidRDefault="004B3A34" w:rsidP="004B3A34">
      <w:pPr>
        <w:spacing w:after="0"/>
      </w:pPr>
      <w:r>
        <w:rPr>
          <w:noProof/>
        </w:rPr>
        <w:lastRenderedPageBreak/>
        <w:drawing>
          <wp:inline distT="0" distB="0" distL="0" distR="0">
            <wp:extent cx="5187315" cy="2277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7315" cy="2277110"/>
                    </a:xfrm>
                    <a:prstGeom prst="rect">
                      <a:avLst/>
                    </a:prstGeom>
                    <a:noFill/>
                    <a:ln>
                      <a:noFill/>
                    </a:ln>
                  </pic:spPr>
                </pic:pic>
              </a:graphicData>
            </a:graphic>
          </wp:inline>
        </w:drawing>
      </w:r>
    </w:p>
    <w:p w:rsidR="007310EA" w:rsidRDefault="007310EA" w:rsidP="004B3A34">
      <w:pPr>
        <w:spacing w:after="0"/>
      </w:pPr>
    </w:p>
    <w:p w:rsidR="007310EA" w:rsidRDefault="007310EA" w:rsidP="007310EA">
      <w:pPr>
        <w:pStyle w:val="ListParagraph"/>
        <w:numPr>
          <w:ilvl w:val="0"/>
          <w:numId w:val="8"/>
        </w:numPr>
        <w:spacing w:after="0"/>
      </w:pPr>
      <w:r>
        <w:t xml:space="preserve">It is </w:t>
      </w:r>
      <w:r w:rsidR="006571E7">
        <w:t>right</w:t>
      </w:r>
      <w:bookmarkStart w:id="0" w:name="_GoBack"/>
      <w:bookmarkEnd w:id="0"/>
      <w:r>
        <w:t>-skewed</w:t>
      </w:r>
      <w:r w:rsidR="00312BF7">
        <w:t>, unimodal</w:t>
      </w:r>
    </w:p>
    <w:p w:rsidR="00312BF7" w:rsidRDefault="00312BF7" w:rsidP="007310EA">
      <w:pPr>
        <w:pStyle w:val="ListParagraph"/>
        <w:numPr>
          <w:ilvl w:val="0"/>
          <w:numId w:val="8"/>
        </w:numPr>
        <w:spacing w:after="0"/>
      </w:pPr>
      <w:r>
        <w:t>2.2 + 4.7 + 15.8 + 18.3 + 21.2 = 62.2%</w:t>
      </w:r>
    </w:p>
    <w:p w:rsidR="00312BF7" w:rsidRDefault="00312BF7" w:rsidP="007310EA">
      <w:pPr>
        <w:pStyle w:val="ListParagraph"/>
        <w:numPr>
          <w:ilvl w:val="0"/>
          <w:numId w:val="8"/>
        </w:numPr>
        <w:spacing w:after="0"/>
      </w:pPr>
      <w:r>
        <w:t>If we assume salaries are equal between the genders (unlikely), then it would be the probability computed in (b) above multiplied times the probability of the resident being female (0.41).  0.622 * 0.41 = 0.255.</w:t>
      </w:r>
    </w:p>
    <w:p w:rsidR="00312BF7" w:rsidRDefault="00312BF7" w:rsidP="007310EA">
      <w:pPr>
        <w:pStyle w:val="ListParagraph"/>
        <w:numPr>
          <w:ilvl w:val="0"/>
          <w:numId w:val="8"/>
        </w:numPr>
        <w:spacing w:after="0"/>
      </w:pPr>
      <w:r>
        <w:t>If the overall population (males and females combined) has a 62.2% chance of making less than $50K/year, and 71.8% of females make less than $50K/year, then females disproportionately make under $50K/year, and the percentage of males that make $50K/year or less is going to be significantly below 62.2%, because that is for the whole population.  Given the very large sample size and big difference between males and females in the percentages of individuals making less than $50K/year, my gut instinct is that the difference would easily meet significance thresholds indicating a difference between male and female populations with respect to likelihood they make less than $50K/year.  Therefore the assumption used for (c) is likely untrue.</w:t>
      </w:r>
    </w:p>
    <w:sectPr w:rsidR="00312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CFE"/>
    <w:multiLevelType w:val="hybridMultilevel"/>
    <w:tmpl w:val="F4EA699E"/>
    <w:lvl w:ilvl="0" w:tplc="563821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20106"/>
    <w:multiLevelType w:val="hybridMultilevel"/>
    <w:tmpl w:val="C0564BF8"/>
    <w:lvl w:ilvl="0" w:tplc="C5909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353C34"/>
    <w:multiLevelType w:val="hybridMultilevel"/>
    <w:tmpl w:val="700AB690"/>
    <w:lvl w:ilvl="0" w:tplc="C5828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D56980"/>
    <w:multiLevelType w:val="hybridMultilevel"/>
    <w:tmpl w:val="CD8E7DCE"/>
    <w:lvl w:ilvl="0" w:tplc="C5909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F03183"/>
    <w:multiLevelType w:val="hybridMultilevel"/>
    <w:tmpl w:val="3F3E7B58"/>
    <w:lvl w:ilvl="0" w:tplc="132268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2F57B1"/>
    <w:multiLevelType w:val="hybridMultilevel"/>
    <w:tmpl w:val="CB167E32"/>
    <w:lvl w:ilvl="0" w:tplc="FD16F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AB4B84"/>
    <w:multiLevelType w:val="hybridMultilevel"/>
    <w:tmpl w:val="6F8E1DCC"/>
    <w:lvl w:ilvl="0" w:tplc="812AAB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553524"/>
    <w:multiLevelType w:val="hybridMultilevel"/>
    <w:tmpl w:val="7ADCE254"/>
    <w:lvl w:ilvl="0" w:tplc="29A86E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7"/>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A34"/>
    <w:rsid w:val="00312BF7"/>
    <w:rsid w:val="003C18BA"/>
    <w:rsid w:val="004029DB"/>
    <w:rsid w:val="00435ED3"/>
    <w:rsid w:val="00497DCD"/>
    <w:rsid w:val="004B3A34"/>
    <w:rsid w:val="006571E7"/>
    <w:rsid w:val="006872D0"/>
    <w:rsid w:val="007310EA"/>
    <w:rsid w:val="007D145F"/>
    <w:rsid w:val="00C9404F"/>
    <w:rsid w:val="00D43686"/>
    <w:rsid w:val="00E56C8E"/>
    <w:rsid w:val="00EB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657EE"/>
  <w15:docId w15:val="{09E134E7-43E2-4456-8F71-CA35CBCE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A34"/>
    <w:rPr>
      <w:rFonts w:ascii="Tahoma" w:hAnsi="Tahoma" w:cs="Tahoma"/>
      <w:sz w:val="16"/>
      <w:szCs w:val="16"/>
    </w:rPr>
  </w:style>
  <w:style w:type="paragraph" w:styleId="ListParagraph">
    <w:name w:val="List Paragraph"/>
    <w:basedOn w:val="Normal"/>
    <w:uiPriority w:val="34"/>
    <w:qFormat/>
    <w:rsid w:val="006872D0"/>
    <w:pPr>
      <w:ind w:left="720"/>
      <w:contextualSpacing/>
    </w:pPr>
  </w:style>
  <w:style w:type="table" w:styleId="TableGrid">
    <w:name w:val="Table Grid"/>
    <w:basedOn w:val="TableNormal"/>
    <w:uiPriority w:val="59"/>
    <w:rsid w:val="00402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51166-4456-449B-8C6F-04812F0E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LelandoSupreme</dc:creator>
  <cp:lastModifiedBy>Leland.Randles@spsmail.cuny.edu</cp:lastModifiedBy>
  <cp:revision>5</cp:revision>
  <dcterms:created xsi:type="dcterms:W3CDTF">2016-09-12T11:59:00Z</dcterms:created>
  <dcterms:modified xsi:type="dcterms:W3CDTF">2016-09-13T01:57:00Z</dcterms:modified>
</cp:coreProperties>
</file>