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99" w:rsidRPr="002427AA" w:rsidRDefault="00053282" w:rsidP="00AA1599">
      <w:pPr>
        <w:pStyle w:val="Heading4"/>
        <w:rPr>
          <w:sz w:val="32"/>
          <w:lang w:val="en-US"/>
        </w:rPr>
      </w:pPr>
      <w:r w:rsidRPr="002427AA">
        <w:rPr>
          <w:sz w:val="32"/>
          <w:lang w:val="en-US"/>
        </w:rPr>
        <w:t xml:space="preserve">Tutorial </w:t>
      </w:r>
      <w:r w:rsidR="00054B3C" w:rsidRPr="002427AA">
        <w:rPr>
          <w:sz w:val="32"/>
          <w:lang w:val="en-US"/>
        </w:rPr>
        <w:t>5</w:t>
      </w:r>
      <w:r w:rsidR="00165581" w:rsidRPr="002427AA">
        <w:rPr>
          <w:sz w:val="32"/>
          <w:lang w:val="en-US"/>
        </w:rPr>
        <w:t>: Vibration-based co</w:t>
      </w:r>
      <w:r w:rsidR="00152E97" w:rsidRPr="002427AA">
        <w:rPr>
          <w:sz w:val="32"/>
          <w:lang w:val="en-US"/>
        </w:rPr>
        <w:t xml:space="preserve">ndition monitoring of </w:t>
      </w:r>
      <w:r w:rsidR="00054B3C" w:rsidRPr="002427AA">
        <w:rPr>
          <w:sz w:val="32"/>
          <w:lang w:val="en-US"/>
        </w:rPr>
        <w:t>rolling element bearings</w:t>
      </w:r>
    </w:p>
    <w:p w:rsidR="002427AA" w:rsidRDefault="002427AA" w:rsidP="002744AC">
      <w:pPr>
        <w:pStyle w:val="Default"/>
        <w:rPr>
          <w:b/>
          <w:lang w:val="en-US"/>
        </w:rPr>
      </w:pPr>
    </w:p>
    <w:p w:rsidR="002427AA" w:rsidRDefault="002427AA" w:rsidP="002744AC">
      <w:pPr>
        <w:pStyle w:val="Default"/>
        <w:rPr>
          <w:b/>
          <w:lang w:val="en-US"/>
        </w:rPr>
      </w:pPr>
    </w:p>
    <w:p w:rsidR="002744AC" w:rsidRPr="001E3B23" w:rsidRDefault="006039A7" w:rsidP="002744AC">
      <w:pPr>
        <w:pStyle w:val="Default"/>
        <w:rPr>
          <w:sz w:val="22"/>
          <w:lang w:val="en-US"/>
        </w:rPr>
      </w:pPr>
      <w:r w:rsidRPr="006039A7">
        <w:rPr>
          <w:sz w:val="22"/>
          <w:lang w:val="en-US"/>
        </w:rPr>
        <w:t>In</w:t>
      </w:r>
      <w:r>
        <w:rPr>
          <w:b/>
          <w:sz w:val="22"/>
          <w:lang w:val="en-US"/>
        </w:rPr>
        <w:t xml:space="preserve"> </w:t>
      </w:r>
      <w:r w:rsidR="00E81C2B" w:rsidRPr="001E3B23">
        <w:rPr>
          <w:b/>
          <w:sz w:val="22"/>
          <w:lang w:val="en-US"/>
        </w:rPr>
        <w:t xml:space="preserve">Tutorial 1 </w:t>
      </w:r>
      <w:r w:rsidR="00E81C2B" w:rsidRPr="001E3B23">
        <w:rPr>
          <w:sz w:val="22"/>
          <w:lang w:val="en-US"/>
        </w:rPr>
        <w:t>of this course</w:t>
      </w:r>
      <w:r>
        <w:rPr>
          <w:sz w:val="22"/>
          <w:lang w:val="en-US"/>
        </w:rPr>
        <w:t>, students applied</w:t>
      </w:r>
      <w:r w:rsidR="00E81C2B" w:rsidRPr="001E3B23">
        <w:rPr>
          <w:sz w:val="22"/>
          <w:lang w:val="en-US"/>
        </w:rPr>
        <w:t xml:space="preserve"> a global surveillance strategy of a mechanical system comprising rolling element bearings. </w:t>
      </w:r>
      <w:r w:rsidR="002744AC" w:rsidRPr="001E3B23">
        <w:rPr>
          <w:sz w:val="22"/>
          <w:lang w:val="en-US"/>
        </w:rPr>
        <w:t>You have applied many global indicators (</w:t>
      </w:r>
      <w:r w:rsidR="002427AA" w:rsidRPr="001E3B23">
        <w:rPr>
          <w:sz w:val="22"/>
          <w:lang w:val="en-US"/>
        </w:rPr>
        <w:t xml:space="preserve">like </w:t>
      </w:r>
      <w:r>
        <w:rPr>
          <w:sz w:val="22"/>
          <w:lang w:val="en-US"/>
        </w:rPr>
        <w:t>RMS</w:t>
      </w:r>
      <w:r w:rsidR="002427AA" w:rsidRPr="001E3B23">
        <w:rPr>
          <w:sz w:val="22"/>
          <w:lang w:val="en-US"/>
        </w:rPr>
        <w:t>, kurtosis and skew</w:t>
      </w:r>
      <w:r w:rsidR="002744AC" w:rsidRPr="001E3B23">
        <w:rPr>
          <w:sz w:val="22"/>
          <w:lang w:val="en-US"/>
        </w:rPr>
        <w:t xml:space="preserve">ness) to monitor the overall evolution of the acquired </w:t>
      </w:r>
      <w:r>
        <w:rPr>
          <w:sz w:val="22"/>
          <w:lang w:val="en-US"/>
        </w:rPr>
        <w:t>data and detect anomaly in the system. However, we could not know with this approach what component is actually faulty.</w:t>
      </w:r>
    </w:p>
    <w:p w:rsidR="002744AC" w:rsidRPr="001E3B23" w:rsidRDefault="002744AC" w:rsidP="002744AC">
      <w:pPr>
        <w:pStyle w:val="Default"/>
        <w:rPr>
          <w:sz w:val="20"/>
          <w:szCs w:val="22"/>
          <w:lang w:val="en-US"/>
        </w:rPr>
      </w:pPr>
      <w:r w:rsidRPr="001E3B23">
        <w:rPr>
          <w:sz w:val="22"/>
          <w:lang w:val="en-US"/>
        </w:rPr>
        <w:t>The aim know is to perform an accurate diagnosis of the rolling element bearing of interest whose rotation frequency equals 33.33Hz and its geometry is summarized in the table below:</w:t>
      </w:r>
    </w:p>
    <w:p w:rsidR="002744AC" w:rsidRDefault="002744AC" w:rsidP="002744AC">
      <w:pPr>
        <w:pStyle w:val="Default"/>
        <w:rPr>
          <w:sz w:val="22"/>
          <w:szCs w:val="22"/>
          <w:lang w:val="en-US"/>
        </w:rPr>
      </w:pPr>
    </w:p>
    <w:tbl>
      <w:tblPr>
        <w:tblW w:w="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344"/>
        <w:gridCol w:w="1344"/>
        <w:gridCol w:w="1344"/>
        <w:gridCol w:w="1344"/>
      </w:tblGrid>
      <w:tr w:rsidR="002744AC" w:rsidRPr="00054B3C" w:rsidTr="002D5613">
        <w:trPr>
          <w:trHeight w:val="84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b/>
                <w:bCs/>
                <w:color w:val="0070C0"/>
                <w:lang w:val="en-US"/>
              </w:rPr>
              <w:t>Bearing geometry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b/>
                <w:bCs/>
                <w:color w:val="0070C0"/>
                <w:lang w:val="en-US"/>
              </w:rPr>
              <w:t>Pitch Diameter [</w:t>
            </w:r>
            <w:r>
              <w:rPr>
                <w:b/>
                <w:bCs/>
                <w:color w:val="0070C0"/>
                <w:lang w:val="en-US"/>
              </w:rPr>
              <w:t>Inch</w:t>
            </w:r>
            <w:r w:rsidRPr="00054B3C">
              <w:rPr>
                <w:b/>
                <w:bCs/>
                <w:color w:val="0070C0"/>
                <w:lang w:val="en-US"/>
              </w:rPr>
              <w:t>]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b/>
                <w:bCs/>
                <w:color w:val="0070C0"/>
                <w:lang w:val="en-US"/>
              </w:rPr>
              <w:t>Rolling element diameter [</w:t>
            </w:r>
            <w:r>
              <w:rPr>
                <w:b/>
                <w:bCs/>
                <w:color w:val="0070C0"/>
                <w:lang w:val="en-US"/>
              </w:rPr>
              <w:t>Inch</w:t>
            </w:r>
            <w:r w:rsidRPr="00054B3C">
              <w:rPr>
                <w:b/>
                <w:bCs/>
                <w:color w:val="0070C0"/>
                <w:lang w:val="en-US"/>
              </w:rPr>
              <w:t>]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b/>
                <w:bCs/>
                <w:color w:val="0070C0"/>
                <w:lang w:val="en-US"/>
              </w:rPr>
              <w:t>Number of rolling elements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b/>
                <w:bCs/>
                <w:color w:val="0070C0"/>
                <w:lang w:val="en-US"/>
              </w:rPr>
              <w:t>Contact angle</w:t>
            </w:r>
          </w:p>
        </w:tc>
      </w:tr>
      <w:tr w:rsidR="002744AC" w:rsidRPr="00054B3C" w:rsidTr="002D5613">
        <w:trPr>
          <w:trHeight w:val="690"/>
        </w:trPr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lang w:val="en-US"/>
              </w:rPr>
              <w:t>2.815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>
              <w:t>0.331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lang w:val="en-US"/>
              </w:rPr>
              <w:t>16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44AC" w:rsidRPr="00054B3C" w:rsidRDefault="002744AC" w:rsidP="002D5613">
            <w:pPr>
              <w:jc w:val="both"/>
              <w:rPr>
                <w:color w:val="0070C0"/>
              </w:rPr>
            </w:pPr>
            <w:r w:rsidRPr="00054B3C">
              <w:rPr>
                <w:color w:val="0070C0"/>
                <w:lang w:val="en-US"/>
              </w:rPr>
              <w:t>Unknown (</w:t>
            </w:r>
            <w:r>
              <w:rPr>
                <w:color w:val="0070C0"/>
                <w:lang w:val="en-US"/>
              </w:rPr>
              <w:t>set to</w:t>
            </w:r>
            <w:r w:rsidRPr="00054B3C">
              <w:rPr>
                <w:color w:val="0070C0"/>
                <w:lang w:val="en-US"/>
              </w:rPr>
              <w:t xml:space="preserve"> zero)</w:t>
            </w:r>
          </w:p>
        </w:tc>
      </w:tr>
    </w:tbl>
    <w:p w:rsidR="002744AC" w:rsidRDefault="002744AC" w:rsidP="00D06F94">
      <w:pPr>
        <w:jc w:val="both"/>
        <w:rPr>
          <w:lang w:val="en-US"/>
        </w:rPr>
      </w:pPr>
    </w:p>
    <w:p w:rsidR="007B2A22" w:rsidRPr="001E3B23" w:rsidRDefault="00E81C2B" w:rsidP="00D06F94">
      <w:p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 xml:space="preserve">The </w:t>
      </w:r>
      <w:r w:rsidR="002744AC" w:rsidRPr="001E3B23">
        <w:rPr>
          <w:sz w:val="20"/>
          <w:lang w:val="en-US"/>
        </w:rPr>
        <w:t xml:space="preserve">analysis will </w:t>
      </w:r>
      <w:r w:rsidR="00E67ED0" w:rsidRPr="001E3B23">
        <w:rPr>
          <w:sz w:val="20"/>
          <w:lang w:val="en-US"/>
        </w:rPr>
        <w:t>concern</w:t>
      </w:r>
      <w:r w:rsidR="002744AC" w:rsidRPr="001E3B23">
        <w:rPr>
          <w:sz w:val="20"/>
          <w:lang w:val="en-US"/>
        </w:rPr>
        <w:t xml:space="preserve"> three files (i.e. three signals), namely:</w:t>
      </w:r>
    </w:p>
    <w:p w:rsidR="002744AC" w:rsidRPr="001E3B23" w:rsidRDefault="002744AC" w:rsidP="002744AC">
      <w:pPr>
        <w:pStyle w:val="ListParagraph"/>
        <w:numPr>
          <w:ilvl w:val="0"/>
          <w:numId w:val="26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Record 100 (i.e. the 100</w:t>
      </w:r>
      <w:r w:rsidRPr="001E3B23">
        <w:rPr>
          <w:sz w:val="20"/>
          <w:vertAlign w:val="superscript"/>
          <w:lang w:val="en-US"/>
        </w:rPr>
        <w:t>th</w:t>
      </w:r>
      <w:r w:rsidRPr="001E3B23">
        <w:rPr>
          <w:sz w:val="20"/>
          <w:lang w:val="en-US"/>
        </w:rPr>
        <w:t xml:space="preserve"> file)</w:t>
      </w:r>
    </w:p>
    <w:p w:rsidR="002744AC" w:rsidRPr="001E3B23" w:rsidRDefault="002744AC" w:rsidP="002744AC">
      <w:pPr>
        <w:pStyle w:val="ListParagraph"/>
        <w:numPr>
          <w:ilvl w:val="0"/>
          <w:numId w:val="26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Record 600 (i.e. the 600</w:t>
      </w:r>
      <w:r w:rsidRPr="001E3B23">
        <w:rPr>
          <w:sz w:val="20"/>
          <w:vertAlign w:val="superscript"/>
          <w:lang w:val="en-US"/>
        </w:rPr>
        <w:t>th</w:t>
      </w:r>
      <w:r w:rsidRPr="001E3B23">
        <w:rPr>
          <w:sz w:val="20"/>
          <w:lang w:val="en-US"/>
        </w:rPr>
        <w:t xml:space="preserve"> file)</w:t>
      </w:r>
    </w:p>
    <w:p w:rsidR="002744AC" w:rsidRPr="001E3B23" w:rsidRDefault="002744AC" w:rsidP="002744AC">
      <w:pPr>
        <w:pStyle w:val="ListParagraph"/>
        <w:numPr>
          <w:ilvl w:val="0"/>
          <w:numId w:val="26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Record 850 (i.e. the 850</w:t>
      </w:r>
      <w:r w:rsidRPr="001E3B23">
        <w:rPr>
          <w:sz w:val="20"/>
          <w:vertAlign w:val="superscript"/>
          <w:lang w:val="en-US"/>
        </w:rPr>
        <w:t>th</w:t>
      </w:r>
      <w:r w:rsidRPr="001E3B23">
        <w:rPr>
          <w:sz w:val="20"/>
          <w:lang w:val="en-US"/>
        </w:rPr>
        <w:t xml:space="preserve"> file)</w:t>
      </w:r>
    </w:p>
    <w:p w:rsidR="002744AC" w:rsidRPr="001E3B23" w:rsidRDefault="002744AC" w:rsidP="00D06F94">
      <w:p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 xml:space="preserve">Students are requested to perform an accurate vibration-based diagnosis based on Lecture 5. This must </w:t>
      </w:r>
      <w:r w:rsidR="00E67ED0" w:rsidRPr="001E3B23">
        <w:rPr>
          <w:sz w:val="20"/>
          <w:lang w:val="en-US"/>
        </w:rPr>
        <w:t>comprise</w:t>
      </w:r>
      <w:r w:rsidRPr="001E3B23">
        <w:rPr>
          <w:sz w:val="20"/>
          <w:lang w:val="en-US"/>
        </w:rPr>
        <w:t xml:space="preserve"> the following analysis:</w:t>
      </w:r>
    </w:p>
    <w:p w:rsidR="002744AC" w:rsidRPr="001E3B23" w:rsidRDefault="002744AC" w:rsidP="002744AC">
      <w:pPr>
        <w:pStyle w:val="ListParagraph"/>
        <w:numPr>
          <w:ilvl w:val="0"/>
          <w:numId w:val="27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Calculation of the theoretical</w:t>
      </w:r>
      <w:r w:rsidR="002427AA" w:rsidRPr="001E3B23">
        <w:rPr>
          <w:sz w:val="20"/>
          <w:lang w:val="en-US"/>
        </w:rPr>
        <w:t xml:space="preserve"> failure frequencies of the bearing</w:t>
      </w:r>
    </w:p>
    <w:p w:rsidR="00054B3C" w:rsidRPr="001E3B23" w:rsidRDefault="002744AC" w:rsidP="002744AC">
      <w:pPr>
        <w:pStyle w:val="ListParagraph"/>
        <w:numPr>
          <w:ilvl w:val="0"/>
          <w:numId w:val="27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Time-domain analysis</w:t>
      </w:r>
    </w:p>
    <w:p w:rsidR="002744AC" w:rsidRPr="001E3B23" w:rsidRDefault="002744AC" w:rsidP="002744AC">
      <w:pPr>
        <w:pStyle w:val="ListParagraph"/>
        <w:numPr>
          <w:ilvl w:val="0"/>
          <w:numId w:val="27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Frequency domain analysis on the spectrum</w:t>
      </w:r>
    </w:p>
    <w:p w:rsidR="002744AC" w:rsidRPr="001E3B23" w:rsidRDefault="002744AC" w:rsidP="002744AC">
      <w:pPr>
        <w:pStyle w:val="ListParagraph"/>
        <w:numPr>
          <w:ilvl w:val="0"/>
          <w:numId w:val="27"/>
        </w:numPr>
        <w:jc w:val="both"/>
        <w:rPr>
          <w:sz w:val="20"/>
          <w:lang w:val="en-US"/>
        </w:rPr>
      </w:pPr>
      <w:r w:rsidRPr="001E3B23">
        <w:rPr>
          <w:sz w:val="20"/>
          <w:lang w:val="en-US"/>
        </w:rPr>
        <w:t>Calculation of the envelope and envelope spectrum</w:t>
      </w:r>
    </w:p>
    <w:p w:rsidR="00054B3C" w:rsidRPr="001E3B23" w:rsidRDefault="002744AC" w:rsidP="00CD4EBD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1E3B23">
        <w:rPr>
          <w:sz w:val="20"/>
          <w:lang w:val="en-US"/>
        </w:rPr>
        <w:t>Frequency domain analysis on the envelope spectrum</w:t>
      </w:r>
    </w:p>
    <w:p w:rsidR="00054B3C" w:rsidRDefault="00054B3C" w:rsidP="00D06F94">
      <w:pPr>
        <w:jc w:val="both"/>
        <w:rPr>
          <w:lang w:val="en-US"/>
        </w:rPr>
      </w:pPr>
      <w:bookmarkStart w:id="0" w:name="_GoBack"/>
      <w:bookmarkEnd w:id="0"/>
    </w:p>
    <w:p w:rsidR="00054B3C" w:rsidRDefault="00054B3C" w:rsidP="00D06F94">
      <w:pPr>
        <w:jc w:val="both"/>
        <w:rPr>
          <w:lang w:val="en-US"/>
        </w:rPr>
      </w:pPr>
    </w:p>
    <w:p w:rsidR="00054B3C" w:rsidRDefault="00054B3C" w:rsidP="00D06F94">
      <w:pPr>
        <w:jc w:val="both"/>
        <w:rPr>
          <w:lang w:val="en-US"/>
        </w:rPr>
      </w:pPr>
    </w:p>
    <w:sectPr w:rsidR="00054B3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C7" w:rsidRDefault="00B177C7" w:rsidP="00757BF6">
      <w:pPr>
        <w:spacing w:after="0" w:line="240" w:lineRule="auto"/>
      </w:pPr>
      <w:r>
        <w:separator/>
      </w:r>
    </w:p>
  </w:endnote>
  <w:endnote w:type="continuationSeparator" w:id="0">
    <w:p w:rsidR="00B177C7" w:rsidRDefault="00B177C7" w:rsidP="007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C7" w:rsidRDefault="00B177C7" w:rsidP="00757BF6">
      <w:pPr>
        <w:spacing w:after="0" w:line="240" w:lineRule="auto"/>
      </w:pPr>
      <w:r>
        <w:separator/>
      </w:r>
    </w:p>
  </w:footnote>
  <w:footnote w:type="continuationSeparator" w:id="0">
    <w:p w:rsidR="00B177C7" w:rsidRDefault="00B177C7" w:rsidP="007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BF6" w:rsidRDefault="00757BF6">
    <w:pPr>
      <w:pStyle w:val="Header"/>
    </w:pPr>
    <w:r>
      <w:tab/>
    </w: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757BF6" w:rsidTr="00757BF6">
      <w:tc>
        <w:tcPr>
          <w:tcW w:w="4531" w:type="dxa"/>
        </w:tcPr>
        <w:p w:rsidR="002B48ED" w:rsidRPr="00757BF6" w:rsidRDefault="002B48ED" w:rsidP="002B48ED">
          <w:pPr>
            <w:pStyle w:val="Header"/>
            <w:rPr>
              <w:i/>
              <w:lang w:val="en-US"/>
            </w:rPr>
          </w:pPr>
          <w:r w:rsidRPr="00757BF6">
            <w:rPr>
              <w:i/>
              <w:lang w:val="en-US"/>
            </w:rPr>
            <w:t>Dany Abboud</w:t>
          </w:r>
        </w:p>
        <w:p w:rsidR="002B48ED" w:rsidRDefault="00B177C7" w:rsidP="002B48ED">
          <w:pPr>
            <w:pStyle w:val="Header"/>
            <w:rPr>
              <w:rStyle w:val="LienInternet"/>
              <w:rFonts w:eastAsia="Calibri"/>
              <w:i/>
              <w:lang w:val="en-US"/>
            </w:rPr>
          </w:pPr>
          <w:hyperlink r:id="rId1" w:history="1">
            <w:r w:rsidR="002B48ED" w:rsidRPr="00D769AD">
              <w:rPr>
                <w:rStyle w:val="Hyperlink"/>
                <w:rFonts w:eastAsia="Calibri"/>
                <w:i/>
                <w:lang w:val="en-US"/>
              </w:rPr>
              <w:t>dany.abboud@esiee.fr</w:t>
            </w:r>
          </w:hyperlink>
        </w:p>
        <w:p w:rsidR="00757BF6" w:rsidRPr="00757BF6" w:rsidRDefault="002B48ED" w:rsidP="002B48ED">
          <w:pPr>
            <w:pStyle w:val="Header"/>
            <w:rPr>
              <w:lang w:val="en-US"/>
            </w:rPr>
          </w:pPr>
          <w:r>
            <w:rPr>
              <w:i/>
              <w:lang w:val="en-US"/>
            </w:rPr>
            <w:t xml:space="preserve">Course: </w:t>
          </w:r>
          <w:r w:rsidRPr="00757BF6">
            <w:rPr>
              <w:i/>
              <w:lang w:val="en-US"/>
            </w:rPr>
            <w:t>Mechanical signal processing</w:t>
          </w:r>
        </w:p>
      </w:tc>
      <w:tc>
        <w:tcPr>
          <w:tcW w:w="4531" w:type="dxa"/>
        </w:tcPr>
        <w:p w:rsidR="00757BF6" w:rsidRDefault="00757BF6" w:rsidP="00757BF6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A88812D" wp14:editId="01D06BC0">
                <wp:extent cx="854765" cy="569843"/>
                <wp:effectExtent l="0" t="0" r="2540" b="190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81" cy="57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57BF6" w:rsidRDefault="00757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7BA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DD3"/>
    <w:multiLevelType w:val="multilevel"/>
    <w:tmpl w:val="309896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EE2"/>
    <w:multiLevelType w:val="hybridMultilevel"/>
    <w:tmpl w:val="34425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2D1A"/>
    <w:multiLevelType w:val="hybridMultilevel"/>
    <w:tmpl w:val="D3E448E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7D2E0A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111F8"/>
    <w:multiLevelType w:val="multilevel"/>
    <w:tmpl w:val="1F4AA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F4D27"/>
    <w:multiLevelType w:val="hybridMultilevel"/>
    <w:tmpl w:val="C2E69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69B6"/>
    <w:multiLevelType w:val="multilevel"/>
    <w:tmpl w:val="795E9D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990"/>
    <w:multiLevelType w:val="multilevel"/>
    <w:tmpl w:val="6428DCA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B712E4"/>
    <w:multiLevelType w:val="hybridMultilevel"/>
    <w:tmpl w:val="DF2661D8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3AEE70D1"/>
    <w:multiLevelType w:val="hybridMultilevel"/>
    <w:tmpl w:val="9D1CA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5797"/>
    <w:multiLevelType w:val="hybridMultilevel"/>
    <w:tmpl w:val="03B6DD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24074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9309F"/>
    <w:multiLevelType w:val="hybridMultilevel"/>
    <w:tmpl w:val="76287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33FA5"/>
    <w:multiLevelType w:val="hybridMultilevel"/>
    <w:tmpl w:val="A732D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F5101"/>
    <w:multiLevelType w:val="multilevel"/>
    <w:tmpl w:val="C14E8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92800"/>
    <w:multiLevelType w:val="hybridMultilevel"/>
    <w:tmpl w:val="5A386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33A21"/>
    <w:multiLevelType w:val="multilevel"/>
    <w:tmpl w:val="6C3E03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EA7175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7F96"/>
    <w:multiLevelType w:val="multilevel"/>
    <w:tmpl w:val="D05E30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6312B"/>
    <w:multiLevelType w:val="hybridMultilevel"/>
    <w:tmpl w:val="EDF69B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815D7"/>
    <w:multiLevelType w:val="multilevel"/>
    <w:tmpl w:val="3990D3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AD01B0"/>
    <w:multiLevelType w:val="hybridMultilevel"/>
    <w:tmpl w:val="F0882ECE"/>
    <w:lvl w:ilvl="0" w:tplc="FC04C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E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03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0F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7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2F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4A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0A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8F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803611"/>
    <w:multiLevelType w:val="hybridMultilevel"/>
    <w:tmpl w:val="BEC4E1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59838D5"/>
    <w:multiLevelType w:val="hybridMultilevel"/>
    <w:tmpl w:val="F9F2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3541F"/>
    <w:multiLevelType w:val="hybridMultilevel"/>
    <w:tmpl w:val="BCF46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570B0"/>
    <w:multiLevelType w:val="hybridMultilevel"/>
    <w:tmpl w:val="B57AB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04DAC"/>
    <w:multiLevelType w:val="hybridMultilevel"/>
    <w:tmpl w:val="E80A84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7"/>
  </w:num>
  <w:num w:numId="5">
    <w:abstractNumId w:val="3"/>
  </w:num>
  <w:num w:numId="6">
    <w:abstractNumId w:val="6"/>
  </w:num>
  <w:num w:numId="7">
    <w:abstractNumId w:val="10"/>
  </w:num>
  <w:num w:numId="8">
    <w:abstractNumId w:val="18"/>
  </w:num>
  <w:num w:numId="9">
    <w:abstractNumId w:val="12"/>
  </w:num>
  <w:num w:numId="10">
    <w:abstractNumId w:val="4"/>
  </w:num>
  <w:num w:numId="11">
    <w:abstractNumId w:val="15"/>
  </w:num>
  <w:num w:numId="12">
    <w:abstractNumId w:val="5"/>
  </w:num>
  <w:num w:numId="13">
    <w:abstractNumId w:val="7"/>
  </w:num>
  <w:num w:numId="14">
    <w:abstractNumId w:val="21"/>
  </w:num>
  <w:num w:numId="15">
    <w:abstractNumId w:val="17"/>
  </w:num>
  <w:num w:numId="16">
    <w:abstractNumId w:val="1"/>
  </w:num>
  <w:num w:numId="17">
    <w:abstractNumId w:val="8"/>
  </w:num>
  <w:num w:numId="18">
    <w:abstractNumId w:val="19"/>
  </w:num>
  <w:num w:numId="19">
    <w:abstractNumId w:val="11"/>
  </w:num>
  <w:num w:numId="20">
    <w:abstractNumId w:val="26"/>
  </w:num>
  <w:num w:numId="21">
    <w:abstractNumId w:val="23"/>
  </w:num>
  <w:num w:numId="22">
    <w:abstractNumId w:val="22"/>
  </w:num>
  <w:num w:numId="23">
    <w:abstractNumId w:val="2"/>
  </w:num>
  <w:num w:numId="24">
    <w:abstractNumId w:val="14"/>
  </w:num>
  <w:num w:numId="25">
    <w:abstractNumId w:val="20"/>
  </w:num>
  <w:num w:numId="26">
    <w:abstractNumId w:val="24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81"/>
    <w:rsid w:val="000518B6"/>
    <w:rsid w:val="000518CA"/>
    <w:rsid w:val="00053282"/>
    <w:rsid w:val="00054B3C"/>
    <w:rsid w:val="000E1F55"/>
    <w:rsid w:val="001450D4"/>
    <w:rsid w:val="0015278C"/>
    <w:rsid w:val="00152E97"/>
    <w:rsid w:val="00162B35"/>
    <w:rsid w:val="00163576"/>
    <w:rsid w:val="00165581"/>
    <w:rsid w:val="001A0201"/>
    <w:rsid w:val="001B28C9"/>
    <w:rsid w:val="001D003C"/>
    <w:rsid w:val="001E3B23"/>
    <w:rsid w:val="001E5BAC"/>
    <w:rsid w:val="00227B1E"/>
    <w:rsid w:val="002427AA"/>
    <w:rsid w:val="00254E7C"/>
    <w:rsid w:val="00263C25"/>
    <w:rsid w:val="002744AC"/>
    <w:rsid w:val="002819D8"/>
    <w:rsid w:val="0029262E"/>
    <w:rsid w:val="002A6FBB"/>
    <w:rsid w:val="002B48ED"/>
    <w:rsid w:val="002C1134"/>
    <w:rsid w:val="002C3CC7"/>
    <w:rsid w:val="002C5113"/>
    <w:rsid w:val="002F22EB"/>
    <w:rsid w:val="002F2631"/>
    <w:rsid w:val="004442E6"/>
    <w:rsid w:val="0049271B"/>
    <w:rsid w:val="0049562F"/>
    <w:rsid w:val="004A70B2"/>
    <w:rsid w:val="004E0B44"/>
    <w:rsid w:val="004F2043"/>
    <w:rsid w:val="00526381"/>
    <w:rsid w:val="00574058"/>
    <w:rsid w:val="005B75C4"/>
    <w:rsid w:val="005E29C6"/>
    <w:rsid w:val="006039A7"/>
    <w:rsid w:val="006678D9"/>
    <w:rsid w:val="00690F7C"/>
    <w:rsid w:val="00691C23"/>
    <w:rsid w:val="006D259C"/>
    <w:rsid w:val="006E1BEF"/>
    <w:rsid w:val="006F724A"/>
    <w:rsid w:val="007023D9"/>
    <w:rsid w:val="0070795C"/>
    <w:rsid w:val="00757299"/>
    <w:rsid w:val="00757BF6"/>
    <w:rsid w:val="00773395"/>
    <w:rsid w:val="007A5597"/>
    <w:rsid w:val="007B2A22"/>
    <w:rsid w:val="007B6B72"/>
    <w:rsid w:val="00867D2B"/>
    <w:rsid w:val="008B69A2"/>
    <w:rsid w:val="008D3B27"/>
    <w:rsid w:val="008F6E8F"/>
    <w:rsid w:val="00917D37"/>
    <w:rsid w:val="00980B18"/>
    <w:rsid w:val="00992A4F"/>
    <w:rsid w:val="009C0AC9"/>
    <w:rsid w:val="009C3CC8"/>
    <w:rsid w:val="009C517C"/>
    <w:rsid w:val="009C5824"/>
    <w:rsid w:val="009E39CB"/>
    <w:rsid w:val="009E5605"/>
    <w:rsid w:val="00A00596"/>
    <w:rsid w:val="00A0230E"/>
    <w:rsid w:val="00A16C02"/>
    <w:rsid w:val="00A9220E"/>
    <w:rsid w:val="00AA1599"/>
    <w:rsid w:val="00AB131C"/>
    <w:rsid w:val="00AC37CC"/>
    <w:rsid w:val="00AF13A2"/>
    <w:rsid w:val="00B177C7"/>
    <w:rsid w:val="00B512EC"/>
    <w:rsid w:val="00BA3722"/>
    <w:rsid w:val="00C060C1"/>
    <w:rsid w:val="00C178A9"/>
    <w:rsid w:val="00C70DA0"/>
    <w:rsid w:val="00C82D57"/>
    <w:rsid w:val="00C96FC9"/>
    <w:rsid w:val="00CA2D82"/>
    <w:rsid w:val="00CB520D"/>
    <w:rsid w:val="00CC0D97"/>
    <w:rsid w:val="00CD0811"/>
    <w:rsid w:val="00CE29CF"/>
    <w:rsid w:val="00D02C3A"/>
    <w:rsid w:val="00D06F94"/>
    <w:rsid w:val="00D2166E"/>
    <w:rsid w:val="00D33331"/>
    <w:rsid w:val="00D339E7"/>
    <w:rsid w:val="00D51AB0"/>
    <w:rsid w:val="00D60FAE"/>
    <w:rsid w:val="00D94A61"/>
    <w:rsid w:val="00DC79CA"/>
    <w:rsid w:val="00DE376B"/>
    <w:rsid w:val="00E3696E"/>
    <w:rsid w:val="00E37191"/>
    <w:rsid w:val="00E57CF8"/>
    <w:rsid w:val="00E67ED0"/>
    <w:rsid w:val="00E81C2B"/>
    <w:rsid w:val="00E91BE5"/>
    <w:rsid w:val="00EA1E7D"/>
    <w:rsid w:val="00EA7F27"/>
    <w:rsid w:val="00ED226D"/>
    <w:rsid w:val="00ED28C3"/>
    <w:rsid w:val="00EF74AF"/>
    <w:rsid w:val="00F40F9F"/>
    <w:rsid w:val="00F42378"/>
    <w:rsid w:val="00F4518D"/>
    <w:rsid w:val="00F46BFB"/>
    <w:rsid w:val="00F52718"/>
    <w:rsid w:val="00F64C4B"/>
    <w:rsid w:val="00F816CE"/>
    <w:rsid w:val="00FB1452"/>
    <w:rsid w:val="00FC5FBF"/>
    <w:rsid w:val="00FC7867"/>
    <w:rsid w:val="00FD5AE3"/>
    <w:rsid w:val="00FD6498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D41E3-3B7C-4BC7-A2D9-7908E0EC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4AC"/>
  </w:style>
  <w:style w:type="paragraph" w:styleId="Heading1">
    <w:name w:val="heading 1"/>
    <w:basedOn w:val="Normal"/>
    <w:next w:val="Normal"/>
    <w:link w:val="Heading1Char"/>
    <w:uiPriority w:val="9"/>
    <w:qFormat/>
    <w:rsid w:val="0075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638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os-title-label">
    <w:name w:val="os-title-label"/>
    <w:basedOn w:val="DefaultParagraphFont"/>
    <w:rsid w:val="00526381"/>
  </w:style>
  <w:style w:type="paragraph" w:styleId="NormalWeb">
    <w:name w:val="Normal (Web)"/>
    <w:basedOn w:val="Normal"/>
    <w:uiPriority w:val="99"/>
    <w:unhideWhenUsed/>
    <w:rsid w:val="0052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DefaultParagraphFont"/>
    <w:rsid w:val="00526381"/>
  </w:style>
  <w:style w:type="character" w:customStyle="1" w:styleId="mn">
    <w:name w:val="mn"/>
    <w:basedOn w:val="DefaultParagraphFont"/>
    <w:rsid w:val="00526381"/>
  </w:style>
  <w:style w:type="character" w:customStyle="1" w:styleId="mo">
    <w:name w:val="mo"/>
    <w:basedOn w:val="DefaultParagraphFont"/>
    <w:rsid w:val="00526381"/>
  </w:style>
  <w:style w:type="character" w:customStyle="1" w:styleId="mjxassistivemathml">
    <w:name w:val="mjx_assistive_mathml"/>
    <w:basedOn w:val="DefaultParagraphFont"/>
    <w:rsid w:val="00526381"/>
  </w:style>
  <w:style w:type="character" w:styleId="Emphasis">
    <w:name w:val="Emphasis"/>
    <w:basedOn w:val="DefaultParagraphFont"/>
    <w:uiPriority w:val="20"/>
    <w:qFormat/>
    <w:rsid w:val="00526381"/>
    <w:rPr>
      <w:i/>
      <w:iCs/>
    </w:rPr>
  </w:style>
  <w:style w:type="character" w:customStyle="1" w:styleId="mtext">
    <w:name w:val="mtext"/>
    <w:basedOn w:val="DefaultParagraphFont"/>
    <w:rsid w:val="00526381"/>
  </w:style>
  <w:style w:type="character" w:customStyle="1" w:styleId="Heading3Char">
    <w:name w:val="Heading 3 Char"/>
    <w:basedOn w:val="DefaultParagraphFont"/>
    <w:link w:val="Heading3"/>
    <w:uiPriority w:val="9"/>
    <w:semiHidden/>
    <w:rsid w:val="00CE29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s-number">
    <w:name w:val="os-number"/>
    <w:basedOn w:val="DefaultParagraphFont"/>
    <w:rsid w:val="00CE29CF"/>
  </w:style>
  <w:style w:type="paragraph" w:styleId="ListParagraph">
    <w:name w:val="List Paragraph"/>
    <w:basedOn w:val="Normal"/>
    <w:uiPriority w:val="34"/>
    <w:qFormat/>
    <w:rsid w:val="00FD6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F6"/>
  </w:style>
  <w:style w:type="paragraph" w:styleId="Footer">
    <w:name w:val="footer"/>
    <w:basedOn w:val="Normal"/>
    <w:link w:val="FooterChar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F6"/>
  </w:style>
  <w:style w:type="table" w:styleId="TableGrid">
    <w:name w:val="Table Grid"/>
    <w:basedOn w:val="TableNormal"/>
    <w:uiPriority w:val="39"/>
    <w:rsid w:val="0075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B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795C"/>
    <w:rPr>
      <w:color w:val="605E5C"/>
      <w:shd w:val="clear" w:color="auto" w:fill="E1DFDD"/>
    </w:rPr>
  </w:style>
  <w:style w:type="paragraph" w:customStyle="1" w:styleId="Default">
    <w:name w:val="Default"/>
    <w:rsid w:val="00054B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enInternet">
    <w:name w:val="Lien Internet"/>
    <w:basedOn w:val="DefaultParagraphFont"/>
    <w:uiPriority w:val="99"/>
    <w:rsid w:val="002B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3831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885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20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878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414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192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2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0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dany.abboud@esi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5F9399F923E4D8B22BC171E606CEF" ma:contentTypeVersion="2" ma:contentTypeDescription="Crée un document." ma:contentTypeScope="" ma:versionID="3e352f2bb812b5653665468dcd08907f">
  <xsd:schema xmlns:xsd="http://www.w3.org/2001/XMLSchema" xmlns:xs="http://www.w3.org/2001/XMLSchema" xmlns:p="http://schemas.microsoft.com/office/2006/metadata/properties" xmlns:ns2="5fff1b22-4043-4449-9185-a2e330b418d0" targetNamespace="http://schemas.microsoft.com/office/2006/metadata/properties" ma:root="true" ma:fieldsID="ef4503d482ec61d484e74edd84d74293" ns2:_="">
    <xsd:import namespace="5fff1b22-4043-4449-9185-a2e330b41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f1b22-4043-4449-9185-a2e330b41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CCEC7-53F7-4A91-B31B-FA5322F49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84EE1B-72AA-43DC-B9F3-A9020038914C}"/>
</file>

<file path=customXml/itemProps3.xml><?xml version="1.0" encoding="utf-8"?>
<ds:datastoreItem xmlns:ds="http://schemas.openxmlformats.org/officeDocument/2006/customXml" ds:itemID="{C9D99D8E-9E9C-4012-BF7F-24BA80CC4E18}"/>
</file>

<file path=customXml/itemProps4.xml><?xml version="1.0" encoding="utf-8"?>
<ds:datastoreItem xmlns:ds="http://schemas.openxmlformats.org/officeDocument/2006/customXml" ds:itemID="{565494BF-368E-442E-B174-47FD6CB118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abboud</dc:creator>
  <cp:keywords/>
  <dc:description/>
  <cp:lastModifiedBy>dany abboud</cp:lastModifiedBy>
  <cp:revision>10</cp:revision>
  <dcterms:created xsi:type="dcterms:W3CDTF">2020-03-17T23:46:00Z</dcterms:created>
  <dcterms:modified xsi:type="dcterms:W3CDTF">2023-03-17T10:40:00Z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0x010100CDA5F9399F923E4D8B22BC171E606CEF</vt:lpwstr>
  </property>
</Properties>
</file>