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37549">
      <w:pPr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t>PRACTICAL</w:t>
      </w:r>
    </w:p>
    <w:p w14:paraId="491F5D12">
      <w:pPr>
        <w:rPr>
          <w:rFonts w:hint="default" w:ascii="Times New Roman" w:hAnsi="Times New Roman" w:cs="Times New Roman"/>
          <w:sz w:val="28"/>
          <w:szCs w:val="28"/>
          <w:lang w:val="en-ZW"/>
        </w:rPr>
      </w:pPr>
    </w:p>
    <w:p w14:paraId="404CBA3F">
      <w:pPr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t>TASK :CONFIGURING WINDOWS DEFENDER FIREWALL</w:t>
      </w:r>
    </w:p>
    <w:p w14:paraId="6729220E">
      <w:pPr>
        <w:rPr>
          <w:rFonts w:hint="default" w:ascii="Times New Roman" w:hAnsi="Times New Roman" w:cs="Times New Roman"/>
          <w:sz w:val="28"/>
          <w:szCs w:val="28"/>
          <w:lang w:val="en-ZW"/>
        </w:rPr>
      </w:pPr>
    </w:p>
    <w:p w14:paraId="4D2481A8">
      <w:pPr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t>STEP 1:</w:t>
      </w:r>
    </w:p>
    <w:p w14:paraId="6C934888">
      <w:pPr>
        <w:numPr>
          <w:ilvl w:val="0"/>
          <w:numId w:val="1"/>
        </w:numPr>
        <w:tabs>
          <w:tab w:val="clear" w:pos="420"/>
        </w:tabs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t xml:space="preserve">Opening the Run Dialog Box </w:t>
      </w:r>
    </w:p>
    <w:p w14:paraId="48914C0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ZW"/>
        </w:rPr>
      </w:pPr>
    </w:p>
    <w:p w14:paraId="6FA1AD7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drawing>
          <wp:inline distT="0" distB="0" distL="114300" distR="114300">
            <wp:extent cx="5268595" cy="2609850"/>
            <wp:effectExtent l="0" t="0" r="8255" b="0"/>
            <wp:docPr id="1" name="Picture 1" descr="Screenshot (8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83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0DF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ZW"/>
        </w:rPr>
      </w:pPr>
    </w:p>
    <w:p w14:paraId="426F7ABA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t>The Windows Defender Firewall Setting Window</w:t>
      </w:r>
    </w:p>
    <w:p w14:paraId="1AA63A6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drawing>
          <wp:inline distT="0" distB="0" distL="114300" distR="114300">
            <wp:extent cx="5269230" cy="2962910"/>
            <wp:effectExtent l="0" t="0" r="7620" b="8890"/>
            <wp:docPr id="2" name="Picture 2" descr="Screenshot (7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72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40B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t>STEP 2: CREATING A NEW INBOUND RULE</w:t>
      </w:r>
    </w:p>
    <w:p w14:paraId="56147BAD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t>Inbound Rules are under “Advanced Settings” as they present specialized options that allow users to fine-tune a network system to ones preference</w:t>
      </w:r>
    </w:p>
    <w:p w14:paraId="622F4FDE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ZW"/>
        </w:rPr>
      </w:pPr>
    </w:p>
    <w:p w14:paraId="61B7EB7B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drawing>
          <wp:inline distT="0" distB="0" distL="114300" distR="114300">
            <wp:extent cx="5269230" cy="2825115"/>
            <wp:effectExtent l="0" t="0" r="7620" b="13335"/>
            <wp:docPr id="3" name="Picture 3" descr="Screenshot (7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73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9103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ZW"/>
        </w:rPr>
      </w:pPr>
    </w:p>
    <w:p w14:paraId="79B4E374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t>These rules ,are sets of configurations that govern incoming traffic ,requests and data ,analyzing whether it should be allowed or blocked  based of  of a certain criteria like IP addresses ,ports,protocols,packet content and user authentication.</w:t>
      </w:r>
    </w:p>
    <w:p w14:paraId="6B0C0FC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ZW"/>
        </w:rPr>
      </w:pPr>
    </w:p>
    <w:p w14:paraId="396B0D4C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drawing>
          <wp:inline distT="0" distB="0" distL="114300" distR="114300">
            <wp:extent cx="5269230" cy="2962910"/>
            <wp:effectExtent l="0" t="0" r="7620" b="8890"/>
            <wp:docPr id="4" name="Picture 4" descr="Screenshot (7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75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90CE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ZW"/>
        </w:rPr>
      </w:pPr>
    </w:p>
    <w:p w14:paraId="147E6C71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t xml:space="preserve">Selecting an Inbound Rule type aids  to the classification of the inbound rule </w:t>
      </w:r>
    </w:p>
    <w:p w14:paraId="0F751FE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t>For example :</w:t>
      </w:r>
    </w:p>
    <w:p w14:paraId="7B6F9C5C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t>Program Rule-This governs traffic based on the predefined rules of the recipient  also including the IP address</w:t>
      </w:r>
    </w:p>
    <w:p w14:paraId="4CF11F4E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t>Port Rule-This governs  traffic coming in from a specified port either allowing it,blocking it or conditionalizing it (allowing it when it is only secure or blocking it when it is not secure )</w:t>
      </w:r>
    </w:p>
    <w:p w14:paraId="4EA78CD0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t>Predefined Rule-These are   standardized pre-configured rules that controls and manages incoming traffic like Allow HTTP traffic</w:t>
      </w:r>
    </w:p>
    <w:p w14:paraId="3E0492BA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t xml:space="preserve">Custom Rule-these are user-defined rules that controls and manages incoming traffic </w:t>
      </w:r>
    </w:p>
    <w:p w14:paraId="6EF629F3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ZW"/>
        </w:rPr>
      </w:pPr>
    </w:p>
    <w:p w14:paraId="2334D1CF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drawing>
          <wp:inline distT="0" distB="0" distL="114300" distR="114300">
            <wp:extent cx="5269230" cy="2962910"/>
            <wp:effectExtent l="0" t="0" r="7620" b="8890"/>
            <wp:docPr id="5" name="Picture 5" descr="Screenshot (7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76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E3A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5390E7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85B84A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t>STEP 2(ii):Selecting an Inbound Rule Type</w:t>
      </w:r>
    </w:p>
    <w:p w14:paraId="3784627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ZW"/>
        </w:rPr>
      </w:pPr>
    </w:p>
    <w:p w14:paraId="3F17B8C1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t xml:space="preserve">For this task we created an Inbound Port Rule </w:t>
      </w:r>
    </w:p>
    <w:p w14:paraId="566D28D6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drawing>
          <wp:inline distT="0" distB="0" distL="114300" distR="114300">
            <wp:extent cx="4475480" cy="2507615"/>
            <wp:effectExtent l="0" t="0" r="1270" b="6985"/>
            <wp:docPr id="6" name="Picture 6" descr="Screenshot (7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78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548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C00D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t xml:space="preserve">There a two types of  Inbound Port Rule namely  TCP or UDP </w:t>
      </w:r>
    </w:p>
    <w:p w14:paraId="45D736F1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ZW"/>
        </w:rPr>
      </w:pPr>
    </w:p>
    <w:tbl>
      <w:tblPr>
        <w:tblStyle w:val="4"/>
        <w:tblW w:w="0" w:type="auto"/>
        <w:tblInd w:w="2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2"/>
        <w:gridCol w:w="2841"/>
        <w:gridCol w:w="2841"/>
      </w:tblGrid>
      <w:tr w14:paraId="66BF1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2" w:type="dxa"/>
            <w:shd w:val="clear" w:color="auto" w:fill="ED7D31" w:themeFill="accent2"/>
          </w:tcPr>
          <w:p w14:paraId="75ACE9A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highlight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highlight w:val="none"/>
                <w:vertAlign w:val="baseline"/>
                <w:lang w:val="en-ZW"/>
              </w:rPr>
              <w:t>FEATURE</w:t>
            </w:r>
          </w:p>
        </w:tc>
        <w:tc>
          <w:tcPr>
            <w:tcW w:w="2841" w:type="dxa"/>
            <w:shd w:val="clear" w:color="auto" w:fill="ED7D31" w:themeFill="accent2"/>
          </w:tcPr>
          <w:p w14:paraId="4E6E84F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ZW"/>
              </w:rPr>
              <w:t>TCP</w:t>
            </w:r>
          </w:p>
        </w:tc>
        <w:tc>
          <w:tcPr>
            <w:tcW w:w="2841" w:type="dxa"/>
            <w:shd w:val="clear" w:color="auto" w:fill="ED7D31" w:themeFill="accent2"/>
          </w:tcPr>
          <w:p w14:paraId="6B755C4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ZW"/>
              </w:rPr>
              <w:t>UDP</w:t>
            </w:r>
          </w:p>
        </w:tc>
      </w:tr>
      <w:tr w14:paraId="77DBA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2" w:type="dxa"/>
            <w:shd w:val="clear" w:color="auto" w:fill="ED7D31" w:themeFill="accent2"/>
          </w:tcPr>
          <w:p w14:paraId="7B619E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highlight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highlight w:val="none"/>
                <w:vertAlign w:val="baseline"/>
                <w:lang w:val="en-ZW"/>
              </w:rPr>
              <w:t>PROTOCOL</w:t>
            </w:r>
          </w:p>
        </w:tc>
        <w:tc>
          <w:tcPr>
            <w:tcW w:w="2841" w:type="dxa"/>
          </w:tcPr>
          <w:p w14:paraId="731376E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  <w:t>Transmission Control Protocol</w:t>
            </w:r>
          </w:p>
        </w:tc>
        <w:tc>
          <w:tcPr>
            <w:tcW w:w="2841" w:type="dxa"/>
          </w:tcPr>
          <w:p w14:paraId="61C1BD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  <w:t>User Datagram Protocol</w:t>
            </w:r>
          </w:p>
        </w:tc>
      </w:tr>
      <w:tr w14:paraId="1AB21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2" w:type="dxa"/>
            <w:shd w:val="clear" w:color="auto" w:fill="ED7D31" w:themeFill="accent2"/>
          </w:tcPr>
          <w:p w14:paraId="17753B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highlight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highlight w:val="none"/>
                <w:vertAlign w:val="baseline"/>
                <w:lang w:val="en-ZW"/>
              </w:rPr>
              <w:t>CONNECTION</w:t>
            </w:r>
          </w:p>
        </w:tc>
        <w:tc>
          <w:tcPr>
            <w:tcW w:w="2841" w:type="dxa"/>
          </w:tcPr>
          <w:p w14:paraId="7455336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  <w:t xml:space="preserve">Connection Oriented </w:t>
            </w:r>
          </w:p>
        </w:tc>
        <w:tc>
          <w:tcPr>
            <w:tcW w:w="2841" w:type="dxa"/>
          </w:tcPr>
          <w:p w14:paraId="258595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  <w:t>Connectionless</w:t>
            </w:r>
          </w:p>
        </w:tc>
      </w:tr>
      <w:tr w14:paraId="752E3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2" w:type="dxa"/>
            <w:shd w:val="clear" w:color="auto" w:fill="ED7D31" w:themeFill="accent2"/>
          </w:tcPr>
          <w:p w14:paraId="1580584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highlight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highlight w:val="none"/>
                <w:vertAlign w:val="baseline"/>
                <w:lang w:val="en-ZW"/>
              </w:rPr>
              <w:t>RELIABILITY</w:t>
            </w:r>
          </w:p>
        </w:tc>
        <w:tc>
          <w:tcPr>
            <w:tcW w:w="2841" w:type="dxa"/>
          </w:tcPr>
          <w:p w14:paraId="2CF753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  <w:t>Ensures reliable delivery with acknowledgement</w:t>
            </w:r>
          </w:p>
        </w:tc>
        <w:tc>
          <w:tcPr>
            <w:tcW w:w="2841" w:type="dxa"/>
          </w:tcPr>
          <w:p w14:paraId="629375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  <w:t>No guaranteed of delivery or error</w:t>
            </w:r>
          </w:p>
        </w:tc>
      </w:tr>
      <w:tr w14:paraId="70F4C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2" w:type="dxa"/>
            <w:shd w:val="clear" w:color="auto" w:fill="ED7D31" w:themeFill="accent2"/>
          </w:tcPr>
          <w:p w14:paraId="5816985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highlight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highlight w:val="none"/>
                <w:vertAlign w:val="baseline"/>
                <w:lang w:val="en-ZW"/>
              </w:rPr>
              <w:t>ORDERING</w:t>
            </w:r>
          </w:p>
        </w:tc>
        <w:tc>
          <w:tcPr>
            <w:tcW w:w="2841" w:type="dxa"/>
          </w:tcPr>
          <w:p w14:paraId="409F9CB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  <w:t xml:space="preserve">Ensures data arrives in the correct sequence </w:t>
            </w:r>
          </w:p>
        </w:tc>
        <w:tc>
          <w:tcPr>
            <w:tcW w:w="2841" w:type="dxa"/>
          </w:tcPr>
          <w:p w14:paraId="0B84B95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  <w:t>Data arrives in no particular sequence</w:t>
            </w:r>
          </w:p>
        </w:tc>
      </w:tr>
      <w:tr w14:paraId="48C92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2" w:type="dxa"/>
            <w:shd w:val="clear" w:color="auto" w:fill="ED7D31" w:themeFill="accent2"/>
          </w:tcPr>
          <w:p w14:paraId="4397633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highlight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highlight w:val="none"/>
                <w:vertAlign w:val="baseline"/>
                <w:lang w:val="en-ZW"/>
              </w:rPr>
              <w:t>SPEED</w:t>
            </w:r>
          </w:p>
        </w:tc>
        <w:tc>
          <w:tcPr>
            <w:tcW w:w="2841" w:type="dxa"/>
          </w:tcPr>
          <w:p w14:paraId="1D986A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  <w:t xml:space="preserve">Slower due to connection set-up and error-checking </w:t>
            </w:r>
          </w:p>
        </w:tc>
        <w:tc>
          <w:tcPr>
            <w:tcW w:w="2841" w:type="dxa"/>
          </w:tcPr>
          <w:p w14:paraId="7B2CA5E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  <w:t xml:space="preserve">Faster due to connection set up </w:t>
            </w:r>
          </w:p>
        </w:tc>
      </w:tr>
      <w:tr w14:paraId="5A587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2" w:type="dxa"/>
            <w:shd w:val="clear" w:color="auto" w:fill="ED7D31" w:themeFill="accent2"/>
          </w:tcPr>
          <w:p w14:paraId="4706AC8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highlight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highlight w:val="none"/>
                <w:vertAlign w:val="baseline"/>
                <w:lang w:val="en-ZW"/>
              </w:rPr>
              <w:t>USE CASES</w:t>
            </w:r>
          </w:p>
        </w:tc>
        <w:tc>
          <w:tcPr>
            <w:tcW w:w="2841" w:type="dxa"/>
          </w:tcPr>
          <w:p w14:paraId="17C93F2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  <w:t xml:space="preserve">Web browsing </w:t>
            </w:r>
          </w:p>
          <w:p w14:paraId="2EA2101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  <w:t>(HTTP)</w:t>
            </w:r>
          </w:p>
        </w:tc>
        <w:tc>
          <w:tcPr>
            <w:tcW w:w="2841" w:type="dxa"/>
          </w:tcPr>
          <w:p w14:paraId="4CA0650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  <w:t xml:space="preserve">Video streaming </w:t>
            </w:r>
          </w:p>
          <w:p w14:paraId="0858844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  <w:t>VoIP</w:t>
            </w:r>
          </w:p>
        </w:tc>
      </w:tr>
      <w:tr w14:paraId="0C271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2" w:type="dxa"/>
            <w:shd w:val="clear" w:color="auto" w:fill="ED7D31" w:themeFill="accent2"/>
          </w:tcPr>
          <w:p w14:paraId="13215B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highlight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highlight w:val="none"/>
                <w:vertAlign w:val="baseline"/>
                <w:lang w:val="en-ZW"/>
              </w:rPr>
              <w:t>SECURITY</w:t>
            </w:r>
          </w:p>
        </w:tc>
        <w:tc>
          <w:tcPr>
            <w:tcW w:w="2841" w:type="dxa"/>
          </w:tcPr>
          <w:p w14:paraId="2E86F95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  <w:t xml:space="preserve">More secure </w:t>
            </w:r>
          </w:p>
        </w:tc>
        <w:tc>
          <w:tcPr>
            <w:tcW w:w="2841" w:type="dxa"/>
          </w:tcPr>
          <w:p w14:paraId="744986E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ZW"/>
              </w:rPr>
              <w:t xml:space="preserve">Less secure </w:t>
            </w:r>
          </w:p>
        </w:tc>
      </w:tr>
    </w:tbl>
    <w:p w14:paraId="6734F71A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ZW"/>
        </w:rPr>
      </w:pPr>
    </w:p>
    <w:p w14:paraId="7F2E84BB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t>The below rule made id a TCP Inbound Rule  for a specified to block connection to Port 455</w:t>
      </w:r>
    </w:p>
    <w:p w14:paraId="66CC0D16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ZW"/>
        </w:rPr>
      </w:pPr>
    </w:p>
    <w:p w14:paraId="60FD8F9E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drawing>
          <wp:inline distT="0" distB="0" distL="114300" distR="114300">
            <wp:extent cx="5269230" cy="2962910"/>
            <wp:effectExtent l="0" t="0" r="7620" b="8890"/>
            <wp:docPr id="7" name="Picture 7" descr="Screenshot (7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(79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318D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drawing>
          <wp:inline distT="0" distB="0" distL="114300" distR="114300">
            <wp:extent cx="5005070" cy="2592070"/>
            <wp:effectExtent l="0" t="0" r="5080" b="17780"/>
            <wp:docPr id="8" name="Picture 8" descr="Screenshot (8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80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507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8F4E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ZW"/>
        </w:rPr>
      </w:pPr>
    </w:p>
    <w:p w14:paraId="20CDC8DA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t>Restriction access is cut across all profiles so as to ensure there are no loopholes existing where a device could be vulnerable due to mis-configuring or overlooking network type .</w:t>
      </w:r>
    </w:p>
    <w:p w14:paraId="7642C3A5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ZW"/>
        </w:rPr>
      </w:pPr>
    </w:p>
    <w:p w14:paraId="07179A25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ZW"/>
        </w:rPr>
      </w:pPr>
    </w:p>
    <w:p w14:paraId="3E6CF67C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drawing>
          <wp:inline distT="0" distB="0" distL="114300" distR="114300">
            <wp:extent cx="5395595" cy="2962910"/>
            <wp:effectExtent l="0" t="0" r="14605" b="8890"/>
            <wp:docPr id="9" name="Picture 9" descr="Screenshot (8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(8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7C34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ZW"/>
        </w:rPr>
      </w:pPr>
    </w:p>
    <w:p w14:paraId="192EEFE9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t>As the restriction of profiles is the last step this then signifies the finalization of the nature of the rule then naming the rule is done.</w:t>
      </w:r>
    </w:p>
    <w:p w14:paraId="4B2F515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drawing>
          <wp:inline distT="0" distB="0" distL="114300" distR="114300">
            <wp:extent cx="4149090" cy="2037715"/>
            <wp:effectExtent l="0" t="0" r="3810" b="635"/>
            <wp:docPr id="11" name="Picture 11" descr="Screenshot (9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(90)"/>
                    <pic:cNvPicPr>
                      <a:picLocks noChangeAspect="1"/>
                    </pic:cNvPicPr>
                  </pic:nvPicPr>
                  <pic:blipFill>
                    <a:blip r:embed="rId13"/>
                    <a:srcRect l="9205" t="20716" r="28479"/>
                    <a:stretch>
                      <a:fillRect/>
                    </a:stretch>
                  </pic:blipFill>
                  <pic:spPr>
                    <a:xfrm>
                      <a:off x="0" y="0"/>
                      <a:ext cx="414909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8F6B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ZW"/>
        </w:rPr>
      </w:pPr>
    </w:p>
    <w:p w14:paraId="1CFDFCE0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t>Thus,You find the rule stated in the Actions Column</w:t>
      </w:r>
    </w:p>
    <w:p w14:paraId="48C08F0E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ZW"/>
        </w:rPr>
      </w:pPr>
    </w:p>
    <w:p w14:paraId="47DB2D7F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ZW"/>
        </w:rPr>
      </w:pPr>
    </w:p>
    <w:p w14:paraId="022B44D7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ZW"/>
        </w:rPr>
      </w:pPr>
      <w:r>
        <w:rPr>
          <w:rFonts w:hint="default" w:ascii="Times New Roman" w:hAnsi="Times New Roman" w:cs="Times New Roman"/>
          <w:sz w:val="28"/>
          <w:szCs w:val="28"/>
          <w:lang w:val="en-ZW"/>
        </w:rPr>
        <w:drawing>
          <wp:inline distT="0" distB="0" distL="114300" distR="114300">
            <wp:extent cx="5269230" cy="2962910"/>
            <wp:effectExtent l="0" t="0" r="7620" b="8890"/>
            <wp:docPr id="10" name="Picture 10" descr="Screenshot (8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(82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5932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ZW"/>
        </w:rPr>
      </w:pPr>
    </w:p>
    <w:p w14:paraId="75530C9B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ZW"/>
        </w:rPr>
      </w:pPr>
    </w:p>
    <w:p w14:paraId="6CAC86E0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ZW"/>
        </w:rPr>
      </w:pPr>
    </w:p>
    <w:p w14:paraId="59464498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ZW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15A149"/>
    <w:multiLevelType w:val="singleLevel"/>
    <w:tmpl w:val="BE15A14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74A0584"/>
    <w:multiLevelType w:val="singleLevel"/>
    <w:tmpl w:val="574A0584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5952B508"/>
    <w:multiLevelType w:val="singleLevel"/>
    <w:tmpl w:val="5952B50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2A6470"/>
    <w:rsid w:val="232A6470"/>
    <w:rsid w:val="5A83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217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2025-03-19T08:04:00Z</dcterms:created>
  <dc:creator>Nozipho L. Maquta</dc:creator>
  <cp:lastModifiedBy>Nozipho Lerato Maquta</cp:lastModifiedBy>
  <dcterms:modified xsi:type="dcterms:W3CDTF">2026-01-12T12:36:31Z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CC08027970324B8DA2D3289A47A8212B_13</vt:lpwstr>
  </property>
</Properties>
</file>