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07C6" w14:textId="77777777" w:rsidR="00630DC4" w:rsidRDefault="00630DC4">
      <w:pPr>
        <w:jc w:val="center"/>
      </w:pPr>
    </w:p>
    <w:p w14:paraId="768509B9" w14:textId="77777777" w:rsidR="00630DC4" w:rsidRPr="00EC32AD" w:rsidRDefault="00000000">
      <w:pPr>
        <w:jc w:val="center"/>
        <w:rPr>
          <w:lang w:val="pt-BR"/>
        </w:rPr>
      </w:pPr>
      <w:r w:rsidRPr="00EC32AD">
        <w:rPr>
          <w:lang w:val="pt-BR"/>
        </w:rPr>
        <w:t>INSTITUTO GERMINARE</w:t>
      </w:r>
      <w:r w:rsidRPr="00EC32AD">
        <w:rPr>
          <w:lang w:val="pt-BR"/>
        </w:rPr>
        <w:br/>
        <w:t>SÃO PAULO - 2026</w:t>
      </w:r>
    </w:p>
    <w:p w14:paraId="68D2F365" w14:textId="77777777" w:rsidR="00630DC4" w:rsidRPr="00EC32AD" w:rsidRDefault="00000000">
      <w:pPr>
        <w:rPr>
          <w:lang w:val="pt-BR"/>
        </w:rPr>
      </w:pPr>
      <w:r w:rsidRPr="00EC32AD">
        <w:rPr>
          <w:lang w:val="pt-BR"/>
        </w:rPr>
        <w:br/>
      </w:r>
      <w:r w:rsidRPr="00EC32AD">
        <w:rPr>
          <w:lang w:val="pt-BR"/>
        </w:rPr>
        <w:br/>
      </w:r>
      <w:r w:rsidRPr="00EC32AD">
        <w:rPr>
          <w:lang w:val="pt-BR"/>
        </w:rPr>
        <w:br/>
      </w:r>
      <w:r w:rsidRPr="00EC32AD">
        <w:rPr>
          <w:lang w:val="pt-BR"/>
        </w:rPr>
        <w:br/>
      </w:r>
      <w:r w:rsidRPr="00EC32AD">
        <w:rPr>
          <w:lang w:val="pt-BR"/>
        </w:rPr>
        <w:br/>
      </w:r>
      <w:r w:rsidRPr="00EC32AD">
        <w:rPr>
          <w:lang w:val="pt-BR"/>
        </w:rPr>
        <w:br/>
      </w:r>
    </w:p>
    <w:p w14:paraId="7FD046D3" w14:textId="77777777" w:rsidR="00630DC4" w:rsidRPr="00EC32AD" w:rsidRDefault="00000000">
      <w:pPr>
        <w:jc w:val="center"/>
        <w:rPr>
          <w:lang w:val="pt-BR"/>
        </w:rPr>
      </w:pPr>
      <w:r w:rsidRPr="00EC32AD">
        <w:rPr>
          <w:b/>
          <w:lang w:val="pt-BR"/>
        </w:rPr>
        <w:t>GABRIEL MARTINS OLIVEIRA</w:t>
      </w:r>
      <w:r w:rsidRPr="00EC32AD">
        <w:rPr>
          <w:b/>
          <w:lang w:val="pt-BR"/>
        </w:rPr>
        <w:br/>
        <w:t>LETICIA NASCIMENTO DA SILVA</w:t>
      </w:r>
      <w:r w:rsidRPr="00EC32AD">
        <w:rPr>
          <w:b/>
          <w:lang w:val="pt-BR"/>
        </w:rPr>
        <w:br/>
        <w:t>THEO CORREIA MARTINS</w:t>
      </w:r>
      <w:r w:rsidRPr="00EC32AD">
        <w:rPr>
          <w:b/>
          <w:lang w:val="pt-BR"/>
        </w:rPr>
        <w:br/>
        <w:t>VITOR DE MELLO MACIEL</w:t>
      </w:r>
    </w:p>
    <w:p w14:paraId="743A0463" w14:textId="77777777" w:rsidR="00630DC4" w:rsidRPr="00EC32AD" w:rsidRDefault="00000000">
      <w:pPr>
        <w:rPr>
          <w:lang w:val="pt-BR"/>
        </w:rPr>
      </w:pPr>
      <w:r w:rsidRPr="00EC32AD">
        <w:rPr>
          <w:lang w:val="pt-BR"/>
        </w:rPr>
        <w:br/>
      </w:r>
      <w:r w:rsidRPr="00EC32AD">
        <w:rPr>
          <w:lang w:val="pt-BR"/>
        </w:rPr>
        <w:br/>
      </w:r>
      <w:r w:rsidRPr="00EC32AD">
        <w:rPr>
          <w:lang w:val="pt-BR"/>
        </w:rPr>
        <w:br/>
      </w:r>
      <w:r w:rsidRPr="00EC32AD">
        <w:rPr>
          <w:lang w:val="pt-BR"/>
        </w:rPr>
        <w:br/>
      </w:r>
      <w:r w:rsidRPr="00EC32AD">
        <w:rPr>
          <w:lang w:val="pt-BR"/>
        </w:rPr>
        <w:br/>
      </w:r>
      <w:r w:rsidRPr="00EC32AD">
        <w:rPr>
          <w:lang w:val="pt-BR"/>
        </w:rPr>
        <w:br/>
      </w:r>
    </w:p>
    <w:p w14:paraId="70C72DFE" w14:textId="77777777" w:rsidR="00630DC4" w:rsidRPr="00EC32AD" w:rsidRDefault="00000000">
      <w:pPr>
        <w:jc w:val="center"/>
        <w:rPr>
          <w:lang w:val="pt-BR"/>
        </w:rPr>
      </w:pPr>
      <w:r w:rsidRPr="00EC32AD">
        <w:rPr>
          <w:b/>
          <w:sz w:val="28"/>
          <w:lang w:val="pt-BR"/>
        </w:rPr>
        <w:t>Relatório Gerencial Expandido:</w:t>
      </w:r>
      <w:r w:rsidRPr="00EC32AD">
        <w:rPr>
          <w:b/>
          <w:sz w:val="28"/>
          <w:lang w:val="pt-BR"/>
        </w:rPr>
        <w:br/>
        <w:t>Modelagem Preditiva e Análise de Séries Temporais para Previsão de Tráfego Rodoviário na Rodovia I-94</w:t>
      </w:r>
    </w:p>
    <w:p w14:paraId="243C55FF" w14:textId="77777777" w:rsidR="00630DC4" w:rsidRDefault="00000000">
      <w:pPr>
        <w:rPr>
          <w:lang w:val="pt-BR"/>
        </w:rPr>
      </w:pPr>
      <w:r w:rsidRPr="00EC32AD">
        <w:rPr>
          <w:lang w:val="pt-BR"/>
        </w:rPr>
        <w:br w:type="page"/>
      </w:r>
    </w:p>
    <w:sdt>
      <w:sdtPr>
        <w:rPr>
          <w:lang w:val="pt-BR"/>
        </w:rPr>
        <w:id w:val="-235485007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color w:val="auto"/>
          <w:sz w:val="24"/>
          <w:szCs w:val="22"/>
          <w:lang w:val="en-US"/>
        </w:rPr>
      </w:sdtEndPr>
      <w:sdtContent>
        <w:p w14:paraId="7E5B6821" w14:textId="4C411CD2" w:rsidR="00402D98" w:rsidRDefault="00402D98">
          <w:pPr>
            <w:pStyle w:val="CabealhodoSumrio"/>
          </w:pPr>
          <w:r>
            <w:rPr>
              <w:lang w:val="pt-BR"/>
            </w:rPr>
            <w:t>Sumário</w:t>
          </w:r>
        </w:p>
        <w:p w14:paraId="1C213641" w14:textId="5847B730" w:rsidR="00165E73" w:rsidRDefault="00402D98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64588" w:history="1">
            <w:r w:rsidR="00165E73" w:rsidRPr="001C5E59">
              <w:rPr>
                <w:rStyle w:val="Hyperlink"/>
                <w:noProof/>
              </w:rPr>
              <w:t>Introdução</w:t>
            </w:r>
            <w:r w:rsidR="00165E73">
              <w:rPr>
                <w:noProof/>
                <w:webHidden/>
              </w:rPr>
              <w:tab/>
            </w:r>
            <w:r w:rsidR="00165E73">
              <w:rPr>
                <w:noProof/>
                <w:webHidden/>
              </w:rPr>
              <w:fldChar w:fldCharType="begin"/>
            </w:r>
            <w:r w:rsidR="00165E73">
              <w:rPr>
                <w:noProof/>
                <w:webHidden/>
              </w:rPr>
              <w:instrText xml:space="preserve"> PAGEREF _Toc230464588 \h </w:instrText>
            </w:r>
            <w:r w:rsidR="00165E73">
              <w:rPr>
                <w:noProof/>
                <w:webHidden/>
              </w:rPr>
            </w:r>
            <w:r w:rsidR="00165E73">
              <w:rPr>
                <w:noProof/>
                <w:webHidden/>
              </w:rPr>
              <w:fldChar w:fldCharType="separate"/>
            </w:r>
            <w:r w:rsidR="00165E73">
              <w:rPr>
                <w:noProof/>
                <w:webHidden/>
              </w:rPr>
              <w:t>3</w:t>
            </w:r>
            <w:r w:rsidR="00165E73">
              <w:rPr>
                <w:noProof/>
                <w:webHidden/>
              </w:rPr>
              <w:fldChar w:fldCharType="end"/>
            </w:r>
          </w:hyperlink>
        </w:p>
        <w:p w14:paraId="412B2FAF" w14:textId="3A08B9D3" w:rsidR="00165E73" w:rsidRDefault="00165E73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0464589" w:history="1">
            <w:r w:rsidRPr="001C5E59">
              <w:rPr>
                <w:rStyle w:val="Hyperlink"/>
                <w:noProof/>
                <w:lang w:val="pt-BR"/>
              </w:rPr>
              <w:t>Descrição e Tratamento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11EC6" w14:textId="19103448" w:rsidR="00165E73" w:rsidRDefault="00165E73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0464590" w:history="1">
            <w:r w:rsidRPr="001C5E59">
              <w:rPr>
                <w:rStyle w:val="Hyperlink"/>
                <w:noProof/>
                <w:lang w:val="pt-BR"/>
              </w:rPr>
              <w:t>Análise da Pipeline Aplicada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4F5F" w14:textId="5FCB5059" w:rsidR="00165E73" w:rsidRDefault="00165E73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0464591" w:history="1">
            <w:r w:rsidRPr="001C5E59">
              <w:rPr>
                <w:rStyle w:val="Hyperlink"/>
                <w:noProof/>
                <w:lang w:val="pt-BR"/>
              </w:rPr>
              <w:t>Comportamento da Série e Análise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FC740" w14:textId="5B623BE0" w:rsidR="00165E73" w:rsidRDefault="00165E73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0464592" w:history="1">
            <w:r w:rsidRPr="001C5E59">
              <w:rPr>
                <w:rStyle w:val="Hyperlink"/>
                <w:noProof/>
                <w:lang w:val="pt-BR"/>
              </w:rPr>
              <w:t>Decomposição STL e Força da Sazonalidade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BD6FE" w14:textId="2949C43E" w:rsidR="00165E73" w:rsidRDefault="00165E73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0464593" w:history="1">
            <w:r w:rsidRPr="001C5E59">
              <w:rPr>
                <w:rStyle w:val="Hyperlink"/>
                <w:noProof/>
                <w:lang w:val="pt-BR"/>
              </w:rPr>
              <w:t>Estacionariedade, Testes Estatísticos e Transformações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38199" w14:textId="5326329E" w:rsidR="00165E73" w:rsidRDefault="00165E73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0464594" w:history="1">
            <w:r w:rsidRPr="001C5E59">
              <w:rPr>
                <w:rStyle w:val="Hyperlink"/>
                <w:noProof/>
                <w:lang w:val="pt-BR"/>
              </w:rPr>
              <w:t>Escolha do Modelo SARIMA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FB4AE" w14:textId="2FFE23CC" w:rsidR="00165E73" w:rsidRDefault="00165E73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0464595" w:history="1">
            <w:r w:rsidRPr="001C5E59">
              <w:rPr>
                <w:rStyle w:val="Hyperlink"/>
                <w:noProof/>
                <w:lang w:val="pt-BR"/>
              </w:rPr>
              <w:t>Comparação com Base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36462" w14:textId="52B04A32" w:rsidR="00165E73" w:rsidRDefault="00165E73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0464596" w:history="1">
            <w:r w:rsidRPr="001C5E59">
              <w:rPr>
                <w:rStyle w:val="Hyperlink"/>
                <w:noProof/>
                <w:lang w:val="pt-BR"/>
              </w:rPr>
              <w:t>Rolling Forecast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ED008" w14:textId="41C6306E" w:rsidR="00165E73" w:rsidRDefault="00165E73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0464597" w:history="1">
            <w:r w:rsidRPr="001C5E59">
              <w:rPr>
                <w:rStyle w:val="Hyperlink"/>
                <w:noProof/>
                <w:lang w:val="pt-BR"/>
              </w:rPr>
              <w:t>Análise de Diagnóstico dos Resíduos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F80DF" w14:textId="13DF2DC5" w:rsidR="00165E73" w:rsidRDefault="00165E73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0464598" w:history="1">
            <w:r w:rsidRPr="001C5E59">
              <w:rPr>
                <w:rStyle w:val="Hyperlink"/>
                <w:noProof/>
                <w:lang w:val="pt-BR"/>
              </w:rPr>
              <w:t>Conclusão Gerencial e Recomendações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6BC24" w14:textId="756FCD2A" w:rsidR="00402D98" w:rsidRDefault="00402D98">
          <w:r>
            <w:rPr>
              <w:b/>
              <w:bCs/>
            </w:rPr>
            <w:fldChar w:fldCharType="end"/>
          </w:r>
        </w:p>
      </w:sdtContent>
    </w:sdt>
    <w:p w14:paraId="52471BF9" w14:textId="77777777" w:rsidR="00402D98" w:rsidRPr="00EC32AD" w:rsidRDefault="00402D98">
      <w:pPr>
        <w:rPr>
          <w:lang w:val="pt-BR"/>
        </w:rPr>
      </w:pPr>
    </w:p>
    <w:p w14:paraId="0CC427E4" w14:textId="77777777" w:rsidR="00165E73" w:rsidRDefault="00165E73">
      <w:pPr>
        <w:rPr>
          <w:rFonts w:eastAsiaTheme="majorEastAsia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9BBE0B1" w14:textId="1BA46505" w:rsidR="00630DC4" w:rsidRDefault="00000000">
      <w:pPr>
        <w:pStyle w:val="Ttulo1"/>
      </w:pPr>
      <w:bookmarkStart w:id="0" w:name="_Toc230464588"/>
      <w:proofErr w:type="spellStart"/>
      <w:r>
        <w:rPr>
          <w:rFonts w:ascii="Arial" w:hAnsi="Arial"/>
        </w:rPr>
        <w:lastRenderedPageBreak/>
        <w:t>Introdução</w:t>
      </w:r>
      <w:bookmarkEnd w:id="0"/>
      <w:proofErr w:type="spellEnd"/>
    </w:p>
    <w:p w14:paraId="77A7C3F5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>No planejamento urbano moderno e no desenvolvimento de Sistemas de Transporte Inteligentes (ITS), a modelagem preditiva do volume de tráfego de veículos desempenha um papel de extrema relevância. A estimativa acurada do fluxo em vias expressas constitui um insumo crítico para mitigar congestionamentos, otimizar a logística de distribuição, reduzir a emissão de poluentes e programar de forma racional obras civis e interdições de faixas. No entanto, os fluxos rodoviários são marcados por oscilações complexas decorrentes da rotina humana e de fatores climáticos que inviabilizam o uso de técnicas de regressão linear tradicionais.</w:t>
      </w:r>
    </w:p>
    <w:p w14:paraId="7A159027" w14:textId="3E710C5F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 xml:space="preserve">Sob essa perspectiva, este estudo desenvolve um modelo </w:t>
      </w:r>
      <w:proofErr w:type="spellStart"/>
      <w:r w:rsidRPr="00EC32AD">
        <w:rPr>
          <w:lang w:val="pt-BR"/>
        </w:rPr>
        <w:t>Autoregressivo</w:t>
      </w:r>
      <w:proofErr w:type="spellEnd"/>
      <w:r w:rsidRPr="00EC32AD">
        <w:rPr>
          <w:lang w:val="pt-BR"/>
        </w:rPr>
        <w:t xml:space="preserve"> Integrado de Médias Móveis Sazonal (</w:t>
      </w:r>
      <w:r w:rsidR="00D31673">
        <w:rPr>
          <w:lang w:val="pt-BR"/>
        </w:rPr>
        <w:t>SARIMA</w:t>
      </w:r>
      <w:r w:rsidRPr="00EC32AD">
        <w:rPr>
          <w:lang w:val="pt-BR"/>
        </w:rPr>
        <w:t>) para prever o fluxo diário de veículos na rodovia interestadual I-94, nos Estados Unidos, avaliando se a modelagem formal da sazonalidade semanal é capaz de fornecer previsões robustas e acuradas para subsidiar decisões operacionais de tráfego.</w:t>
      </w:r>
    </w:p>
    <w:p w14:paraId="284815A4" w14:textId="561DEE2B" w:rsidR="00630DC4" w:rsidRPr="00EC32AD" w:rsidRDefault="00000000">
      <w:pPr>
        <w:pStyle w:val="Ttulo1"/>
        <w:rPr>
          <w:lang w:val="pt-BR"/>
        </w:rPr>
      </w:pPr>
      <w:bookmarkStart w:id="1" w:name="_Toc230464589"/>
      <w:r w:rsidRPr="00EC32AD">
        <w:rPr>
          <w:rFonts w:ascii="Arial" w:hAnsi="Arial"/>
          <w:lang w:val="pt-BR"/>
        </w:rPr>
        <w:t>Descrição e Tratamento da Base de Dados</w:t>
      </w:r>
      <w:bookmarkEnd w:id="1"/>
    </w:p>
    <w:p w14:paraId="7072F696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 xml:space="preserve">A série temporal utilizada nesta pesquisa provém do UCI Machine Learning </w:t>
      </w:r>
      <w:proofErr w:type="spellStart"/>
      <w:r w:rsidRPr="00EC32AD">
        <w:rPr>
          <w:lang w:val="pt-BR"/>
        </w:rPr>
        <w:t>Repository</w:t>
      </w:r>
      <w:proofErr w:type="spellEnd"/>
      <w:r w:rsidRPr="00EC32AD">
        <w:rPr>
          <w:lang w:val="pt-BR"/>
        </w:rPr>
        <w:t xml:space="preserve">, consistindo originalmente em um conjunto de dados multivariado denominado Metro </w:t>
      </w:r>
      <w:proofErr w:type="spellStart"/>
      <w:r w:rsidRPr="00EC32AD">
        <w:rPr>
          <w:lang w:val="pt-BR"/>
        </w:rPr>
        <w:t>Interstate</w:t>
      </w:r>
      <w:proofErr w:type="spellEnd"/>
      <w:r w:rsidRPr="00EC32AD">
        <w:rPr>
          <w:lang w:val="pt-BR"/>
        </w:rPr>
        <w:t xml:space="preserve"> </w:t>
      </w:r>
      <w:proofErr w:type="spellStart"/>
      <w:r w:rsidRPr="00EC32AD">
        <w:rPr>
          <w:lang w:val="pt-BR"/>
        </w:rPr>
        <w:t>Traffic</w:t>
      </w:r>
      <w:proofErr w:type="spellEnd"/>
      <w:r w:rsidRPr="00EC32AD">
        <w:rPr>
          <w:lang w:val="pt-BR"/>
        </w:rPr>
        <w:t xml:space="preserve"> Volume. O registro original foi realizado de forma manual e automática pela estação de registro automático de tráfego (ATR) 301 do Departamento de Transportes de Minnesota (</w:t>
      </w:r>
      <w:proofErr w:type="spellStart"/>
      <w:r w:rsidRPr="00EC32AD">
        <w:rPr>
          <w:lang w:val="pt-BR"/>
        </w:rPr>
        <w:t>MnDOT</w:t>
      </w:r>
      <w:proofErr w:type="spellEnd"/>
      <w:r w:rsidRPr="00EC32AD">
        <w:rPr>
          <w:lang w:val="pt-BR"/>
        </w:rPr>
        <w:t>), posicionada de maneira estratégica no ponto médio entre as cidades de Minneapolis e St. Paul. O conjunto bruto abrange 48.204 registros de tráfego horário, coletados continuamente de 2 de outubro de 2012 às 09:00:00 até 30 de setembro de 2018 às 23:00:00.</w:t>
      </w:r>
    </w:p>
    <w:p w14:paraId="056AD9AC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>O principal problema identificado na base de dados bruta consiste na presença de duplicatas de carimbo de data/hora (geradas pela gravação de múltiplas linhas sempre que ocorria alteração em alguma das variáveis meteorológicas), intervalos de medição irregulares e quebras de sequência temporal causadas por falhas técnicas ou quedas de energia nos sensores da pista.</w:t>
      </w:r>
    </w:p>
    <w:p w14:paraId="6F2D54A7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>Para viabilizar a modelagem estatística linear contínua, estruturou-se uma rotina rigorosa de tratamento de dados no ambiente técnico do projeto. Primeiramente, realizou-se a conversão da coluna de data e hora (</w:t>
      </w:r>
      <w:proofErr w:type="spellStart"/>
      <w:r w:rsidRPr="00EC32AD">
        <w:rPr>
          <w:lang w:val="pt-BR"/>
        </w:rPr>
        <w:t>date_time</w:t>
      </w:r>
      <w:proofErr w:type="spellEnd"/>
      <w:r w:rsidRPr="00EC32AD">
        <w:rPr>
          <w:lang w:val="pt-BR"/>
        </w:rPr>
        <w:t>) para o formato padronizado de carimbo de data (</w:t>
      </w:r>
      <w:proofErr w:type="spellStart"/>
      <w:r w:rsidRPr="00EC32AD">
        <w:rPr>
          <w:lang w:val="pt-BR"/>
        </w:rPr>
        <w:t>datetime</w:t>
      </w:r>
      <w:proofErr w:type="spellEnd"/>
      <w:r w:rsidRPr="00EC32AD">
        <w:rPr>
          <w:lang w:val="pt-BR"/>
        </w:rPr>
        <w:t xml:space="preserve">). Em seguida, executou-se a ordenação cronológica estrita dos registros e a definição desse vetor de tempo como o índice estrutural da série. Para eliminar as irregularidades de frequência e os registros duplicados de clima, a série horária foi agregada pela média diária </w:t>
      </w:r>
      <w:r w:rsidRPr="00EC32AD">
        <w:rPr>
          <w:lang w:val="pt-BR"/>
        </w:rPr>
        <w:lastRenderedPageBreak/>
        <w:t xml:space="preserve">(utilizando a função de reamostragem </w:t>
      </w:r>
      <w:proofErr w:type="spellStart"/>
      <w:r w:rsidRPr="00EC32AD">
        <w:rPr>
          <w:lang w:val="pt-BR"/>
        </w:rPr>
        <w:t>resample</w:t>
      </w:r>
      <w:proofErr w:type="spellEnd"/>
      <w:r w:rsidRPr="00EC32AD">
        <w:rPr>
          <w:lang w:val="pt-BR"/>
        </w:rPr>
        <w:t>('D') do pacote pandas), resultando em uma série com frequência diária estável.</w:t>
      </w:r>
    </w:p>
    <w:p w14:paraId="39157B36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>Para corrigir os dias ausentes oriundos de interrupções de sensores, o tráfego foi preenchido de forma suave através do método de interpolação linear, garantindo uma série temporal 100% contínua e sem dados ausentes (</w:t>
      </w:r>
      <w:proofErr w:type="spellStart"/>
      <w:r w:rsidRPr="00EC32AD">
        <w:rPr>
          <w:lang w:val="pt-BR"/>
        </w:rPr>
        <w:t>missing</w:t>
      </w:r>
      <w:proofErr w:type="spellEnd"/>
      <w:r w:rsidRPr="00EC32AD">
        <w:rPr>
          <w:lang w:val="pt-BR"/>
        </w:rPr>
        <w:t xml:space="preserve"> </w:t>
      </w:r>
      <w:proofErr w:type="spellStart"/>
      <w:r w:rsidRPr="00EC32AD">
        <w:rPr>
          <w:lang w:val="pt-BR"/>
        </w:rPr>
        <w:t>values</w:t>
      </w:r>
      <w:proofErr w:type="spellEnd"/>
      <w:r w:rsidRPr="00EC32AD">
        <w:rPr>
          <w:lang w:val="pt-BR"/>
        </w:rPr>
        <w:t>) com exatamente 2.190 observações diárias. O volume de tráfego (variável predita) representa o tráfego horário acumulado e normalizado expresso em número de veículos por dia.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0DC4" w14:paraId="5D23835B" w14:textId="77777777">
        <w:tc>
          <w:tcPr>
            <w:tcW w:w="4320" w:type="dxa"/>
          </w:tcPr>
          <w:p w14:paraId="082499DE" w14:textId="77777777" w:rsidR="00630DC4" w:rsidRDefault="00000000">
            <w:proofErr w:type="spellStart"/>
            <w:r>
              <w:t>Especificação</w:t>
            </w:r>
            <w:proofErr w:type="spellEnd"/>
            <w:r>
              <w:t xml:space="preserve"> </w:t>
            </w:r>
            <w:proofErr w:type="spellStart"/>
            <w:r>
              <w:t>Operacional</w:t>
            </w:r>
            <w:proofErr w:type="spellEnd"/>
          </w:p>
        </w:tc>
        <w:tc>
          <w:tcPr>
            <w:tcW w:w="4320" w:type="dxa"/>
          </w:tcPr>
          <w:p w14:paraId="7F2F858E" w14:textId="77777777" w:rsidR="00630DC4" w:rsidRDefault="00000000">
            <w:r>
              <w:t>Detalhe Estatístico</w:t>
            </w:r>
          </w:p>
        </w:tc>
      </w:tr>
      <w:tr w:rsidR="00630DC4" w14:paraId="1CBFD773" w14:textId="77777777">
        <w:tc>
          <w:tcPr>
            <w:tcW w:w="4320" w:type="dxa"/>
          </w:tcPr>
          <w:p w14:paraId="3673341E" w14:textId="77777777" w:rsidR="00630DC4" w:rsidRDefault="00000000">
            <w:r>
              <w:t>Fonte dos Dados</w:t>
            </w:r>
          </w:p>
        </w:tc>
        <w:tc>
          <w:tcPr>
            <w:tcW w:w="4320" w:type="dxa"/>
          </w:tcPr>
          <w:p w14:paraId="7CA3389D" w14:textId="77777777" w:rsidR="00630DC4" w:rsidRDefault="00000000">
            <w:r>
              <w:t>MnDOT - Estação ATR 301 (I-94 Westbound)</w:t>
            </w:r>
          </w:p>
        </w:tc>
      </w:tr>
      <w:tr w:rsidR="00630DC4" w14:paraId="3EE11498" w14:textId="77777777">
        <w:tc>
          <w:tcPr>
            <w:tcW w:w="4320" w:type="dxa"/>
          </w:tcPr>
          <w:p w14:paraId="06B9065C" w14:textId="77777777" w:rsidR="00630DC4" w:rsidRDefault="00000000">
            <w:r>
              <w:t>Período de Análise</w:t>
            </w:r>
          </w:p>
        </w:tc>
        <w:tc>
          <w:tcPr>
            <w:tcW w:w="4320" w:type="dxa"/>
          </w:tcPr>
          <w:p w14:paraId="0335B804" w14:textId="77777777" w:rsidR="00630DC4" w:rsidRDefault="00000000">
            <w:r>
              <w:t>02/10/2012 a 30/09/2018 (6 anos e 11 meses)</w:t>
            </w:r>
          </w:p>
        </w:tc>
      </w:tr>
      <w:tr w:rsidR="00630DC4" w14:paraId="420D1058" w14:textId="77777777">
        <w:tc>
          <w:tcPr>
            <w:tcW w:w="4320" w:type="dxa"/>
          </w:tcPr>
          <w:p w14:paraId="5BDFEC54" w14:textId="77777777" w:rsidR="00630DC4" w:rsidRDefault="00000000">
            <w:r>
              <w:t>Registros Brutos</w:t>
            </w:r>
          </w:p>
        </w:tc>
        <w:tc>
          <w:tcPr>
            <w:tcW w:w="4320" w:type="dxa"/>
          </w:tcPr>
          <w:p w14:paraId="387A2C95" w14:textId="77777777" w:rsidR="00630DC4" w:rsidRDefault="00000000">
            <w:r>
              <w:t>48.204 observações horárias</w:t>
            </w:r>
          </w:p>
        </w:tc>
      </w:tr>
      <w:tr w:rsidR="00630DC4" w14:paraId="38ADA819" w14:textId="77777777">
        <w:tc>
          <w:tcPr>
            <w:tcW w:w="4320" w:type="dxa"/>
          </w:tcPr>
          <w:p w14:paraId="0A38CD00" w14:textId="77777777" w:rsidR="00630DC4" w:rsidRDefault="00000000">
            <w:r>
              <w:t>Frequência Final</w:t>
            </w:r>
          </w:p>
        </w:tc>
        <w:tc>
          <w:tcPr>
            <w:tcW w:w="4320" w:type="dxa"/>
          </w:tcPr>
          <w:p w14:paraId="401D21FC" w14:textId="77777777" w:rsidR="00630DC4" w:rsidRDefault="00000000">
            <w:r>
              <w:t>Diária (Agregação por média)</w:t>
            </w:r>
          </w:p>
        </w:tc>
      </w:tr>
      <w:tr w:rsidR="00630DC4" w14:paraId="5154ECA4" w14:textId="77777777">
        <w:tc>
          <w:tcPr>
            <w:tcW w:w="4320" w:type="dxa"/>
          </w:tcPr>
          <w:p w14:paraId="7916A1F8" w14:textId="77777777" w:rsidR="00630DC4" w:rsidRDefault="00000000">
            <w:r>
              <w:t>Registros Tratados</w:t>
            </w:r>
          </w:p>
        </w:tc>
        <w:tc>
          <w:tcPr>
            <w:tcW w:w="4320" w:type="dxa"/>
          </w:tcPr>
          <w:p w14:paraId="74508D98" w14:textId="77777777" w:rsidR="00630DC4" w:rsidRDefault="00000000">
            <w:r>
              <w:t>2.190 observações contínuas (zero lacunas)</w:t>
            </w:r>
          </w:p>
        </w:tc>
      </w:tr>
    </w:tbl>
    <w:p w14:paraId="63157D4A" w14:textId="77777777" w:rsidR="00D31673" w:rsidRDefault="00D31673" w:rsidP="00D31673"/>
    <w:p w14:paraId="6E26EE6B" w14:textId="666FB44F" w:rsidR="00D31673" w:rsidRPr="00402D98" w:rsidRDefault="00402D98" w:rsidP="00D31673">
      <w:pPr>
        <w:pStyle w:val="Ttulo1"/>
        <w:rPr>
          <w:lang w:val="pt-BR"/>
        </w:rPr>
      </w:pPr>
      <w:bookmarkStart w:id="2" w:name="_Toc230464590"/>
      <w:r w:rsidRPr="00402D98">
        <w:rPr>
          <w:lang w:val="pt-BR"/>
        </w:rPr>
        <w:t>A</w:t>
      </w:r>
      <w:r>
        <w:rPr>
          <w:lang w:val="pt-BR"/>
        </w:rPr>
        <w:t>nálise da Pipeline Aplicada</w:t>
      </w:r>
      <w:bookmarkEnd w:id="2"/>
    </w:p>
    <w:p w14:paraId="42072320" w14:textId="66956B5D" w:rsidR="00630DC4" w:rsidRPr="00EC32AD" w:rsidRDefault="00000000" w:rsidP="00D31673">
      <w:pPr>
        <w:pStyle w:val="Ttulo2"/>
        <w:rPr>
          <w:lang w:val="pt-BR"/>
        </w:rPr>
      </w:pPr>
      <w:bookmarkStart w:id="3" w:name="_Toc230464591"/>
      <w:r w:rsidRPr="00EC32AD">
        <w:rPr>
          <w:lang w:val="pt-BR"/>
        </w:rPr>
        <w:t>Comportamento da Série e Análise Visual</w:t>
      </w:r>
      <w:bookmarkEnd w:id="3"/>
    </w:p>
    <w:p w14:paraId="26DB4A68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>A análise visual da série temporal revela características fundamentais que orientam a abordagem de modelagem. Diferente de séries de consumo de energia ou dados de faturamento que apresentam tendências de crescimento de caráter exponencial ou infinito, o tráfego na rodovia interestadual I-94 comporta-se como um sistema limitado, que oscila ao redor de um teto de saturação física definido pela capacidade máxima de escoamento de veículos da malha rodoviária. A média histórica de longo prazo permanece estável ao longo dos anos, indicando a inexistência de uma tendência determinística acentuada de crescimento.</w:t>
      </w:r>
    </w:p>
    <w:p w14:paraId="45C25212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>No entanto, a característica preponderante da série é a sua oscilação de altíssima frequência, fortemente influenciada pela sazonalidade semanal. Observa-se um padrão cíclico regular e repetitivo onde o tráfego diário aumenta de forma consistente de segunda a sexta-feira, impulsionado pelas atividades comerciais e pelo trânsito pendular obrigatório de trabalhadores. Nos finais de semana, ocorre uma queda acentuada e abrupta no tráfego, refletindo a redução das atividades de rotina laboral e comercial.</w:t>
      </w:r>
    </w:p>
    <w:p w14:paraId="4AD351A8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lastRenderedPageBreak/>
        <w:t>Adicionalmente, a série exibe vales profundos isolados que rompem a estabilidade do ciclo sazonal. Estes vales representam choques e quebras estruturais na série, associados principalmente a feriados nacionais (como o Dia de Ação de Graças, Natal e Ano Novo, nos quais as empresas fecham e as pessoas realizam viagens de longa distância) ou a nevascas severas e tempestades extremas comuns em Minnesota, que forçam o fechamento parcial da rodovia ou desencorajam o trânsito de automóveis. Essa alta volatilidade e dependência cronológica direta indicam que a modelagem deve focar essencialmente na estrutura autorregressiva da série, uma vez que o tráfego observado no passado recente é o principal preditor do tráfego do dia seguinte.</w:t>
      </w:r>
    </w:p>
    <w:p w14:paraId="27F0810F" w14:textId="4996BC25" w:rsidR="00630DC4" w:rsidRPr="00EC32AD" w:rsidRDefault="00000000" w:rsidP="00D31673">
      <w:pPr>
        <w:pStyle w:val="Ttulo2"/>
        <w:rPr>
          <w:lang w:val="pt-BR"/>
        </w:rPr>
      </w:pPr>
      <w:bookmarkStart w:id="4" w:name="_Toc230464592"/>
      <w:r w:rsidRPr="00EC32AD">
        <w:rPr>
          <w:lang w:val="pt-BR"/>
        </w:rPr>
        <w:t>Decomposição STL e Força da Sazonalidade</w:t>
      </w:r>
      <w:bookmarkEnd w:id="4"/>
    </w:p>
    <w:p w14:paraId="5093ECEC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 xml:space="preserve">Para extrair e analisar de forma isolada os componentes de longo prazo e as flutuações periódicas da série de tráfego, aplicou-se a técnica estatística de Decomposição STL (Sazonal e Tendência usando </w:t>
      </w:r>
      <w:proofErr w:type="spellStart"/>
      <w:r w:rsidRPr="00EC32AD">
        <w:rPr>
          <w:lang w:val="pt-BR"/>
        </w:rPr>
        <w:t>Loess</w:t>
      </w:r>
      <w:proofErr w:type="spellEnd"/>
      <w:r w:rsidRPr="00EC32AD">
        <w:rPr>
          <w:lang w:val="pt-BR"/>
        </w:rPr>
        <w:t>) com período definido de m=7 dias. A decomposição isola com sucesso quatro componentes: a série original observada, a curva de tendência de longo prazo, o componente sazonal semanal e a série residual de ruído. A curva de tendência revela variações suaves de ciclo médio e longo, confirmando a estabilidade da média sem crescimento de longo prazo, enquanto o componente sazonal exibe uma onda cíclica estável com vales profundos correspondentes aos sábados e domingos.</w:t>
      </w:r>
    </w:p>
    <w:p w14:paraId="55F4F6B8" w14:textId="77777777" w:rsidR="00630DC4" w:rsidRDefault="00000000">
      <w:r>
        <w:rPr>
          <w:noProof/>
        </w:rPr>
        <w:drawing>
          <wp:inline distT="0" distB="0" distL="0" distR="0" wp14:anchorId="1FCC4274" wp14:editId="7A1E31A1">
            <wp:extent cx="5486400" cy="24972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DAA5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 xml:space="preserve">A força da sazonalidade semanal (F_S) foi calculada com base na variância do componente residual e do componente sazonal resultantes da decomposição STL. O cálculo numérico no ambiente Python retornou um valor de F_S ≈ 0,88, o que indica uma presença de sazonalidade semanal extremamente forte e estrutural. Na ciência de séries temporais, uma força sazonal superior a 0,60 indica que o padrão periódico desempenha um papel determinante na geração </w:t>
      </w:r>
      <w:r w:rsidRPr="00EC32AD">
        <w:rPr>
          <w:lang w:val="pt-BR"/>
        </w:rPr>
        <w:lastRenderedPageBreak/>
        <w:t>dos dados, justificando tecnicamente a escolha de um modelo sazonal robusto como o SARIMA para capturar a dependência cíclica de período.</w:t>
      </w:r>
    </w:p>
    <w:p w14:paraId="5C35B1B3" w14:textId="267A1057" w:rsidR="00630DC4" w:rsidRPr="00EC32AD" w:rsidRDefault="00000000" w:rsidP="00D31673">
      <w:pPr>
        <w:pStyle w:val="Ttulo2"/>
        <w:rPr>
          <w:lang w:val="pt-BR"/>
        </w:rPr>
      </w:pPr>
      <w:bookmarkStart w:id="5" w:name="_Toc230464593"/>
      <w:proofErr w:type="spellStart"/>
      <w:r w:rsidRPr="00EC32AD">
        <w:rPr>
          <w:lang w:val="pt-BR"/>
        </w:rPr>
        <w:t>Estacionariedade</w:t>
      </w:r>
      <w:proofErr w:type="spellEnd"/>
      <w:r w:rsidRPr="00EC32AD">
        <w:rPr>
          <w:lang w:val="pt-BR"/>
        </w:rPr>
        <w:t>, Testes Estatísticos e Transformações</w:t>
      </w:r>
      <w:bookmarkEnd w:id="5"/>
    </w:p>
    <w:p w14:paraId="12EEFDFE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 xml:space="preserve">Para assegurar a validade matemática da modelagem linear e determinar a necessidade de diferenciação, aplicaram-se conjuntamente o Teste </w:t>
      </w:r>
      <w:proofErr w:type="spellStart"/>
      <w:r w:rsidRPr="00EC32AD">
        <w:rPr>
          <w:lang w:val="pt-BR"/>
        </w:rPr>
        <w:t>Dickey</w:t>
      </w:r>
      <w:proofErr w:type="spellEnd"/>
      <w:r w:rsidRPr="00EC32AD">
        <w:rPr>
          <w:lang w:val="pt-BR"/>
        </w:rPr>
        <w:t xml:space="preserve">-Fuller Aumentado (ADF) e o Teste </w:t>
      </w:r>
      <w:proofErr w:type="spellStart"/>
      <w:r w:rsidRPr="00EC32AD">
        <w:rPr>
          <w:lang w:val="pt-BR"/>
        </w:rPr>
        <w:t>Kwiatkowski</w:t>
      </w:r>
      <w:proofErr w:type="spellEnd"/>
      <w:r w:rsidRPr="00EC32AD">
        <w:rPr>
          <w:lang w:val="pt-BR"/>
        </w:rPr>
        <w:t>-Phillips-Schmidt-Shin (KPSS) sobre a série diária de tráfego. O teste ADF avalia a hipótese nula de que a série temporal possui uma raiz unitária (não estacionária), enquanto o teste KPSS avalia a hipótese nula de que a série é estacionária em torno de uma média estável.</w:t>
      </w:r>
    </w:p>
    <w:p w14:paraId="7592A434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>Os resultados estatísticos revelaram-se compatíveis:</w:t>
      </w:r>
    </w:p>
    <w:p w14:paraId="15B2622B" w14:textId="77777777" w:rsidR="00630DC4" w:rsidRPr="00EC32AD" w:rsidRDefault="00000000">
      <w:pPr>
        <w:jc w:val="both"/>
        <w:rPr>
          <w:lang w:val="pt-BR"/>
        </w:rPr>
      </w:pPr>
      <w:r>
        <w:t>- Resultado do Teste ADF: Apresentou um p-value superior a 0,05 (p = 0,0669), falhando em rejeitar a hipótese de raiz unitária estocástica.</w:t>
      </w:r>
    </w:p>
    <w:p w14:paraId="776CC816" w14:textId="77777777" w:rsidR="00630DC4" w:rsidRPr="00EC32AD" w:rsidRDefault="00000000">
      <w:pPr>
        <w:jc w:val="both"/>
        <w:rPr>
          <w:lang w:val="pt-BR"/>
        </w:rPr>
      </w:pPr>
      <w:r>
        <w:t>- Resultado do Teste KPSS: Apresentou um p-value igual a 0,0100 (p &lt; 0,05), acarretando a rejeição da hipótese de estacionariedade.</w:t>
      </w:r>
    </w:p>
    <w:p w14:paraId="2344E43D" w14:textId="77777777" w:rsidR="00630DC4" w:rsidRPr="00EC32AD" w:rsidRDefault="00000000">
      <w:pPr>
        <w:jc w:val="both"/>
        <w:rPr>
          <w:lang w:val="pt-BR"/>
        </w:rPr>
      </w:pPr>
      <w:r>
        <w:t>Dado que ambos os testes indicam de forma unânime a não estacionariedade da série original diária, conclui-se que o tráfego não oscila de forma estacionária, justificando a necessidade de diferenciação matemática para a modelagem.</w:t>
      </w:r>
    </w:p>
    <w:p w14:paraId="24F4AF89" w14:textId="78B40F25" w:rsidR="00630DC4" w:rsidRPr="00EC32AD" w:rsidRDefault="00000000" w:rsidP="00D31673">
      <w:pPr>
        <w:pStyle w:val="Ttulo2"/>
        <w:rPr>
          <w:lang w:val="pt-BR"/>
        </w:rPr>
      </w:pPr>
      <w:bookmarkStart w:id="6" w:name="_Toc230464594"/>
      <w:r w:rsidRPr="00EC32AD">
        <w:rPr>
          <w:lang w:val="pt-BR"/>
        </w:rPr>
        <w:t>Escolha do Modelo SARIMA</w:t>
      </w:r>
      <w:bookmarkEnd w:id="6"/>
    </w:p>
    <w:p w14:paraId="59FED729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 xml:space="preserve">A partir da análise estrutural, realizou-se o ajuste dos polinômios autorregressivos e de médias móveis utilizando uma rotina automatizada de busca em grade (Grid Search) no notebook técnico. O critério de informação de seleção utilizado foi o Critério de Informação Bayesiano (BIC), que penaliza rigorosamente a inclusão de coeficientes redundantes para evitar o </w:t>
      </w:r>
      <w:proofErr w:type="spellStart"/>
      <w:r w:rsidRPr="00EC32AD">
        <w:rPr>
          <w:lang w:val="pt-BR"/>
        </w:rPr>
        <w:t>sobreajuste</w:t>
      </w:r>
      <w:proofErr w:type="spellEnd"/>
      <w:r w:rsidRPr="00EC32AD">
        <w:rPr>
          <w:lang w:val="pt-BR"/>
        </w:rPr>
        <w:t xml:space="preserve"> e garantir a </w:t>
      </w:r>
      <w:proofErr w:type="spellStart"/>
      <w:r w:rsidRPr="00EC32AD">
        <w:rPr>
          <w:lang w:val="pt-BR"/>
        </w:rPr>
        <w:t>parsimônia</w:t>
      </w:r>
      <w:proofErr w:type="spellEnd"/>
      <w:r w:rsidRPr="00EC32AD">
        <w:rPr>
          <w:lang w:val="pt-BR"/>
        </w:rPr>
        <w:t>.</w:t>
      </w:r>
    </w:p>
    <w:p w14:paraId="2091292C" w14:textId="4A190B94" w:rsidR="00630DC4" w:rsidRPr="00EC32AD" w:rsidRDefault="00000000">
      <w:pPr>
        <w:jc w:val="both"/>
        <w:rPr>
          <w:lang w:val="pt-BR"/>
        </w:rPr>
      </w:pPr>
      <w:r>
        <w:t>O modelo ótimo selecionado matematicamente pela busca em grade iterativa foi o SARIMA(1, 1, 1) x (1, 0, 1) [28], atingindo o menor BIC de 26.043,95. O parâmetro de diferenciação d=1 confirma a não estacionariedade apontada pelos testes ADF e KPSS. Além disso, essa estrutura matemática indica que o algoritmo identificou não apenas o ciclo puro de 7 dias, mas encontrou otimização superior modelando o ciclo expandido de 28 dias (quatro semanas), capturando flutuações e comportamentos rítmicos mais profundos do mês calendário.</w:t>
      </w:r>
    </w:p>
    <w:p w14:paraId="7BE53853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 xml:space="preserve">Em termos gerenciais, essa estrutura indica que o tráfego do dia corrente é predito com base na taxa observada no passado recente, combinada com uma </w:t>
      </w:r>
      <w:r w:rsidRPr="00EC32AD">
        <w:rPr>
          <w:lang w:val="pt-BR"/>
        </w:rPr>
        <w:lastRenderedPageBreak/>
        <w:t>correção de erro ponderada e sazonalidade de janelas alargadas, capturando tanto a inércia diária quanto ciclos expandidos de mobilidade.</w:t>
      </w:r>
    </w:p>
    <w:p w14:paraId="23AEC2F6" w14:textId="22D6A6DD" w:rsidR="00630DC4" w:rsidRPr="00EC32AD" w:rsidRDefault="00000000" w:rsidP="00D31673">
      <w:pPr>
        <w:pStyle w:val="Ttulo2"/>
        <w:rPr>
          <w:lang w:val="pt-BR"/>
        </w:rPr>
      </w:pPr>
      <w:bookmarkStart w:id="7" w:name="_Toc230464595"/>
      <w:r w:rsidRPr="00EC32AD">
        <w:rPr>
          <w:lang w:val="pt-BR"/>
        </w:rPr>
        <w:t>Comparação com Base Models</w:t>
      </w:r>
      <w:bookmarkEnd w:id="7"/>
    </w:p>
    <w:p w14:paraId="027A261F" w14:textId="6B3DE812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 xml:space="preserve">Para fins de validação e comprovação do ganho de precisão trazido pelo modelo </w:t>
      </w:r>
      <w:r w:rsidR="00D31673">
        <w:rPr>
          <w:lang w:val="pt-BR"/>
        </w:rPr>
        <w:t>SARIMA</w:t>
      </w:r>
      <w:r w:rsidRPr="00EC32AD">
        <w:rPr>
          <w:lang w:val="pt-BR"/>
        </w:rPr>
        <w:t>, os dados de tráfego diário da rodovia I-94 foram fracionados de forma cronológica rígida, destinando 1.752 dias para a etapa de treinamento e 438 dias para a etapa de testes preditivos. O desempenho do SARIMA foi comparado ao de algoritmos de linha de base (Base Models) amplamente utilizados na indústria.</w:t>
      </w:r>
    </w:p>
    <w:p w14:paraId="23152311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>Os resultados numéricos obtidos no conjunto de teste revelaram que os modelos de linha de base simples de média móvel (SMA e EMA) apresentam erros absolutos médios (MAE) elevados. Isso ocorre porque esses algoritmos não possuem uma estrutura matemática capaz de mapear a transição entre dias de semana e finais de semana, gerando previsões excessivamente suavizadas que sofrem de atraso de fase.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0DC4" w14:paraId="2EF99D4C" w14:textId="77777777">
        <w:tc>
          <w:tcPr>
            <w:tcW w:w="2880" w:type="dxa"/>
          </w:tcPr>
          <w:p w14:paraId="7CEF18AB" w14:textId="77777777" w:rsidR="00630DC4" w:rsidRDefault="00000000">
            <w:proofErr w:type="spellStart"/>
            <w:r>
              <w:t>Algoritmo</w:t>
            </w:r>
            <w:proofErr w:type="spellEnd"/>
            <w:r>
              <w:t xml:space="preserve"> de </w:t>
            </w:r>
            <w:proofErr w:type="spellStart"/>
            <w:r>
              <w:t>Previsão</w:t>
            </w:r>
            <w:proofErr w:type="spellEnd"/>
          </w:p>
        </w:tc>
        <w:tc>
          <w:tcPr>
            <w:tcW w:w="2880" w:type="dxa"/>
          </w:tcPr>
          <w:p w14:paraId="7B9252A0" w14:textId="77777777" w:rsidR="00630DC4" w:rsidRDefault="00000000">
            <w:r>
              <w:t>MAE no Treino</w:t>
            </w:r>
          </w:p>
        </w:tc>
        <w:tc>
          <w:tcPr>
            <w:tcW w:w="2880" w:type="dxa"/>
          </w:tcPr>
          <w:p w14:paraId="3778C3BB" w14:textId="77777777" w:rsidR="00630DC4" w:rsidRDefault="00000000">
            <w:r>
              <w:t>MAE no Teste</w:t>
            </w:r>
          </w:p>
        </w:tc>
      </w:tr>
      <w:tr w:rsidR="00630DC4" w14:paraId="70DE26E3" w14:textId="77777777">
        <w:tc>
          <w:tcPr>
            <w:tcW w:w="2880" w:type="dxa"/>
          </w:tcPr>
          <w:p w14:paraId="39144793" w14:textId="77777777" w:rsidR="00630DC4" w:rsidRDefault="00000000">
            <w:r>
              <w:t>SMA (7)</w:t>
            </w:r>
          </w:p>
        </w:tc>
        <w:tc>
          <w:tcPr>
            <w:tcW w:w="2880" w:type="dxa"/>
          </w:tcPr>
          <w:p w14:paraId="5A0A9982" w14:textId="77777777" w:rsidR="00630DC4" w:rsidRDefault="00000000">
            <w:r>
              <w:t>413.02</w:t>
            </w:r>
          </w:p>
        </w:tc>
        <w:tc>
          <w:tcPr>
            <w:tcW w:w="2880" w:type="dxa"/>
          </w:tcPr>
          <w:p w14:paraId="63AFF886" w14:textId="77777777" w:rsidR="00630DC4" w:rsidRDefault="00000000">
            <w:r>
              <w:t>459.68</w:t>
            </w:r>
          </w:p>
        </w:tc>
      </w:tr>
      <w:tr w:rsidR="00630DC4" w14:paraId="314F679E" w14:textId="77777777">
        <w:tc>
          <w:tcPr>
            <w:tcW w:w="2880" w:type="dxa"/>
          </w:tcPr>
          <w:p w14:paraId="1586B61F" w14:textId="77777777" w:rsidR="00630DC4" w:rsidRDefault="00000000">
            <w:r>
              <w:t>EMA (7)</w:t>
            </w:r>
          </w:p>
        </w:tc>
        <w:tc>
          <w:tcPr>
            <w:tcW w:w="2880" w:type="dxa"/>
          </w:tcPr>
          <w:p w14:paraId="6C058D37" w14:textId="77777777" w:rsidR="00630DC4" w:rsidRDefault="00000000">
            <w:r>
              <w:t>349.32</w:t>
            </w:r>
          </w:p>
        </w:tc>
        <w:tc>
          <w:tcPr>
            <w:tcW w:w="2880" w:type="dxa"/>
          </w:tcPr>
          <w:p w14:paraId="2C075B89" w14:textId="77777777" w:rsidR="00630DC4" w:rsidRDefault="00000000">
            <w:r>
              <w:t>390.17</w:t>
            </w:r>
          </w:p>
        </w:tc>
      </w:tr>
      <w:tr w:rsidR="00630DC4" w14:paraId="3E990DC7" w14:textId="77777777">
        <w:tc>
          <w:tcPr>
            <w:tcW w:w="2880" w:type="dxa"/>
          </w:tcPr>
          <w:p w14:paraId="4E46F1DD" w14:textId="77777777" w:rsidR="00630DC4" w:rsidRDefault="00000000">
            <w:r>
              <w:t>Seasonal Naive (7)</w:t>
            </w:r>
          </w:p>
        </w:tc>
        <w:tc>
          <w:tcPr>
            <w:tcW w:w="2880" w:type="dxa"/>
          </w:tcPr>
          <w:p w14:paraId="12B9807B" w14:textId="77777777" w:rsidR="00630DC4" w:rsidRDefault="00000000">
            <w:r>
              <w:t>365.84</w:t>
            </w:r>
          </w:p>
        </w:tc>
        <w:tc>
          <w:tcPr>
            <w:tcW w:w="2880" w:type="dxa"/>
          </w:tcPr>
          <w:p w14:paraId="7182B650" w14:textId="77777777" w:rsidR="00630DC4" w:rsidRDefault="00000000">
            <w:r>
              <w:t>327.38</w:t>
            </w:r>
          </w:p>
        </w:tc>
      </w:tr>
      <w:tr w:rsidR="00630DC4" w14:paraId="1A00CF00" w14:textId="77777777">
        <w:tc>
          <w:tcPr>
            <w:tcW w:w="2880" w:type="dxa"/>
          </w:tcPr>
          <w:p w14:paraId="10B268BB" w14:textId="77777777" w:rsidR="00630DC4" w:rsidRDefault="00000000">
            <w:r>
              <w:t>SARIMA Estático</w:t>
            </w:r>
          </w:p>
        </w:tc>
        <w:tc>
          <w:tcPr>
            <w:tcW w:w="2880" w:type="dxa"/>
          </w:tcPr>
          <w:p w14:paraId="276894D1" w14:textId="77777777" w:rsidR="00630DC4" w:rsidRDefault="00000000">
            <w:r>
              <w:t>311.37</w:t>
            </w:r>
          </w:p>
        </w:tc>
        <w:tc>
          <w:tcPr>
            <w:tcW w:w="2880" w:type="dxa"/>
          </w:tcPr>
          <w:p w14:paraId="7221E951" w14:textId="77777777" w:rsidR="00630DC4" w:rsidRDefault="00000000">
            <w:r>
              <w:t>364.89</w:t>
            </w:r>
          </w:p>
        </w:tc>
      </w:tr>
      <w:tr w:rsidR="00630DC4" w14:paraId="5BB86381" w14:textId="77777777">
        <w:tc>
          <w:tcPr>
            <w:tcW w:w="2880" w:type="dxa"/>
          </w:tcPr>
          <w:p w14:paraId="2C11EF2B" w14:textId="77777777" w:rsidR="00630DC4" w:rsidRDefault="00000000">
            <w:r>
              <w:t>SARIMA Rolling Forecast</w:t>
            </w:r>
          </w:p>
        </w:tc>
        <w:tc>
          <w:tcPr>
            <w:tcW w:w="2880" w:type="dxa"/>
          </w:tcPr>
          <w:p w14:paraId="471118FE" w14:textId="77777777" w:rsidR="00630DC4" w:rsidRDefault="00000000">
            <w:r>
              <w:t>-</w:t>
            </w:r>
          </w:p>
        </w:tc>
        <w:tc>
          <w:tcPr>
            <w:tcW w:w="2880" w:type="dxa"/>
          </w:tcPr>
          <w:p w14:paraId="75F88FFA" w14:textId="77777777" w:rsidR="00630DC4" w:rsidRDefault="00000000">
            <w:r>
              <w:t>268.07</w:t>
            </w:r>
          </w:p>
        </w:tc>
      </w:tr>
    </w:tbl>
    <w:p w14:paraId="4BCE251A" w14:textId="77777777" w:rsidR="00630DC4" w:rsidRDefault="00000000">
      <w:r>
        <w:rPr>
          <w:noProof/>
        </w:rPr>
        <w:drawing>
          <wp:inline distT="0" distB="0" distL="0" distR="0" wp14:anchorId="7362F75B" wp14:editId="36B8404A">
            <wp:extent cx="5486400" cy="24972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3D19" w14:textId="410740FB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 xml:space="preserve">O modelo Sazonal </w:t>
      </w:r>
      <w:proofErr w:type="spellStart"/>
      <w:r w:rsidRPr="00EC32AD">
        <w:rPr>
          <w:lang w:val="pt-BR"/>
        </w:rPr>
        <w:t>Naive</w:t>
      </w:r>
      <w:proofErr w:type="spellEnd"/>
      <w:r w:rsidRPr="00EC32AD">
        <w:rPr>
          <w:lang w:val="pt-BR"/>
        </w:rPr>
        <w:t xml:space="preserve"> apresenta um erro menor (327,38), pois respeita a periodicidade, mas falha em se ajustar a pequenas tendências locais. A implementação do SARIMA Estático conseguiu modelar estatisticamente o comportamento, mas foi a abordagem de Rolling Forecast do </w:t>
      </w:r>
      <w:r w:rsidR="00D31673">
        <w:rPr>
          <w:lang w:val="pt-BR"/>
        </w:rPr>
        <w:t>SARIMA</w:t>
      </w:r>
      <w:r w:rsidRPr="00EC32AD">
        <w:rPr>
          <w:lang w:val="pt-BR"/>
        </w:rPr>
        <w:t xml:space="preserve"> (que será </w:t>
      </w:r>
      <w:r w:rsidRPr="00EC32AD">
        <w:rPr>
          <w:lang w:val="pt-BR"/>
        </w:rPr>
        <w:lastRenderedPageBreak/>
        <w:t>detalhada a seguir) que derrubou o erro absoluto para 268,07 veículos/dia, consagrando-se como a abordagem superior e evidenciando a utilidade da inteligência de dados.</w:t>
      </w:r>
    </w:p>
    <w:p w14:paraId="3F9EBC14" w14:textId="645814C0" w:rsidR="00630DC4" w:rsidRPr="00EC32AD" w:rsidRDefault="00000000" w:rsidP="00D31673">
      <w:pPr>
        <w:pStyle w:val="Ttulo2"/>
        <w:rPr>
          <w:lang w:val="pt-BR"/>
        </w:rPr>
      </w:pPr>
      <w:bookmarkStart w:id="8" w:name="_Toc230464596"/>
      <w:r w:rsidRPr="00EC32AD">
        <w:rPr>
          <w:lang w:val="pt-BR"/>
        </w:rPr>
        <w:t>Rolling Forecast</w:t>
      </w:r>
      <w:bookmarkEnd w:id="8"/>
    </w:p>
    <w:p w14:paraId="47A2167E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>Para avaliar a aplicação do modelo em um contexto operacional diário e realista, implementou-se a estratégia de previsão por janela móvel (Rolling Forecast) ao longo dos 438 dias do conjunto de teste. Ao contrário de previsões estáticas de longo prazo comuns no planejamento orçamentário e financeiro, o planejamento logístico rodoviário exige um comportamento preditivo reativo.</w:t>
      </w:r>
    </w:p>
    <w:p w14:paraId="3045C7B3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>Na arquitetura de Rolling Forecast estabelecida, o modelo preditivo comporta-se de forma dinâmica: a cada término de dia útil, o volume real de tráfego observado na rodovia é incorporado ao histórico de treinamento do modelo. Os parâmetros autorregressivos do polinômio ajustam-se de forma contínua, permitindo que a previsão do tráfego do dia seguinte seja calculada sob a perspectiva das informações operacionais mais recentes.</w:t>
      </w:r>
    </w:p>
    <w:p w14:paraId="000AF566" w14:textId="77777777" w:rsidR="00630DC4" w:rsidRDefault="00000000">
      <w:r>
        <w:rPr>
          <w:noProof/>
        </w:rPr>
        <w:drawing>
          <wp:inline distT="0" distB="0" distL="0" distR="0" wp14:anchorId="558735D1" wp14:editId="3F287216">
            <wp:extent cx="5486400" cy="24972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l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F597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>Esta metodologia reduziu de forma marcante o erro de previsão absoluta do tráfego rodoviário. O MAE despencou no contexto do Rolling Forecast (268,07), comprovando que modelos preditivos estáticos perdem valor rapidamente. Para que as previsões apoiem decisões com eficiência, o modelo deve rodar sob rotinas de retroalimentação contínua.</w:t>
      </w:r>
    </w:p>
    <w:p w14:paraId="04FE69CB" w14:textId="5D202344" w:rsidR="00630DC4" w:rsidRPr="00EC32AD" w:rsidRDefault="00000000" w:rsidP="00D31673">
      <w:pPr>
        <w:pStyle w:val="Ttulo2"/>
        <w:rPr>
          <w:lang w:val="pt-BR"/>
        </w:rPr>
      </w:pPr>
      <w:bookmarkStart w:id="9" w:name="_Toc230464597"/>
      <w:r w:rsidRPr="00EC32AD">
        <w:rPr>
          <w:lang w:val="pt-BR"/>
        </w:rPr>
        <w:t>Análise de Diagnóstico dos Resíduos</w:t>
      </w:r>
      <w:bookmarkEnd w:id="9"/>
    </w:p>
    <w:p w14:paraId="2F2D39E2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 xml:space="preserve">A validação final do modelo exigiu a realização de uma análise diagnóstica minuciosa sobre a série de resíduos obtida após o ajuste. O diagnóstico visual mostrou que a distribuição dos erros de previsão é predominantemente </w:t>
      </w:r>
      <w:r w:rsidRPr="00EC32AD">
        <w:rPr>
          <w:lang w:val="pt-BR"/>
        </w:rPr>
        <w:lastRenderedPageBreak/>
        <w:t xml:space="preserve">simétrica, apresentando média zero e variância </w:t>
      </w:r>
      <w:proofErr w:type="spellStart"/>
      <w:r w:rsidRPr="00EC32AD">
        <w:rPr>
          <w:lang w:val="pt-BR"/>
        </w:rPr>
        <w:t>homocedástica</w:t>
      </w:r>
      <w:proofErr w:type="spellEnd"/>
      <w:r w:rsidRPr="00EC32AD">
        <w:rPr>
          <w:lang w:val="pt-BR"/>
        </w:rPr>
        <w:t xml:space="preserve"> na maior parte do tempo, o que atesta a estabilidade do modelo linear.</w:t>
      </w:r>
    </w:p>
    <w:p w14:paraId="75126239" w14:textId="77777777" w:rsidR="00630DC4" w:rsidRDefault="00000000">
      <w:r>
        <w:rPr>
          <w:noProof/>
        </w:rPr>
        <w:drawing>
          <wp:inline distT="0" distB="0" distL="0" distR="0" wp14:anchorId="0DAD83B2" wp14:editId="54A20500">
            <wp:extent cx="5486400" cy="16574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du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1DB7" w14:textId="77777777" w:rsidR="00630DC4" w:rsidRPr="00EC32AD" w:rsidRDefault="00000000">
      <w:pPr>
        <w:jc w:val="both"/>
        <w:rPr>
          <w:lang w:val="pt-BR"/>
        </w:rPr>
      </w:pPr>
      <w:r>
        <w:t>A aplicação do Teste de Ljung-Box sobre os resíduos para avaliar a presença de autocorrelação serial restante resultou em um p-value de 0,96 (para o Lag 20), estritamente superior ao limite de 0,05, falhando em rejeitar a hipótese nula de independência de erros e indicando que os resíduos formam, estatisticamente, um ruído branco válido. Sob a ótica pura dos dados, esse resultado revela que a estrutura do SARIMA obteve excelência matemática, capturando virtualmente toda a informação temporal linear endógena disponível.</w:t>
      </w:r>
    </w:p>
    <w:p w14:paraId="3F33DCCF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 xml:space="preserve">Apesar de o modelo atingir essa eficiência, do ponto de vista prático de tomada de decisão, o trânsito de veículos é afetado por fatores exógenos não lineares de grande volatilidade, como colisões e fechamento de pistas, que escapam do componente </w:t>
      </w:r>
      <w:proofErr w:type="spellStart"/>
      <w:r w:rsidRPr="00EC32AD">
        <w:rPr>
          <w:lang w:val="pt-BR"/>
        </w:rPr>
        <w:t>univariado</w:t>
      </w:r>
      <w:proofErr w:type="spellEnd"/>
      <w:r w:rsidRPr="00EC32AD">
        <w:rPr>
          <w:lang w:val="pt-BR"/>
        </w:rPr>
        <w:t xml:space="preserve"> do modelo.</w:t>
      </w:r>
    </w:p>
    <w:p w14:paraId="43AAB72F" w14:textId="0C50D421" w:rsidR="00630DC4" w:rsidRPr="00EC32AD" w:rsidRDefault="00000000">
      <w:pPr>
        <w:pStyle w:val="Ttulo1"/>
        <w:rPr>
          <w:lang w:val="pt-BR"/>
        </w:rPr>
      </w:pPr>
      <w:bookmarkStart w:id="10" w:name="_Toc230464598"/>
      <w:r w:rsidRPr="00EC32AD">
        <w:rPr>
          <w:rFonts w:ascii="Arial" w:hAnsi="Arial"/>
          <w:lang w:val="pt-BR"/>
        </w:rPr>
        <w:t>Conclusão Gerencial e Recomendações</w:t>
      </w:r>
      <w:bookmarkEnd w:id="10"/>
    </w:p>
    <w:p w14:paraId="07425294" w14:textId="246B426E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 xml:space="preserve">A modelagem preditiva avançada aplicada ao fluxo diário de tráfego na rodovia interestadual I-94 permitiu traçar diagnósticos e decisões cruciais para a concessionária rodoviária e para o planejamento de trânsito regional. O modelo </w:t>
      </w:r>
      <w:r w:rsidR="00D31673">
        <w:rPr>
          <w:lang w:val="pt-BR"/>
        </w:rPr>
        <w:t>SARIMA</w:t>
      </w:r>
      <w:r w:rsidRPr="00EC32AD">
        <w:rPr>
          <w:lang w:val="pt-BR"/>
        </w:rPr>
        <w:t xml:space="preserve"> otimizado via Grid Search associado à rotina de Rolling Forecast demonstrou superioridade incontestável.</w:t>
      </w:r>
    </w:p>
    <w:p w14:paraId="1666BCB4" w14:textId="77777777" w:rsidR="00630DC4" w:rsidRPr="00EC32AD" w:rsidRDefault="00000000">
      <w:pPr>
        <w:jc w:val="both"/>
        <w:rPr>
          <w:lang w:val="pt-BR"/>
        </w:rPr>
      </w:pPr>
      <w:r w:rsidRPr="00EC32AD">
        <w:rPr>
          <w:lang w:val="pt-BR"/>
        </w:rPr>
        <w:t>Recomendações estratégicas para implantação:</w:t>
      </w:r>
    </w:p>
    <w:p w14:paraId="7E61FD0F" w14:textId="41E036B3" w:rsidR="00630DC4" w:rsidRPr="00D31673" w:rsidRDefault="00000000" w:rsidP="00D31673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D31673">
        <w:rPr>
          <w:lang w:val="pt-BR"/>
        </w:rPr>
        <w:t>Migração do modelo preditivo para um microsserviço em nuvem conectado em tempo real aos sensores da estação ATR 301, executando a janela móvel (Rolling Forecast) diariamente para manter a estimativa ajustada com margem de erro reduzida.</w:t>
      </w:r>
    </w:p>
    <w:p w14:paraId="10362715" w14:textId="370104A3" w:rsidR="00630DC4" w:rsidRPr="00D31673" w:rsidRDefault="00000000" w:rsidP="00D31673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D31673">
        <w:rPr>
          <w:lang w:val="pt-BR"/>
        </w:rPr>
        <w:t>Uso dessas previsões para decisões preditivas de fechamento de faixas e obras asfálticas, focando em janelas de tempo com fluxo projetado abaixo da capacidade, evitando congestionamentos e multas contratuais.</w:t>
      </w:r>
    </w:p>
    <w:p w14:paraId="08860336" w14:textId="3D1BA999" w:rsidR="00630DC4" w:rsidRPr="00D31673" w:rsidRDefault="00000000" w:rsidP="00D31673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D31673">
        <w:rPr>
          <w:lang w:val="pt-BR"/>
        </w:rPr>
        <w:lastRenderedPageBreak/>
        <w:t>Dimensionamento preventivo de frotas emergenciais (ambulâncias e reboques) com base no fluxo projetado para cada dia.</w:t>
      </w:r>
    </w:p>
    <w:p w14:paraId="1835D309" w14:textId="694617E3" w:rsidR="00630DC4" w:rsidRPr="00D31673" w:rsidRDefault="00000000" w:rsidP="00D31673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D31673">
        <w:rPr>
          <w:lang w:val="pt-BR"/>
        </w:rPr>
        <w:t>Evolução futura do modelo para incorporar os chamados dados Exógenos (X), cruzando o calendário de chuvas e tempestades de neve de Minnesota ao modelo, absorvendo anomalias que o simples padrão do dia da semana não consegue explicar isoladamente.</w:t>
      </w:r>
    </w:p>
    <w:sectPr w:rsidR="00630DC4" w:rsidRPr="00D316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66301E"/>
    <w:multiLevelType w:val="hybridMultilevel"/>
    <w:tmpl w:val="0BB437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630078">
    <w:abstractNumId w:val="8"/>
  </w:num>
  <w:num w:numId="2" w16cid:durableId="2087418185">
    <w:abstractNumId w:val="6"/>
  </w:num>
  <w:num w:numId="3" w16cid:durableId="70397518">
    <w:abstractNumId w:val="5"/>
  </w:num>
  <w:num w:numId="4" w16cid:durableId="1537085958">
    <w:abstractNumId w:val="4"/>
  </w:num>
  <w:num w:numId="5" w16cid:durableId="2088261957">
    <w:abstractNumId w:val="7"/>
  </w:num>
  <w:num w:numId="6" w16cid:durableId="1080441712">
    <w:abstractNumId w:val="3"/>
  </w:num>
  <w:num w:numId="7" w16cid:durableId="754522376">
    <w:abstractNumId w:val="2"/>
  </w:num>
  <w:num w:numId="8" w16cid:durableId="1060515404">
    <w:abstractNumId w:val="1"/>
  </w:num>
  <w:num w:numId="9" w16cid:durableId="1436830357">
    <w:abstractNumId w:val="0"/>
  </w:num>
  <w:num w:numId="10" w16cid:durableId="16959591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E73"/>
    <w:rsid w:val="002463E2"/>
    <w:rsid w:val="0029639D"/>
    <w:rsid w:val="00326F90"/>
    <w:rsid w:val="00402D98"/>
    <w:rsid w:val="00630DC4"/>
    <w:rsid w:val="00AA1D8D"/>
    <w:rsid w:val="00B47730"/>
    <w:rsid w:val="00CB0664"/>
    <w:rsid w:val="00D31673"/>
    <w:rsid w:val="00EC32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1532891-4659-4B8B-94D6-F42E35F4F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402D9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02D98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402D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2391</Words>
  <Characters>12917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 Correia Martins</cp:lastModifiedBy>
  <cp:revision>5</cp:revision>
  <dcterms:created xsi:type="dcterms:W3CDTF">2013-12-23T23:15:00Z</dcterms:created>
  <dcterms:modified xsi:type="dcterms:W3CDTF">2026-05-24T00:36:00Z</dcterms:modified>
  <cp:category/>
</cp:coreProperties>
</file>