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EEA99" w14:textId="77777777" w:rsidR="00962442" w:rsidRDefault="00962442" w:rsidP="00962442">
      <w:pPr>
        <w:pStyle w:val="Ttulo1"/>
        <w:shd w:val="clear" w:color="auto" w:fill="FFFFFF"/>
        <w:spacing w:before="0" w:beforeAutospacing="0" w:after="0" w:afterAutospacing="0" w:line="432" w:lineRule="atLeast"/>
        <w:rPr>
          <w:rFonts w:ascii="Montserrat" w:hAnsi="Montserrat"/>
          <w:color w:val="121212"/>
          <w:sz w:val="52"/>
          <w:szCs w:val="52"/>
        </w:rPr>
      </w:pPr>
      <w:r>
        <w:rPr>
          <w:rFonts w:ascii="Montserrat" w:hAnsi="Montserrat"/>
          <w:color w:val="121212"/>
          <w:sz w:val="52"/>
          <w:szCs w:val="52"/>
        </w:rPr>
        <w:t>Histologia e Embriologia</w:t>
      </w:r>
    </w:p>
    <w:p w14:paraId="4B04B281" w14:textId="3F3A1A0C" w:rsidR="00962442" w:rsidRDefault="00962442" w:rsidP="00962442">
      <w:pPr>
        <w:shd w:val="clear" w:color="auto" w:fill="FFFFFF"/>
        <w:spacing w:before="330" w:after="330" w:line="240" w:lineRule="auto"/>
        <w:outlineLvl w:val="0"/>
        <w:rPr>
          <w:rFonts w:ascii="Times New Roman" w:eastAsia="Times New Roman" w:hAnsi="Times New Roman" w:cs="Times New Roman"/>
          <w:b/>
          <w:bCs/>
          <w:caps/>
          <w:spacing w:val="5"/>
          <w:kern w:val="36"/>
          <w:sz w:val="48"/>
          <w:szCs w:val="48"/>
          <w:lang w:eastAsia="pt-BR"/>
        </w:rPr>
      </w:pPr>
      <w:r>
        <w:rPr>
          <w:rFonts w:ascii="Times New Roman" w:eastAsia="Times New Roman" w:hAnsi="Times New Roman" w:cs="Times New Roman"/>
          <w:b/>
          <w:bCs/>
          <w:caps/>
          <w:spacing w:val="5"/>
          <w:kern w:val="36"/>
          <w:sz w:val="48"/>
          <w:szCs w:val="48"/>
          <w:lang w:eastAsia="pt-BR"/>
        </w:rPr>
        <w:t>Tema 1 -  Introdução ao Estudo da Morfologia e Embriologia</w:t>
      </w:r>
    </w:p>
    <w:p w14:paraId="6B2A76A8" w14:textId="5F9DFD21" w:rsidR="007725CA" w:rsidRPr="007725CA" w:rsidRDefault="007725CA" w:rsidP="007725CA">
      <w:pPr>
        <w:spacing w:before="330" w:after="330" w:line="240" w:lineRule="auto"/>
        <w:outlineLvl w:val="0"/>
        <w:rPr>
          <w:rFonts w:ascii="Times New Roman" w:eastAsia="Times New Roman" w:hAnsi="Times New Roman" w:cs="Times New Roman"/>
          <w:b/>
          <w:bCs/>
          <w:caps/>
          <w:spacing w:val="5"/>
          <w:kern w:val="36"/>
          <w:sz w:val="48"/>
          <w:szCs w:val="48"/>
          <w:lang w:eastAsia="pt-BR"/>
        </w:rPr>
      </w:pPr>
      <w:r w:rsidRPr="007725CA">
        <w:rPr>
          <w:rFonts w:ascii="Times New Roman" w:eastAsia="Times New Roman" w:hAnsi="Times New Roman" w:cs="Times New Roman"/>
          <w:b/>
          <w:bCs/>
          <w:caps/>
          <w:spacing w:val="5"/>
          <w:kern w:val="36"/>
          <w:sz w:val="48"/>
          <w:szCs w:val="48"/>
          <w:lang w:eastAsia="pt-BR"/>
        </w:rPr>
        <w:t>MÓDULO 2</w:t>
      </w:r>
    </w:p>
    <w:p w14:paraId="5716EF0F" w14:textId="77777777" w:rsidR="007725CA" w:rsidRPr="007725CA" w:rsidRDefault="00962442" w:rsidP="00772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7D7BF4E8">
          <v:rect id="_x0000_i1025" style="width:0;height:0" o:hralign="center" o:hrstd="t" o:hr="t" fillcolor="#a0a0a0" stroked="f"/>
        </w:pict>
      </w:r>
    </w:p>
    <w:p w14:paraId="25DDFF2C" w14:textId="77777777" w:rsidR="007725CA" w:rsidRPr="007725CA" w:rsidRDefault="007725CA" w:rsidP="007725CA">
      <w:pPr>
        <w:spacing w:after="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Descrever brevemente os aspectos morfológicos e funcionais do sistema reprodutor humano</w:t>
      </w:r>
    </w:p>
    <w:p w14:paraId="509303F7" w14:textId="77777777" w:rsidR="007725CA" w:rsidRPr="007725CA" w:rsidRDefault="007725CA" w:rsidP="007725CA">
      <w:pPr>
        <w:spacing w:before="330" w:after="330" w:line="264" w:lineRule="atLeast"/>
        <w:outlineLvl w:val="0"/>
        <w:rPr>
          <w:rFonts w:ascii="Times New Roman" w:eastAsia="Times New Roman" w:hAnsi="Times New Roman" w:cs="Times New Roman"/>
          <w:b/>
          <w:bCs/>
          <w:caps/>
          <w:color w:val="444444"/>
          <w:spacing w:val="5"/>
          <w:kern w:val="36"/>
          <w:sz w:val="48"/>
          <w:szCs w:val="48"/>
          <w:lang w:eastAsia="pt-BR"/>
        </w:rPr>
      </w:pPr>
      <w:r w:rsidRPr="007725CA">
        <w:rPr>
          <w:rFonts w:ascii="Times New Roman" w:eastAsia="Times New Roman" w:hAnsi="Times New Roman" w:cs="Times New Roman"/>
          <w:b/>
          <w:bCs/>
          <w:caps/>
          <w:color w:val="444444"/>
          <w:spacing w:val="5"/>
          <w:kern w:val="36"/>
          <w:sz w:val="48"/>
          <w:szCs w:val="48"/>
          <w:lang w:eastAsia="pt-BR"/>
        </w:rPr>
        <w:t>O APARELHO REPRODUTOR MASCULINO</w:t>
      </w:r>
    </w:p>
    <w:p w14:paraId="330BF16C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O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aparelho reprodutor masculino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é composto pelos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testículos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os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ductos genitais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as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glândulas acessórias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e o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pênis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. A principal função desse conjunto de órgãos, como um sistema funcional, é a síntese de hormônios importantes para a fisiologia do homem, principalmente a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testosterona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responsável pela maturação dos espermatozoides e para o desenvolvimento tanto embrionário como fetal. Temos ainda como hormônio funcional um metabólito da testosterona, a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di-hidrotestosterona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que age em diferentes tecidos e órgãos controlando características sexuais secundárias, como o crescimento muscular e o surgimento de pelos e o próprio desejo sexual. Associado a esse sistema, temos a produção do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sêmen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um líquido composto por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espermatozoides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e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secreções das glândulas acessórias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. A seguir, observamos uma visão geral da anatomia do aparelho reprodutor masculino.</w:t>
      </w:r>
    </w:p>
    <w:p w14:paraId="6C399C24" w14:textId="20898441" w:rsidR="007725CA" w:rsidRPr="007725CA" w:rsidRDefault="007725CA" w:rsidP="007725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25C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76F5B60" wp14:editId="38A8030B">
            <wp:extent cx="5400040" cy="26898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5CA">
        <w:rPr>
          <w:rFonts w:ascii="Times New Roman" w:eastAsia="Times New Roman" w:hAnsi="Times New Roman" w:cs="Times New Roman"/>
          <w:sz w:val="24"/>
          <w:szCs w:val="24"/>
          <w:lang w:eastAsia="pt-BR"/>
        </w:rPr>
        <w:t>Anatomia geral do aparelho reprodutor masculino.</w:t>
      </w:r>
    </w:p>
    <w:p w14:paraId="7927FE18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Os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testículos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se desenvolvem durante o período embrionário na parede dorsal da cavidade abdominal. Durante o desenvolvimento, eles migram e se alojam dentro da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bolsa escrotal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 xml:space="preserve">, que é responsável por mantê-los com temperaturas 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lastRenderedPageBreak/>
        <w:t>mais baixas (1,5 a 2 graus) do que a cavidade abdominal e, assim, da temperatura corporal, o que permite uma temperatura adequada para a produção dos espermatozoides. Os testículos são essenciais na produção de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espermatozoides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e de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hormônios sexuais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masculinos.</w:t>
      </w:r>
    </w:p>
    <w:p w14:paraId="0E4BEA04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Apresentamos um pouco mais da estrutura interna dos testículos humanos a seguir:</w:t>
      </w:r>
    </w:p>
    <w:p w14:paraId="115D4258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Para realizar o transporte do sêmen dos testículos para o meato do pênis, existem os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ductos genitais extra testiculares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: epidídimo, ducto deferente e a uretra. O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epidídimo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é um duto altamente enrolado e dividido em cabeça, corpo e cauda, despenhando um papel essencial na formação dos espermatozoides, uma vez que participam da absorção e digestão de corpos residuais para auxiliar na produção da forma final adequada para os espermatozoides.</w:t>
      </w:r>
    </w:p>
    <w:p w14:paraId="41C6E7DC" w14:textId="0C7C710A" w:rsidR="007725CA" w:rsidRPr="007725CA" w:rsidRDefault="007725CA" w:rsidP="007725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25C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611255A" wp14:editId="7F878168">
            <wp:extent cx="5400040" cy="4160520"/>
            <wp:effectExtent l="0" t="0" r="0" b="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5CA">
        <w:rPr>
          <w:rFonts w:ascii="Times New Roman" w:eastAsia="Times New Roman" w:hAnsi="Times New Roman" w:cs="Times New Roman"/>
          <w:sz w:val="24"/>
          <w:szCs w:val="24"/>
          <w:lang w:eastAsia="pt-BR"/>
        </w:rPr>
        <w:t>Estrutura interna do testículo.</w:t>
      </w:r>
    </w:p>
    <w:p w14:paraId="06B9BE1D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O trato reprodutivo masculino conta ainda com três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glândulas acessórias: vesículas seminais, próstata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e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glândulas bulbouretrais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.</w:t>
      </w:r>
    </w:p>
    <w:p w14:paraId="1EBF1430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De forma geral, essas glândulas produzem uma série de secreções essenciais para a composição do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sêmen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composto destas substâncias e dos espermatozoides produzidos nos testículos.</w:t>
      </w:r>
    </w:p>
    <w:p w14:paraId="23762B03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Esse conjunto de secreções possuem uma série de componentes importantes para a manutenção da viabilidade das células germinativas masculinas, tais como frutose e substâncias lubrificantes.</w:t>
      </w:r>
    </w:p>
    <w:p w14:paraId="075CE710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lastRenderedPageBreak/>
        <w:t>Após a formação do sêmen a partir de componentes vindos de diversos órgãos associados ao aparelho reprodutor masculino, finalmente este chega ao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pênis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por meio da uretra, por onde será liberado durante a ejaculação.</w:t>
      </w:r>
    </w:p>
    <w:p w14:paraId="1219038B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Esse órgão é composto por três corpos cilíndricos de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tecido erétil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dois localizados na parte dorsal do pênis, denominados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corpos cavernosos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e um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corpo esponjoso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que envolve a uretra. A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ereção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é um processo hemodinâmico (hemo = sangue + dinâmico = movimento) controlado por impulsos nervosos sobre os músculos lisos e artérias do pênis, que ocorre nos corpos cavernoso e na uretra, que são altamente vascularizados. Podemos observar a seguir a comparação do pênis erétil e flácido.</w:t>
      </w:r>
    </w:p>
    <w:p w14:paraId="64A99DD9" w14:textId="6AF66F05" w:rsidR="007725CA" w:rsidRPr="007725CA" w:rsidRDefault="007725CA" w:rsidP="007725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25C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AD2BF5D" wp14:editId="05676766">
            <wp:extent cx="5400040" cy="44989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9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5CA">
        <w:rPr>
          <w:rFonts w:ascii="Times New Roman" w:eastAsia="Times New Roman" w:hAnsi="Times New Roman" w:cs="Times New Roman"/>
          <w:sz w:val="24"/>
          <w:szCs w:val="24"/>
          <w:lang w:eastAsia="pt-BR"/>
        </w:rPr>
        <w:t>Esquema mostrando a anatomia do pênis flácido e erétil.</w:t>
      </w:r>
    </w:p>
    <w:p w14:paraId="5A196A11" w14:textId="77777777" w:rsidR="007725CA" w:rsidRPr="007725CA" w:rsidRDefault="007725CA" w:rsidP="007725CA">
      <w:pPr>
        <w:spacing w:before="330" w:after="330" w:line="264" w:lineRule="atLeast"/>
        <w:outlineLvl w:val="0"/>
        <w:rPr>
          <w:rFonts w:ascii="Times New Roman" w:eastAsia="Times New Roman" w:hAnsi="Times New Roman" w:cs="Times New Roman"/>
          <w:b/>
          <w:bCs/>
          <w:caps/>
          <w:color w:val="444444"/>
          <w:spacing w:val="5"/>
          <w:kern w:val="36"/>
          <w:sz w:val="48"/>
          <w:szCs w:val="48"/>
          <w:lang w:eastAsia="pt-BR"/>
        </w:rPr>
      </w:pPr>
      <w:r w:rsidRPr="007725CA">
        <w:rPr>
          <w:rFonts w:ascii="Times New Roman" w:eastAsia="Times New Roman" w:hAnsi="Times New Roman" w:cs="Times New Roman"/>
          <w:b/>
          <w:bCs/>
          <w:caps/>
          <w:color w:val="444444"/>
          <w:spacing w:val="5"/>
          <w:kern w:val="36"/>
          <w:sz w:val="48"/>
          <w:szCs w:val="48"/>
          <w:lang w:eastAsia="pt-BR"/>
        </w:rPr>
        <w:t>O APARELHO REPRODUTOR FEMININO</w:t>
      </w:r>
    </w:p>
    <w:p w14:paraId="1C06FF05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O aparelho reprodutor feminino é composto por dois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ovários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duas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tubas uterinas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o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útero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a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vagina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e a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genitália externa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.</w:t>
      </w:r>
    </w:p>
    <w:p w14:paraId="53722B6C" w14:textId="6F10E65E" w:rsidR="007725CA" w:rsidRPr="007725CA" w:rsidRDefault="007725CA" w:rsidP="007725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25C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204528B" wp14:editId="7732B32E">
            <wp:extent cx="5400040" cy="3621405"/>
            <wp:effectExtent l="0" t="0" r="0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5CA">
        <w:rPr>
          <w:rFonts w:ascii="Times New Roman" w:eastAsia="Times New Roman" w:hAnsi="Times New Roman" w:cs="Times New Roman"/>
          <w:sz w:val="24"/>
          <w:szCs w:val="24"/>
          <w:lang w:eastAsia="pt-BR"/>
        </w:rPr>
        <w:t>Esquema anatômico dos órgãos do aparelho reprodutor feminino.</w:t>
      </w:r>
    </w:p>
    <w:p w14:paraId="5DF8A872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As principais funções do aparelho reprodutor feminino são: a produção dos gametas femininos (ovócitos), manter o desenvolvimento do ovócito fertilizado até seu nascimento e produzir hormônios sexuais. Os ciclos femininos ocorrem entre dois marcos na produção hormonal, a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menarca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que corresponde à primeira menstruação e dá início ao controle neuro-hormonal dos ciclos de fertilidade com crescimento dos folículos ovarianos e a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menopausa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onde modificações hormonais ficam irregulares e cessam.</w:t>
      </w:r>
    </w:p>
    <w:p w14:paraId="276311EE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Os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ovários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são órgãos em forma de amêndoas com a superfície coberta por um tecido denominado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epitélio germinativo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. Logo abaixo do epitélio germinativo, temos uma camada de tecido conjuntivo denso que é responsável pela cor esbranquiçada do órgão, a túnica albugínea. Mais internamente, temos a região onde predominam os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folículos ovarianos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que contêm os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ovócitos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a região cortical, e que, quando maduros, são liberados no processo de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ovulação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. A região mais interna do ovário é a medula, composta de tecido conjuntivo frouxo altamente vascularizado. A seguir, podemos ver uma representação anatômica do ovário.</w:t>
      </w:r>
    </w:p>
    <w:p w14:paraId="1EB39C3F" w14:textId="1B252260" w:rsidR="007725CA" w:rsidRPr="007725CA" w:rsidRDefault="007725CA" w:rsidP="007725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25C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ADF466E" wp14:editId="41C419F8">
            <wp:extent cx="5400040" cy="3034030"/>
            <wp:effectExtent l="0" t="0" r="0" b="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5CA">
        <w:rPr>
          <w:rFonts w:ascii="Times New Roman" w:eastAsia="Times New Roman" w:hAnsi="Times New Roman" w:cs="Times New Roman"/>
          <w:sz w:val="24"/>
          <w:szCs w:val="24"/>
          <w:lang w:eastAsia="pt-BR"/>
        </w:rPr>
        <w:t>Esquema anatômico do ovário humano.</w:t>
      </w:r>
    </w:p>
    <w:p w14:paraId="6B7DECFC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Durante a ovulação, as tubas uterinas se movimentam ativamente e sua extremidade se afunila para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captar o ovócito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que será liberado. Normalmente, a fertilização também ocorre nesta região. As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tubas uterinas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são um par de tubos musculares flexíveis que possuem duas extremidades, uma que se abre na cavidade peritoneal, o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infundíbulo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próxima ao ovário e cujos prolongamentos têm forma de franjas (fímbrias), e outra que se conecta à parte interna do útero, atravessando a sua parede, a região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intramural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.</w:t>
      </w:r>
    </w:p>
    <w:p w14:paraId="58F9600E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A seguir, conseguimos observar as fímbrias em formatos de franjas.</w:t>
      </w:r>
    </w:p>
    <w:p w14:paraId="71E6D120" w14:textId="5022BF5D" w:rsidR="007725CA" w:rsidRPr="007725CA" w:rsidRDefault="007725CA" w:rsidP="007725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25C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29DE30C" wp14:editId="5BE73680">
            <wp:extent cx="5400040" cy="2575560"/>
            <wp:effectExtent l="0" t="0" r="0" b="0"/>
            <wp:docPr id="9" name="Imagem 9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5CA">
        <w:rPr>
          <w:rFonts w:ascii="Times New Roman" w:eastAsia="Times New Roman" w:hAnsi="Times New Roman" w:cs="Times New Roman"/>
          <w:sz w:val="24"/>
          <w:szCs w:val="24"/>
          <w:lang w:eastAsia="pt-BR"/>
        </w:rPr>
        <w:t>Esquema 3D mostrando as fímbrias.</w:t>
      </w:r>
    </w:p>
    <w:p w14:paraId="3EF1A2E0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A parede das tubas uterinas é composta por três regiões: uma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mucosa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uma de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músculo liso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e uma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serosa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. A região serosa é composta por dois tipos celulares, um secretor de muco e um ciliado, os cílios batem e movimentam a camada mucosa em direção ao útero.</w:t>
      </w:r>
    </w:p>
    <w:p w14:paraId="570234BB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O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útero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é um órgão em forma de pera, dividido em uma região superior dilatada, o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fundo do útero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e uma porção estreita que se abre na vagina,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 xml:space="preserve">o colo 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lastRenderedPageBreak/>
        <w:t>uterino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ou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cérvice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. A parede do útero é composta de camada espessa de músculo liso, denominada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miométrio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e da mucosa uterina, o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endométrio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e da região mais externa do útero, denominada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perimétrico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.</w:t>
      </w:r>
    </w:p>
    <w:p w14:paraId="0AADBD1C" w14:textId="5F64180A" w:rsidR="007725CA" w:rsidRPr="007725CA" w:rsidRDefault="007725CA" w:rsidP="007725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25C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E1C224B" wp14:editId="5F446F06">
            <wp:extent cx="5186680" cy="302704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5CA">
        <w:rPr>
          <w:rFonts w:ascii="Times New Roman" w:eastAsia="Times New Roman" w:hAnsi="Times New Roman" w:cs="Times New Roman"/>
          <w:sz w:val="24"/>
          <w:szCs w:val="24"/>
          <w:lang w:eastAsia="pt-BR"/>
        </w:rPr>
        <w:t>Corte histológico mostrando as camadas do útero.</w:t>
      </w:r>
    </w:p>
    <w:p w14:paraId="463C801D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Durante a gravidez, o miométrio sofre </w:t>
      </w:r>
      <w:hyperlink r:id="rId11" w:history="1">
        <w:r w:rsidRPr="007725CA">
          <w:rPr>
            <w:rFonts w:ascii="Arial" w:eastAsia="Times New Roman" w:hAnsi="Arial" w:cs="Arial"/>
            <w:b/>
            <w:bCs/>
            <w:color w:val="0000FF"/>
            <w:sz w:val="29"/>
            <w:szCs w:val="29"/>
            <w:u w:val="single"/>
            <w:lang w:eastAsia="pt-BR"/>
          </w:rPr>
          <w:t>hiperplasia</w:t>
        </w:r>
      </w:hyperlink>
      <w:r w:rsidRPr="007725CA">
        <w:rPr>
          <w:rFonts w:ascii="Arial" w:eastAsia="Times New Roman" w:hAnsi="Arial" w:cs="Arial"/>
          <w:sz w:val="29"/>
          <w:szCs w:val="29"/>
          <w:lang w:eastAsia="pt-BR"/>
        </w:rPr>
        <w:t> e </w:t>
      </w:r>
      <w:hyperlink r:id="rId12" w:history="1">
        <w:r w:rsidRPr="007725CA">
          <w:rPr>
            <w:rFonts w:ascii="Arial" w:eastAsia="Times New Roman" w:hAnsi="Arial" w:cs="Arial"/>
            <w:b/>
            <w:bCs/>
            <w:color w:val="0000FF"/>
            <w:sz w:val="29"/>
            <w:szCs w:val="29"/>
            <w:u w:val="single"/>
            <w:lang w:eastAsia="pt-BR"/>
          </w:rPr>
          <w:t>hipertrofia</w:t>
        </w:r>
      </w:hyperlink>
      <w:r w:rsidRPr="007725CA">
        <w:rPr>
          <w:rFonts w:ascii="Arial" w:eastAsia="Times New Roman" w:hAnsi="Arial" w:cs="Arial"/>
          <w:sz w:val="29"/>
          <w:szCs w:val="29"/>
          <w:lang w:eastAsia="pt-BR"/>
        </w:rPr>
        <w:t>, passando a secretar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colágeno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. Após o fim da gestação, a produção do colágeno cessa e ocorre degeneração de algumas das células musculares. Já o endométrio, consiste em um epitélio e uma lâmina própria que contém glândulas tubulares simples que podem se ramificar até o miométrio. Suas células se dividem em secretoras e ciliadas. Seu tecido conjuntivo é rico em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fibroblastos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que secretam ativamente componentes de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matriz extracelular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em especial o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colágeno do tipo III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.</w:t>
      </w:r>
    </w:p>
    <w:p w14:paraId="1A0BA112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A comunicação do útero com a região externa do corpo se dá pela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vagina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cujo muco é originado das glândulas da cérvice uterino. A partir do estímulo dos hormônios estrógenos, o epitélio vaginal produz e acumula glicogênio, que se deposita do lúmen da vagina quando descama. As bactérias da microbiota simbiótica vaginal são capazes de metabolizar esse glicogênio, gerando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ácido lático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que produz o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pH ácido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que tem ação protetora contra microrganismos patogênicos (que causam doenças, patógenos).</w:t>
      </w:r>
    </w:p>
    <w:p w14:paraId="4B2EDC6C" w14:textId="77777777" w:rsidR="007725CA" w:rsidRPr="007725CA" w:rsidRDefault="007725CA" w:rsidP="007725CA">
      <w:pPr>
        <w:spacing w:before="120" w:after="100" w:afterAutospacing="1" w:line="240" w:lineRule="auto"/>
        <w:outlineLvl w:val="2"/>
        <w:rPr>
          <w:rFonts w:ascii="Times New Roman" w:eastAsia="Times New Roman" w:hAnsi="Times New Roman" w:cs="Times New Roman"/>
          <w:sz w:val="36"/>
          <w:szCs w:val="36"/>
          <w:lang w:eastAsia="pt-BR"/>
        </w:rPr>
      </w:pPr>
      <w:r w:rsidRPr="007725CA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Você sabia</w:t>
      </w:r>
    </w:p>
    <w:p w14:paraId="5FCAED81" w14:textId="0CCCD315" w:rsidR="007725CA" w:rsidRPr="007725CA" w:rsidRDefault="007725CA" w:rsidP="007725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25C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85C7667" wp14:editId="2D0AA79C">
            <wp:extent cx="5400040" cy="1676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5CA">
        <w:rPr>
          <w:rFonts w:ascii="Times New Roman" w:eastAsia="Times New Roman" w:hAnsi="Times New Roman" w:cs="Times New Roman"/>
          <w:sz w:val="24"/>
          <w:szCs w:val="24"/>
          <w:lang w:eastAsia="pt-BR"/>
        </w:rPr>
        <w:t>Exame citopatológico com coloração de Papanicolau.</w:t>
      </w:r>
    </w:p>
    <w:p w14:paraId="070658A4" w14:textId="77777777" w:rsidR="007725CA" w:rsidRPr="007725CA" w:rsidRDefault="007725CA" w:rsidP="007725CA">
      <w:pPr>
        <w:spacing w:after="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Os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exames citopatológicos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são largamente utilizados em exames de saúde da mulher, em especial com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citologia vaginal e mamária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. São conhecidos popularmente como “preventivos”, já que podem detectar câncer, condições pré-cancerígenas, tumores benignos e doenças infecciosas. A coloração utilizada na rotina de Citopatologia é a do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Papanicolau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.</w:t>
      </w:r>
    </w:p>
    <w:p w14:paraId="198338D6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A região externa do aparelho reprodutor feminino é conhecida como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vulva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e consiste em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clitóris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pequenos lábios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e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grandes lábios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.</w:t>
      </w:r>
    </w:p>
    <w:p w14:paraId="5A28387E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O clitóris é um órgão que tem origem embrionária e histológica homóloga ao pênis, sendo provido de diversas terminações nervosas sensíveis ao estímulo sexual.</w:t>
      </w:r>
    </w:p>
    <w:p w14:paraId="540C0FF1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Os pequenos lábios são dobras da mucosa vaginal e tem tecido conjuntivo permeado de fibras elásticas.</w:t>
      </w:r>
    </w:p>
    <w:p w14:paraId="6DCC660B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Os grandes lábios são dobras de pele compostos de tecido adiposo e fibras de músculo liso.</w:t>
      </w:r>
    </w:p>
    <w:p w14:paraId="55739780" w14:textId="3A24D86D" w:rsidR="007725CA" w:rsidRPr="007725CA" w:rsidRDefault="007725CA" w:rsidP="007725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25C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E37417C" wp14:editId="7612611F">
            <wp:extent cx="5400040" cy="30676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5CA">
        <w:rPr>
          <w:rFonts w:ascii="Times New Roman" w:eastAsia="Times New Roman" w:hAnsi="Times New Roman" w:cs="Times New Roman"/>
          <w:sz w:val="24"/>
          <w:szCs w:val="24"/>
          <w:lang w:eastAsia="pt-BR"/>
        </w:rPr>
        <w:t>Genitália feminina externa (vulva).</w:t>
      </w:r>
    </w:p>
    <w:p w14:paraId="4E87EBBB" w14:textId="4F16D873" w:rsidR="007725CA" w:rsidRPr="007725CA" w:rsidRDefault="007725CA" w:rsidP="007725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25C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8D7F375" wp14:editId="126BDD56">
            <wp:extent cx="5186680" cy="34683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5CA">
        <w:rPr>
          <w:rFonts w:ascii="Times New Roman" w:eastAsia="Times New Roman" w:hAnsi="Times New Roman" w:cs="Times New Roman"/>
          <w:sz w:val="24"/>
          <w:szCs w:val="24"/>
          <w:lang w:eastAsia="pt-BR"/>
        </w:rPr>
        <w:t>Óvulo e espermatozoides.</w:t>
      </w:r>
    </w:p>
    <w:p w14:paraId="4F6B43CB" w14:textId="77777777" w:rsidR="007725CA" w:rsidRPr="007725CA" w:rsidRDefault="007725CA" w:rsidP="007725CA">
      <w:pPr>
        <w:spacing w:before="330" w:after="330" w:line="264" w:lineRule="atLeast"/>
        <w:outlineLvl w:val="0"/>
        <w:rPr>
          <w:rFonts w:ascii="Times New Roman" w:eastAsia="Times New Roman" w:hAnsi="Times New Roman" w:cs="Times New Roman"/>
          <w:b/>
          <w:bCs/>
          <w:caps/>
          <w:color w:val="444444"/>
          <w:spacing w:val="5"/>
          <w:kern w:val="36"/>
          <w:sz w:val="48"/>
          <w:szCs w:val="48"/>
          <w:lang w:eastAsia="pt-BR"/>
        </w:rPr>
      </w:pPr>
      <w:r w:rsidRPr="007725CA">
        <w:rPr>
          <w:rFonts w:ascii="Times New Roman" w:eastAsia="Times New Roman" w:hAnsi="Times New Roman" w:cs="Times New Roman"/>
          <w:b/>
          <w:bCs/>
          <w:caps/>
          <w:color w:val="444444"/>
          <w:spacing w:val="5"/>
          <w:kern w:val="36"/>
          <w:sz w:val="48"/>
          <w:szCs w:val="48"/>
          <w:lang w:eastAsia="pt-BR"/>
        </w:rPr>
        <w:t>GAMETOGÊNESE E CICLOS REPRODUTIVOS</w:t>
      </w:r>
    </w:p>
    <w:p w14:paraId="61149AEF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Os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gametas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ou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células germinativas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são originados a partir de precursoras, denominadas </w:t>
      </w:r>
      <w:r w:rsidRPr="007725CA">
        <w:rPr>
          <w:rFonts w:ascii="Arial" w:eastAsia="Times New Roman" w:hAnsi="Arial" w:cs="Arial"/>
          <w:b/>
          <w:bCs/>
          <w:sz w:val="29"/>
          <w:szCs w:val="29"/>
          <w:u w:val="single"/>
          <w:lang w:eastAsia="pt-BR"/>
        </w:rPr>
        <w:t>células germinativas primordiais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. Essas células darão origem, após a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puberdade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ao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espermatozoide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no indivíduo masculino e ao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ovócito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no indivíduo feminino. As células germinativas primordiais podem ser identificadas durante a quarta semana de gestação, dentro de uma estrutura extraembrionária, denominada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saco vitelínico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e podem ser identificadas devido ao seu formato arredondado e citoplasma pálido.</w:t>
      </w:r>
    </w:p>
    <w:p w14:paraId="6E88BB02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Entre a quarta e a sexta semana do desenvolvimento embrionário, as células germinativas primordiais migram a partir de movimentos ameboides para o tubo digestivo e, posteriormente, migram mais uma vez pelo mesentério do intestino para a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região dorsal do corpo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onde se estabelecem.</w:t>
      </w:r>
    </w:p>
    <w:p w14:paraId="0E7B230E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Uma vez no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sítio adequado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ao desenvolvimento das gônadas, as células germinativas primordiais estimulam o desenvolvimento do epitélio adjacente para formar as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células somáticas de suporte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. A proliferação destas produz protuberâncias em cada um dos dois rins embrionários ou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mesonefros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denominadas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cristas genitais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que são as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gônadas primordiais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, e serão responsáveis por produzir tecidos que irão nutrir, regular e dar suporte ao desenvolvimento das células sexuais maduras, os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folículos ovarianos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nas fêmeas e as </w:t>
      </w:r>
      <w:r w:rsidRPr="007725CA">
        <w:rPr>
          <w:rFonts w:ascii="Arial" w:eastAsia="Times New Roman" w:hAnsi="Arial" w:cs="Arial"/>
          <w:b/>
          <w:bCs/>
          <w:sz w:val="29"/>
          <w:szCs w:val="29"/>
          <w:lang w:eastAsia="pt-BR"/>
        </w:rPr>
        <w:t>células de Sertoli</w:t>
      </w:r>
      <w:r w:rsidRPr="007725CA">
        <w:rPr>
          <w:rFonts w:ascii="Arial" w:eastAsia="Times New Roman" w:hAnsi="Arial" w:cs="Arial"/>
          <w:sz w:val="29"/>
          <w:szCs w:val="29"/>
          <w:lang w:eastAsia="pt-BR"/>
        </w:rPr>
        <w:t> do epitélio germinativo dos túbulos seminíferos no macho.</w:t>
      </w:r>
    </w:p>
    <w:p w14:paraId="24FC9625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lastRenderedPageBreak/>
        <w:t>Podemos observar a estrutura do saco vitelínico e a localização das CGP a seguir:</w:t>
      </w:r>
    </w:p>
    <w:p w14:paraId="0918DCEA" w14:textId="77777777" w:rsidR="007725CA" w:rsidRPr="007725CA" w:rsidRDefault="007725CA" w:rsidP="007725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25CA">
        <w:rPr>
          <w:rFonts w:ascii="Times New Roman" w:eastAsia="Times New Roman" w:hAnsi="Times New Roman" w:cs="Times New Roman"/>
          <w:sz w:val="24"/>
          <w:szCs w:val="24"/>
          <w:lang w:eastAsia="pt-BR"/>
        </w:rPr>
        <w:t>Clique nas setas para ver o conteúdo.</w:t>
      </w:r>
    </w:p>
    <w:p w14:paraId="19DFBDD3" w14:textId="64B620F6" w:rsidR="007725CA" w:rsidRPr="007725CA" w:rsidRDefault="007725CA" w:rsidP="00772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25C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FA3BF4D" wp14:editId="5C091D4E">
            <wp:extent cx="5400040" cy="167386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1FFB3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As células germinativas primordiais (PGC) localizam-se na camada endodérmica da porção caudal do saco vitelínico.</w:t>
      </w:r>
    </w:p>
    <w:p w14:paraId="113B4AC6" w14:textId="7F5C0816" w:rsidR="007725CA" w:rsidRPr="007725CA" w:rsidRDefault="007725CA" w:rsidP="00772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25C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7EEA0C0" wp14:editId="261B4613">
            <wp:extent cx="5400040" cy="16738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0521E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As PGCs, então, migram pelo mesentério para a parede dorsal do corpo.</w:t>
      </w:r>
    </w:p>
    <w:p w14:paraId="494B079D" w14:textId="4D31CA8A" w:rsidR="007725CA" w:rsidRPr="007725CA" w:rsidRDefault="007725CA" w:rsidP="00772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25C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899ACEF" wp14:editId="59D14ADC">
            <wp:extent cx="5400040" cy="1673860"/>
            <wp:effectExtent l="0" t="0" r="0" b="2540"/>
            <wp:docPr id="2" name="Imagem 2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FED25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As PGC apresentam citoplasma pálido e uma forma arredondada.</w:t>
      </w:r>
    </w:p>
    <w:p w14:paraId="06E99FDA" w14:textId="6796E910" w:rsidR="007725CA" w:rsidRPr="007725CA" w:rsidRDefault="007725CA" w:rsidP="00772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25C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A8C15BA" wp14:editId="00841E9C">
            <wp:extent cx="5400040" cy="167386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627E4" w14:textId="77777777" w:rsidR="007725CA" w:rsidRPr="007725CA" w:rsidRDefault="007725CA" w:rsidP="007725CA">
      <w:pPr>
        <w:spacing w:after="330" w:line="240" w:lineRule="auto"/>
        <w:rPr>
          <w:rFonts w:ascii="Arial" w:eastAsia="Times New Roman" w:hAnsi="Arial" w:cs="Arial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sz w:val="29"/>
          <w:szCs w:val="29"/>
          <w:lang w:eastAsia="pt-BR"/>
        </w:rPr>
        <w:t>Entre a sexta e a décima segunda semana, as PGC estimulam a formação das cristas genitais na parede dorsal do corpo. As células somáticas de suporte diferenciam-se e revestem as PGC.</w:t>
      </w:r>
    </w:p>
    <w:p w14:paraId="40552A6C" w14:textId="77777777" w:rsidR="007725CA" w:rsidRPr="007725CA" w:rsidRDefault="007725CA" w:rsidP="007725CA">
      <w:pPr>
        <w:shd w:val="clear" w:color="auto" w:fill="FFFFFF"/>
        <w:spacing w:after="330" w:line="240" w:lineRule="auto"/>
        <w:rPr>
          <w:rFonts w:ascii="Arial" w:eastAsia="Times New Roman" w:hAnsi="Arial" w:cs="Arial"/>
          <w:color w:val="212529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color w:val="212529"/>
          <w:sz w:val="29"/>
          <w:szCs w:val="29"/>
          <w:lang w:eastAsia="pt-BR"/>
        </w:rPr>
        <w:lastRenderedPageBreak/>
        <w:t>Ocasionalmente, algumas células germinativas primordiais podem se estabelecer fora do sítio de formação das gônadas, em uma diversidade de locais anatômicos, dando origem a tumores denominados de </w:t>
      </w:r>
      <w:hyperlink r:id="rId20" w:history="1">
        <w:r w:rsidRPr="007725CA">
          <w:rPr>
            <w:rFonts w:ascii="Arial" w:eastAsia="Times New Roman" w:hAnsi="Arial" w:cs="Arial"/>
            <w:b/>
            <w:bCs/>
            <w:color w:val="0000FF"/>
            <w:sz w:val="29"/>
            <w:szCs w:val="29"/>
            <w:u w:val="single"/>
            <w:lang w:eastAsia="pt-BR"/>
          </w:rPr>
          <w:t>teratomas</w:t>
        </w:r>
      </w:hyperlink>
      <w:r w:rsidRPr="007725CA">
        <w:rPr>
          <w:rFonts w:ascii="Arial" w:eastAsia="Times New Roman" w:hAnsi="Arial" w:cs="Arial"/>
          <w:color w:val="212529"/>
          <w:sz w:val="29"/>
          <w:szCs w:val="29"/>
          <w:lang w:eastAsia="pt-BR"/>
        </w:rPr>
        <w:t>. Esses tumores são compostos por células pouco diferenciadas e pluripotentes (tem potencial para originar diversos tipos de células do corpo), podendo incluir pelos, dentes, glândulas e até mesmo olhos completamente formados.</w:t>
      </w:r>
    </w:p>
    <w:p w14:paraId="1E494DD9" w14:textId="77777777" w:rsidR="007725CA" w:rsidRPr="007725CA" w:rsidRDefault="007725CA" w:rsidP="007725CA">
      <w:pPr>
        <w:shd w:val="clear" w:color="auto" w:fill="FFFFFF"/>
        <w:spacing w:after="330" w:line="240" w:lineRule="auto"/>
        <w:rPr>
          <w:rFonts w:ascii="Arial" w:eastAsia="Times New Roman" w:hAnsi="Arial" w:cs="Arial"/>
          <w:color w:val="212529"/>
          <w:sz w:val="29"/>
          <w:szCs w:val="29"/>
          <w:lang w:eastAsia="pt-BR"/>
        </w:rPr>
      </w:pPr>
      <w:r w:rsidRPr="007725CA">
        <w:rPr>
          <w:rFonts w:ascii="Arial" w:eastAsia="Times New Roman" w:hAnsi="Arial" w:cs="Arial"/>
          <w:color w:val="212529"/>
          <w:sz w:val="29"/>
          <w:szCs w:val="29"/>
          <w:lang w:eastAsia="pt-BR"/>
        </w:rPr>
        <w:t>Os </w:t>
      </w:r>
      <w:r w:rsidRPr="007725CA">
        <w:rPr>
          <w:rFonts w:ascii="Arial" w:eastAsia="Times New Roman" w:hAnsi="Arial" w:cs="Arial"/>
          <w:b/>
          <w:bCs/>
          <w:color w:val="212529"/>
          <w:sz w:val="29"/>
          <w:szCs w:val="29"/>
          <w:lang w:eastAsia="pt-BR"/>
        </w:rPr>
        <w:t>teratomas sacrococcígeos</w:t>
      </w:r>
      <w:r w:rsidRPr="007725CA">
        <w:rPr>
          <w:rFonts w:ascii="Arial" w:eastAsia="Times New Roman" w:hAnsi="Arial" w:cs="Arial"/>
          <w:color w:val="212529"/>
          <w:sz w:val="29"/>
          <w:szCs w:val="29"/>
          <w:lang w:eastAsia="pt-BR"/>
        </w:rPr>
        <w:t> são os mais comuns em recém-nascidos, ocorrendo quatro vezes mais em indivíduos femininos.</w:t>
      </w:r>
    </w:p>
    <w:p w14:paraId="4CE85D6E" w14:textId="77777777" w:rsidR="00024F51" w:rsidRPr="00024F51" w:rsidRDefault="00024F51" w:rsidP="00024F51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024F51"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t>Clique na Imagem para visualizar o conteúdo.</w:t>
      </w:r>
    </w:p>
    <w:p w14:paraId="09551DC1" w14:textId="68C65F70" w:rsidR="00024F51" w:rsidRPr="00024F51" w:rsidRDefault="00024F51" w:rsidP="00024F51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024F51">
        <w:rPr>
          <w:rFonts w:ascii="Lato" w:eastAsia="Times New Roman" w:hAnsi="Lato" w:cs="Times New Roman"/>
          <w:noProof/>
          <w:color w:val="212529"/>
          <w:sz w:val="24"/>
          <w:szCs w:val="24"/>
          <w:lang w:eastAsia="pt-BR"/>
        </w:rPr>
        <w:drawing>
          <wp:inline distT="0" distB="0" distL="0" distR="0" wp14:anchorId="42079869" wp14:editId="2FE7C03B">
            <wp:extent cx="3531235" cy="3641725"/>
            <wp:effectExtent l="0" t="0" r="0" b="0"/>
            <wp:docPr id="18" name="Imagem 18" descr="Uma imagem contendo foto, maçã, segurando, fru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ntendo foto, maçã, segurando, fru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F51"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t>Teratoma sacrococcígeo em indivíduo recém-nascido.</w:t>
      </w:r>
    </w:p>
    <w:p w14:paraId="216331F5" w14:textId="78777888" w:rsidR="00024F51" w:rsidRPr="00024F51" w:rsidRDefault="00024F51" w:rsidP="00024F51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024F51">
        <w:rPr>
          <w:rFonts w:ascii="Lato" w:eastAsia="Times New Roman" w:hAnsi="Lato" w:cs="Times New Roman"/>
          <w:noProof/>
          <w:color w:val="212529"/>
          <w:sz w:val="24"/>
          <w:szCs w:val="24"/>
          <w:lang w:eastAsia="pt-BR"/>
        </w:rPr>
        <w:lastRenderedPageBreak/>
        <w:drawing>
          <wp:inline distT="0" distB="0" distL="0" distR="0" wp14:anchorId="386EC0A6" wp14:editId="5531F456">
            <wp:extent cx="3531235" cy="3641725"/>
            <wp:effectExtent l="0" t="0" r="0" b="0"/>
            <wp:docPr id="17" name="Imagem 17" descr="Uma imagem contendo pessoa, no interior, homem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pessoa, no interior, homem,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F51"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t>Teratoma sacrococcígeo em indivíduo recém-nascido.</w:t>
      </w:r>
    </w:p>
    <w:p w14:paraId="75804A5C" w14:textId="77777777" w:rsidR="00024F51" w:rsidRPr="00024F51" w:rsidRDefault="00024F51" w:rsidP="00024F51">
      <w:pPr>
        <w:shd w:val="clear" w:color="auto" w:fill="FFFFFF"/>
        <w:spacing w:before="120" w:after="100" w:afterAutospacing="1" w:line="240" w:lineRule="auto"/>
        <w:outlineLvl w:val="2"/>
        <w:rPr>
          <w:rFonts w:ascii="Times New Roman" w:eastAsia="Times New Roman" w:hAnsi="Times New Roman" w:cs="Times New Roman"/>
          <w:sz w:val="36"/>
          <w:szCs w:val="36"/>
          <w:lang w:eastAsia="pt-BR"/>
        </w:rPr>
      </w:pPr>
      <w:r w:rsidRPr="00024F51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Saiba mais</w:t>
      </w:r>
    </w:p>
    <w:p w14:paraId="55B19AC4" w14:textId="77777777" w:rsidR="00024F51" w:rsidRPr="00024F51" w:rsidRDefault="00024F51" w:rsidP="00024F5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29"/>
          <w:szCs w:val="29"/>
          <w:lang w:eastAsia="pt-BR"/>
        </w:rPr>
      </w:pPr>
      <w:r w:rsidRPr="00024F51">
        <w:rPr>
          <w:rFonts w:ascii="Roboto" w:eastAsia="Times New Roman" w:hAnsi="Roboto" w:cs="Times New Roman"/>
          <w:sz w:val="29"/>
          <w:szCs w:val="29"/>
          <w:lang w:eastAsia="pt-BR"/>
        </w:rPr>
        <w:t>Células indiferenciadas, tais como as </w:t>
      </w:r>
      <w:r w:rsidRPr="00024F51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células germinativas primordiais</w:t>
      </w:r>
      <w:r w:rsidRPr="00024F51">
        <w:rPr>
          <w:rFonts w:ascii="Roboto" w:eastAsia="Times New Roman" w:hAnsi="Roboto" w:cs="Times New Roman"/>
          <w:sz w:val="29"/>
          <w:szCs w:val="29"/>
          <w:lang w:eastAsia="pt-BR"/>
        </w:rPr>
        <w:t>, têm a capacidade de diferenciar-se em </w:t>
      </w:r>
      <w:r w:rsidRPr="00024F51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diversos tecidos do corpo</w:t>
      </w:r>
      <w:r w:rsidRPr="00024F51">
        <w:rPr>
          <w:rFonts w:ascii="Roboto" w:eastAsia="Times New Roman" w:hAnsi="Roboto" w:cs="Times New Roman"/>
          <w:sz w:val="29"/>
          <w:szCs w:val="29"/>
          <w:lang w:eastAsia="pt-BR"/>
        </w:rPr>
        <w:t> e por isso são denominadas de </w:t>
      </w:r>
      <w:r w:rsidRPr="00024F51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pluripotentes</w:t>
      </w:r>
      <w:r w:rsidRPr="00024F51">
        <w:rPr>
          <w:rFonts w:ascii="Roboto" w:eastAsia="Times New Roman" w:hAnsi="Roboto" w:cs="Times New Roman"/>
          <w:sz w:val="29"/>
          <w:szCs w:val="29"/>
          <w:lang w:eastAsia="pt-BR"/>
        </w:rPr>
        <w:t> (“que têm potencial de originar muitas”). Células pluripotentes são funcionais, inclusive nos processos de </w:t>
      </w:r>
      <w:r w:rsidRPr="00024F51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restauração tecidual</w:t>
      </w:r>
      <w:r w:rsidRPr="00024F51">
        <w:rPr>
          <w:rFonts w:ascii="Roboto" w:eastAsia="Times New Roman" w:hAnsi="Roboto" w:cs="Times New Roman"/>
          <w:sz w:val="29"/>
          <w:szCs w:val="29"/>
          <w:lang w:eastAsia="pt-BR"/>
        </w:rPr>
        <w:t>, como no caso das células da medula óssea que originam as células do sangue em indivíduos adultos. Não devemos confundir com as células </w:t>
      </w:r>
      <w:r w:rsidRPr="00024F51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totipotentes</w:t>
      </w:r>
      <w:r w:rsidRPr="00024F51">
        <w:rPr>
          <w:rFonts w:ascii="Roboto" w:eastAsia="Times New Roman" w:hAnsi="Roboto" w:cs="Times New Roman"/>
          <w:sz w:val="29"/>
          <w:szCs w:val="29"/>
          <w:lang w:eastAsia="pt-BR"/>
        </w:rPr>
        <w:t>, tais como as células-tronco embrionárias, que podem originar </w:t>
      </w:r>
      <w:r w:rsidRPr="00024F51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todas as células do corpo</w:t>
      </w:r>
      <w:r w:rsidRPr="00024F51">
        <w:rPr>
          <w:rFonts w:ascii="Roboto" w:eastAsia="Times New Roman" w:hAnsi="Roboto" w:cs="Times New Roman"/>
          <w:sz w:val="29"/>
          <w:szCs w:val="29"/>
          <w:lang w:eastAsia="pt-BR"/>
        </w:rPr>
        <w:t>, incluindo as dos órgãos extraembrionários como a </w:t>
      </w:r>
      <w:r w:rsidRPr="00024F51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placenta</w:t>
      </w:r>
      <w:r w:rsidRPr="00024F51">
        <w:rPr>
          <w:rFonts w:ascii="Roboto" w:eastAsia="Times New Roman" w:hAnsi="Roboto" w:cs="Times New Roman"/>
          <w:sz w:val="29"/>
          <w:szCs w:val="29"/>
          <w:lang w:eastAsia="pt-BR"/>
        </w:rPr>
        <w:t>.</w:t>
      </w:r>
    </w:p>
    <w:p w14:paraId="198B280C" w14:textId="77777777" w:rsidR="00024F51" w:rsidRPr="00024F51" w:rsidRDefault="00024F51" w:rsidP="00024F51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024F51">
        <w:rPr>
          <w:rFonts w:ascii="Roboto" w:eastAsia="Times New Roman" w:hAnsi="Roboto" w:cs="Times New Roman"/>
          <w:sz w:val="29"/>
          <w:szCs w:val="29"/>
          <w:lang w:eastAsia="pt-BR"/>
        </w:rPr>
        <w:t xml:space="preserve">As células somáticas humanas possuem 23 pares de </w:t>
      </w:r>
      <w:r w:rsidRPr="00024F5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cromossomas (46 cromossomas no total), sendo </w:t>
      </w:r>
      <w:r w:rsidRPr="00024F51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22 pares de cromossomas somáticos</w:t>
      </w:r>
      <w:r w:rsidRPr="00024F5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e </w:t>
      </w:r>
      <w:r w:rsidRPr="00024F51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1 par de cromossomas sexuais</w:t>
      </w:r>
      <w:r w:rsidRPr="00024F5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que determinará o sexo do indivíduo.</w:t>
      </w:r>
    </w:p>
    <w:p w14:paraId="0A8C1BD8" w14:textId="65BA812B" w:rsidR="00024F51" w:rsidRPr="00024F51" w:rsidRDefault="00024F51" w:rsidP="00024F51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43A40"/>
          <w:sz w:val="24"/>
          <w:szCs w:val="24"/>
          <w:lang w:eastAsia="pt-BR"/>
        </w:rPr>
      </w:pPr>
      <w:r w:rsidRPr="00024F51">
        <w:rPr>
          <w:rFonts w:ascii="Lato" w:eastAsia="Times New Roman" w:hAnsi="Lato" w:cs="Times New Roman"/>
          <w:noProof/>
          <w:color w:val="343A40"/>
          <w:sz w:val="24"/>
          <w:szCs w:val="24"/>
          <w:lang w:eastAsia="pt-BR"/>
        </w:rPr>
        <w:drawing>
          <wp:inline distT="0" distB="0" distL="0" distR="0" wp14:anchorId="0BE1653E" wp14:editId="1BD8C2EB">
            <wp:extent cx="4335780" cy="2396490"/>
            <wp:effectExtent l="0" t="0" r="762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EBE2" w14:textId="77777777" w:rsidR="00024F51" w:rsidRPr="00024F51" w:rsidRDefault="00024F51" w:rsidP="00024F51">
      <w:pPr>
        <w:shd w:val="clear" w:color="auto" w:fill="FFFFFF"/>
        <w:spacing w:after="330" w:line="240" w:lineRule="auto"/>
        <w:jc w:val="center"/>
        <w:rPr>
          <w:rFonts w:ascii="Roboto" w:eastAsia="Times New Roman" w:hAnsi="Roboto" w:cs="Times New Roman"/>
          <w:color w:val="343A40"/>
          <w:sz w:val="29"/>
          <w:szCs w:val="29"/>
          <w:lang w:eastAsia="pt-BR"/>
        </w:rPr>
      </w:pPr>
      <w:r w:rsidRPr="00024F51">
        <w:rPr>
          <w:rFonts w:ascii="Roboto" w:eastAsia="Times New Roman" w:hAnsi="Roboto" w:cs="Times New Roman"/>
          <w:color w:val="343A40"/>
          <w:sz w:val="29"/>
          <w:szCs w:val="29"/>
          <w:lang w:eastAsia="pt-BR"/>
        </w:rPr>
        <w:t>Os indivíduos que são considerados biologicamente </w:t>
      </w:r>
      <w:r w:rsidRPr="00024F51">
        <w:rPr>
          <w:rFonts w:ascii="Roboto" w:eastAsia="Times New Roman" w:hAnsi="Roboto" w:cs="Times New Roman"/>
          <w:b/>
          <w:bCs/>
          <w:color w:val="343A40"/>
          <w:sz w:val="29"/>
          <w:szCs w:val="29"/>
          <w:lang w:eastAsia="pt-BR"/>
        </w:rPr>
        <w:t>fêmeas</w:t>
      </w:r>
      <w:r w:rsidRPr="00024F51">
        <w:rPr>
          <w:rFonts w:ascii="Roboto" w:eastAsia="Times New Roman" w:hAnsi="Roboto" w:cs="Times New Roman"/>
          <w:color w:val="343A40"/>
          <w:sz w:val="29"/>
          <w:szCs w:val="29"/>
          <w:lang w:eastAsia="pt-BR"/>
        </w:rPr>
        <w:t>.</w:t>
      </w:r>
    </w:p>
    <w:p w14:paraId="09AA22B5" w14:textId="3F61CB4E" w:rsidR="00024F51" w:rsidRPr="00024F51" w:rsidRDefault="00024F51" w:rsidP="00024F51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43A40"/>
          <w:sz w:val="24"/>
          <w:szCs w:val="24"/>
          <w:lang w:eastAsia="pt-BR"/>
        </w:rPr>
      </w:pPr>
      <w:r w:rsidRPr="00024F51">
        <w:rPr>
          <w:rFonts w:ascii="Lato" w:eastAsia="Times New Roman" w:hAnsi="Lato" w:cs="Times New Roman"/>
          <w:noProof/>
          <w:color w:val="343A40"/>
          <w:sz w:val="24"/>
          <w:szCs w:val="24"/>
          <w:lang w:eastAsia="pt-BR"/>
        </w:rPr>
        <w:lastRenderedPageBreak/>
        <w:drawing>
          <wp:inline distT="0" distB="0" distL="0" distR="0" wp14:anchorId="60F5B332" wp14:editId="314857EC">
            <wp:extent cx="4335780" cy="2396490"/>
            <wp:effectExtent l="0" t="0" r="762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38EB" w14:textId="77777777" w:rsidR="00024F51" w:rsidRPr="00024F51" w:rsidRDefault="00024F51" w:rsidP="00024F51">
      <w:pPr>
        <w:shd w:val="clear" w:color="auto" w:fill="FFFFFF"/>
        <w:spacing w:after="330" w:line="240" w:lineRule="auto"/>
        <w:jc w:val="center"/>
        <w:rPr>
          <w:rFonts w:ascii="Roboto" w:eastAsia="Times New Roman" w:hAnsi="Roboto" w:cs="Times New Roman"/>
          <w:color w:val="343A40"/>
          <w:sz w:val="29"/>
          <w:szCs w:val="29"/>
          <w:lang w:eastAsia="pt-BR"/>
        </w:rPr>
      </w:pPr>
      <w:r w:rsidRPr="00024F51">
        <w:rPr>
          <w:rFonts w:ascii="Roboto" w:eastAsia="Times New Roman" w:hAnsi="Roboto" w:cs="Times New Roman"/>
          <w:color w:val="343A40"/>
          <w:sz w:val="29"/>
          <w:szCs w:val="29"/>
          <w:lang w:eastAsia="pt-BR"/>
        </w:rPr>
        <w:t>Os indivíduos que são considerados biologicamente </w:t>
      </w:r>
      <w:r w:rsidRPr="00024F51">
        <w:rPr>
          <w:rFonts w:ascii="Roboto" w:eastAsia="Times New Roman" w:hAnsi="Roboto" w:cs="Times New Roman"/>
          <w:b/>
          <w:bCs/>
          <w:color w:val="343A40"/>
          <w:sz w:val="29"/>
          <w:szCs w:val="29"/>
          <w:lang w:eastAsia="pt-BR"/>
        </w:rPr>
        <w:t>machos</w:t>
      </w:r>
      <w:r w:rsidRPr="00024F51">
        <w:rPr>
          <w:rFonts w:ascii="Roboto" w:eastAsia="Times New Roman" w:hAnsi="Roboto" w:cs="Times New Roman"/>
          <w:color w:val="343A40"/>
          <w:sz w:val="29"/>
          <w:szCs w:val="29"/>
          <w:lang w:eastAsia="pt-BR"/>
        </w:rPr>
        <w:t>.</w:t>
      </w:r>
    </w:p>
    <w:p w14:paraId="734E6DEE" w14:textId="77777777" w:rsidR="00024F51" w:rsidRPr="00024F51" w:rsidRDefault="00024F51" w:rsidP="00024F51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sz w:val="29"/>
          <w:szCs w:val="29"/>
          <w:lang w:eastAsia="pt-BR"/>
        </w:rPr>
      </w:pPr>
      <w:r w:rsidRPr="00024F5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 xml:space="preserve">Durante a formação dos gametas, há processos específicos da gametogênese masculina e da gametogênese feminina, porém também observamos eventos comuns e essenciais, dentre os </w:t>
      </w:r>
      <w:r w:rsidRPr="00024F51">
        <w:rPr>
          <w:rFonts w:ascii="Roboto" w:eastAsia="Times New Roman" w:hAnsi="Roboto" w:cs="Times New Roman"/>
          <w:sz w:val="29"/>
          <w:szCs w:val="29"/>
          <w:lang w:eastAsia="pt-BR"/>
        </w:rPr>
        <w:t>quais podemos destacar a </w:t>
      </w:r>
      <w:r w:rsidRPr="00024F51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meiose</w:t>
      </w:r>
      <w:r w:rsidRPr="00024F51">
        <w:rPr>
          <w:rFonts w:ascii="Roboto" w:eastAsia="Times New Roman" w:hAnsi="Roboto" w:cs="Times New Roman"/>
          <w:sz w:val="29"/>
          <w:szCs w:val="29"/>
          <w:lang w:eastAsia="pt-BR"/>
        </w:rPr>
        <w:t>.</w:t>
      </w:r>
    </w:p>
    <w:p w14:paraId="5CE521A6" w14:textId="77777777" w:rsidR="004A3421" w:rsidRPr="004A3421" w:rsidRDefault="004A3421" w:rsidP="004A3421">
      <w:pPr>
        <w:spacing w:before="100" w:beforeAutospacing="1" w:after="100" w:afterAutospacing="1" w:line="240" w:lineRule="auto"/>
        <w:jc w:val="center"/>
        <w:rPr>
          <w:rFonts w:ascii="Roboto" w:eastAsia="Times New Roman" w:hAnsi="Roboto" w:cs="Times New Roman"/>
          <w:sz w:val="29"/>
          <w:szCs w:val="29"/>
          <w:lang w:eastAsia="pt-BR"/>
        </w:rPr>
      </w:pPr>
      <w:r w:rsidRPr="004A3421">
        <w:rPr>
          <w:rFonts w:ascii="Roboto" w:eastAsia="Times New Roman" w:hAnsi="Roboto" w:cs="Times New Roman"/>
          <w:sz w:val="29"/>
          <w:szCs w:val="29"/>
          <w:lang w:eastAsia="pt-BR"/>
        </w:rPr>
        <w:t>A meiose é um processo de </w:t>
      </w:r>
      <w:r w:rsidRPr="004A3421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divisão celular reducional</w:t>
      </w:r>
      <w:r w:rsidRPr="004A3421">
        <w:rPr>
          <w:rFonts w:ascii="Roboto" w:eastAsia="Times New Roman" w:hAnsi="Roboto" w:cs="Times New Roman"/>
          <w:sz w:val="29"/>
          <w:szCs w:val="29"/>
          <w:lang w:eastAsia="pt-BR"/>
        </w:rPr>
        <w:t>, no qual células originadas possuem </w:t>
      </w:r>
      <w:r w:rsidRPr="004A3421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metade do número de cromossomas da sua célula-mãe</w:t>
      </w:r>
      <w:r w:rsidRPr="004A3421">
        <w:rPr>
          <w:rFonts w:ascii="Roboto" w:eastAsia="Times New Roman" w:hAnsi="Roboto" w:cs="Times New Roman"/>
          <w:sz w:val="29"/>
          <w:szCs w:val="29"/>
          <w:lang w:eastAsia="pt-BR"/>
        </w:rPr>
        <w:t>.</w:t>
      </w:r>
    </w:p>
    <w:p w14:paraId="5D48BA4A" w14:textId="77777777" w:rsidR="004A3421" w:rsidRPr="004A3421" w:rsidRDefault="004A3421" w:rsidP="004A3421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A3421">
        <w:rPr>
          <w:rFonts w:ascii="Roboto" w:eastAsia="Times New Roman" w:hAnsi="Roboto" w:cs="Times New Roman"/>
          <w:sz w:val="29"/>
          <w:szCs w:val="29"/>
          <w:lang w:eastAsia="pt-BR"/>
        </w:rPr>
        <w:t>A </w:t>
      </w:r>
      <w:r w:rsidRPr="004A3421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meiose</w:t>
      </w:r>
      <w:r w:rsidRPr="004A3421">
        <w:rPr>
          <w:rFonts w:ascii="Roboto" w:eastAsia="Times New Roman" w:hAnsi="Roboto" w:cs="Times New Roman"/>
          <w:sz w:val="29"/>
          <w:szCs w:val="29"/>
          <w:lang w:eastAsia="pt-BR"/>
        </w:rPr>
        <w:t> é, portanto, um tipo de </w:t>
      </w:r>
      <w:r w:rsidRPr="004A3421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divisão celular especializada que ocorre apenas nas células germinativas</w:t>
      </w: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reduzindo o seu número de cromossomas pela metade, para que os gametas, quando se unem durante a </w:t>
      </w:r>
      <w:r w:rsidRPr="004A3421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fecundação</w:t>
      </w: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mantenham o número de cromossomas característico da espécie (</w:t>
      </w:r>
      <w:r w:rsidRPr="004A3421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ploidia</w:t>
      </w: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). De forma geral, podemos entender que um espermatozoide com 23 cromossomas que se une a um ovócito, também de 23 cromossomas, formando um zigoto com 23 pares de cromossomas, ou seja, </w:t>
      </w:r>
      <w:r w:rsidRPr="004A3421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46 cromossomas</w:t>
      </w: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.</w:t>
      </w:r>
    </w:p>
    <w:p w14:paraId="4A1F92AE" w14:textId="77777777" w:rsidR="004A3421" w:rsidRPr="004A3421" w:rsidRDefault="004A3421" w:rsidP="004A3421">
      <w:pPr>
        <w:shd w:val="clear" w:color="auto" w:fill="F3E5F5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Devemos nos atentar e não confundir </w:t>
      </w:r>
      <w:r w:rsidRPr="004A3421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mitose</w:t>
      </w: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e </w:t>
      </w:r>
      <w:r w:rsidRPr="004A3421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meiose</w:t>
      </w: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. Na mitose, temos a geração de células-filhas com o mesmo número de cromossomas da célula-mãe, logo, uma célula diploide (2N) de 46 cromossomas dá origem a duas células idênticas, também diploides, com outros 46 cromossomas cada uma. Na meiose, por sua vez, verificamos uma célula germinativa primordial diploide (2N) que sofre duas divisões celulares e nucleares seguidas, gerando quatro células filhas haploides (1N). No caso dos machos, a divisão meiótica produz </w:t>
      </w:r>
      <w:r w:rsidRPr="004A3421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quatro espermatozoides idênticos</w:t>
      </w: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e funcionais, contudo, nas fêmeas, as divisões meióticas são desiguais e geram </w:t>
      </w:r>
      <w:r w:rsidRPr="004A3421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apenas um ovócito grande</w:t>
      </w: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haploide e definitivo, e três corpos polares menores e não funcionais.</w:t>
      </w:r>
    </w:p>
    <w:p w14:paraId="384B0955" w14:textId="77777777" w:rsidR="004A3421" w:rsidRPr="004A3421" w:rsidRDefault="004A3421" w:rsidP="004A3421">
      <w:pPr>
        <w:shd w:val="clear" w:color="auto" w:fill="F3E5F5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A seguir, podemos observar as principais diferenças entre mitose e meiose:</w:t>
      </w:r>
    </w:p>
    <w:p w14:paraId="31B1DFD7" w14:textId="1FE9BB2B" w:rsidR="004A3421" w:rsidRPr="004A3421" w:rsidRDefault="004A3421" w:rsidP="004A3421">
      <w:pPr>
        <w:shd w:val="clear" w:color="auto" w:fill="F3E5F5"/>
        <w:spacing w:after="0" w:line="240" w:lineRule="auto"/>
        <w:jc w:val="center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4A3421">
        <w:rPr>
          <w:rFonts w:ascii="Lato" w:eastAsia="Times New Roman" w:hAnsi="Lato" w:cs="Times New Roman"/>
          <w:noProof/>
          <w:color w:val="212529"/>
          <w:sz w:val="24"/>
          <w:szCs w:val="24"/>
          <w:lang w:eastAsia="pt-BR"/>
        </w:rPr>
        <w:lastRenderedPageBreak/>
        <w:drawing>
          <wp:inline distT="0" distB="0" distL="0" distR="0" wp14:anchorId="0A61F305" wp14:editId="621377D9">
            <wp:extent cx="3616325" cy="8892540"/>
            <wp:effectExtent l="0" t="0" r="3175" b="3810"/>
            <wp:docPr id="21" name="Imagem 2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2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3421"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t>Mitose.</w:t>
      </w:r>
    </w:p>
    <w:p w14:paraId="0FE50C68" w14:textId="104DFE7F" w:rsidR="004A3421" w:rsidRPr="004A3421" w:rsidRDefault="004A3421" w:rsidP="004A3421">
      <w:pPr>
        <w:shd w:val="clear" w:color="auto" w:fill="F3E5F5"/>
        <w:spacing w:after="0" w:line="240" w:lineRule="auto"/>
        <w:jc w:val="center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4A3421">
        <w:rPr>
          <w:rFonts w:ascii="Lato" w:eastAsia="Times New Roman" w:hAnsi="Lato" w:cs="Times New Roman"/>
          <w:noProof/>
          <w:color w:val="212529"/>
          <w:sz w:val="24"/>
          <w:szCs w:val="24"/>
          <w:lang w:eastAsia="pt-BR"/>
        </w:rPr>
        <w:lastRenderedPageBreak/>
        <w:drawing>
          <wp:inline distT="0" distB="0" distL="0" distR="0" wp14:anchorId="6AB4B592" wp14:editId="6064A655">
            <wp:extent cx="3616325" cy="8892540"/>
            <wp:effectExtent l="0" t="0" r="3175" b="3810"/>
            <wp:docPr id="20" name="Imagem 20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2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3421"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t>Meiose.</w:t>
      </w:r>
    </w:p>
    <w:p w14:paraId="6119A854" w14:textId="77777777" w:rsidR="004A3421" w:rsidRPr="004A3421" w:rsidRDefault="004A3421" w:rsidP="004A3421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Agora que já sabemos como funciona a meiose das células germinativas primordiais para a formação dos gametas, vamos ver as particularidades das gametogêneses masculina e feminina.</w:t>
      </w:r>
    </w:p>
    <w:p w14:paraId="305B8159" w14:textId="77777777" w:rsidR="004A3421" w:rsidRPr="004A3421" w:rsidRDefault="004A3421" w:rsidP="004A3421">
      <w:pPr>
        <w:shd w:val="clear" w:color="auto" w:fill="F3E5F5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lastRenderedPageBreak/>
        <w:t>Gametogênese masculina</w:t>
      </w:r>
    </w:p>
    <w:p w14:paraId="417DFD36" w14:textId="77777777" w:rsidR="004A3421" w:rsidRPr="004A3421" w:rsidRDefault="004A3421" w:rsidP="004A3421">
      <w:pPr>
        <w:shd w:val="clear" w:color="auto" w:fill="F3E5F5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A gametogênese masculina, denominada </w:t>
      </w:r>
      <w:r w:rsidRPr="004A3421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espermatogênese</w:t>
      </w: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inicia-se durante a </w:t>
      </w:r>
      <w:r w:rsidRPr="004A3421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puberdade</w:t>
      </w: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quando os testículos iniciam a secreção do hormônio esteroide </w:t>
      </w:r>
      <w:r w:rsidRPr="004A3421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testosterona</w:t>
      </w: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capaz de estimular o crescimento dos testículos com amadurecimento dos túbulos seminíferos e a produção os </w:t>
      </w:r>
      <w:r w:rsidRPr="004A3421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espermatozoides</w:t>
      </w: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.</w:t>
      </w:r>
    </w:p>
    <w:p w14:paraId="1967DE35" w14:textId="77777777" w:rsidR="004A3421" w:rsidRPr="004A3421" w:rsidRDefault="004A3421" w:rsidP="004A3421">
      <w:pPr>
        <w:shd w:val="clear" w:color="auto" w:fill="F3E5F5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O início da </w:t>
      </w:r>
      <w:r w:rsidRPr="004A3421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espermatogênese</w:t>
      </w: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se dá por divisões mitóticas das </w:t>
      </w:r>
      <w:r w:rsidRPr="004A3421">
        <w:rPr>
          <w:rFonts w:ascii="Roboto" w:eastAsia="Times New Roman" w:hAnsi="Roboto" w:cs="Times New Roman"/>
          <w:b/>
          <w:bCs/>
          <w:color w:val="212529"/>
          <w:sz w:val="29"/>
          <w:szCs w:val="29"/>
          <w:u w:val="single"/>
          <w:lang w:eastAsia="pt-BR"/>
        </w:rPr>
        <w:t>espermatogônias</w:t>
      </w: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. Durante a espermatogênese, acontece uma </w:t>
      </w:r>
      <w:r w:rsidRPr="004A3421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migração</w:t>
      </w: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progressiva das células </w:t>
      </w:r>
      <w:r w:rsidRPr="004A3421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do lado basal para o lado luminal</w:t>
      </w: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do epitélio seminífero, ou seja, de dentro do tecido para a região de “luz” do túbulo seminífero. As espermatogônias se dividem gerando células filhas que renovam constantemente a </w:t>
      </w:r>
      <w:r w:rsidRPr="004A3421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população de células-tronco</w:t>
      </w: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(</w:t>
      </w:r>
      <w:r w:rsidRPr="004A3421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espermatogôniais</w:t>
      </w: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) ou iniciam a meiose, formando espermatócitos primários que se dividem em dois </w:t>
      </w:r>
      <w:r w:rsidRPr="004A3421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espermatócitos secundários</w:t>
      </w: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e, posteriormente, em quatro </w:t>
      </w:r>
      <w:r w:rsidRPr="004A3421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espermátides</w:t>
      </w: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. Até então, todas as células em divisão mantêm uma ligação citoplasmática. Finalmente, há ruptura das conexões entre as células e sua liberação no lúmen do túbulo, um processo denominado </w:t>
      </w:r>
      <w:r w:rsidRPr="004A3421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espermiogênese</w:t>
      </w:r>
      <w:r w:rsidRPr="004A3421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. A seguir, conseguimos ver a maturação do espermatozoide e sua estrutura:</w:t>
      </w:r>
    </w:p>
    <w:p w14:paraId="40C445B6" w14:textId="4D4CF565" w:rsidR="004A3421" w:rsidRPr="004A3421" w:rsidRDefault="004A3421" w:rsidP="004A3421">
      <w:pPr>
        <w:shd w:val="clear" w:color="auto" w:fill="F3E5F5"/>
        <w:spacing w:after="0" w:line="240" w:lineRule="auto"/>
        <w:jc w:val="center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4A3421">
        <w:rPr>
          <w:rFonts w:ascii="Lato" w:eastAsia="Times New Roman" w:hAnsi="Lato" w:cs="Times New Roman"/>
          <w:noProof/>
          <w:color w:val="212529"/>
          <w:sz w:val="24"/>
          <w:szCs w:val="24"/>
          <w:lang w:eastAsia="pt-BR"/>
        </w:rPr>
        <w:lastRenderedPageBreak/>
        <w:drawing>
          <wp:inline distT="0" distB="0" distL="0" distR="0" wp14:anchorId="31A68911" wp14:editId="7B6E30A4">
            <wp:extent cx="5400040" cy="5400040"/>
            <wp:effectExtent l="0" t="0" r="0" b="0"/>
            <wp:docPr id="19" name="Imagem 19" descr="Gráfico, Gráfico de fun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Gráfico, Gráfico de fun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3421"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t>Gametogênese masculina.</w:t>
      </w:r>
    </w:p>
    <w:p w14:paraId="781E31D3" w14:textId="77777777" w:rsidR="00CE6936" w:rsidRDefault="00CE6936" w:rsidP="00CE6936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</w:p>
    <w:p w14:paraId="0B6D54FF" w14:textId="7C2A26C4" w:rsidR="00CE6936" w:rsidRPr="00CE6936" w:rsidRDefault="00CE6936" w:rsidP="00CE6936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O espermatozoide totalmente formado e funcional é composto por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três partes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: a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cabeça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onde fica o núcleo condensado e uma vesícula, denominada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acrossoma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que contém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enzimas hidrolíticas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que permitem a penetração do ovócito. A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peça intermediária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que possui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mitocôndrias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que geram emergência para o movimento, e a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cauda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do espermatozoide, que contém microtúbulos que permitem o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deslocamento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.</w:t>
      </w:r>
    </w:p>
    <w:p w14:paraId="7C62700F" w14:textId="1728329B" w:rsidR="00CE6936" w:rsidRPr="00CE6936" w:rsidRDefault="00CE6936" w:rsidP="00CE6936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CE6936">
        <w:rPr>
          <w:rFonts w:ascii="Lato" w:eastAsia="Times New Roman" w:hAnsi="Lato" w:cs="Times New Roman"/>
          <w:noProof/>
          <w:color w:val="212529"/>
          <w:sz w:val="24"/>
          <w:szCs w:val="24"/>
          <w:lang w:eastAsia="pt-BR"/>
        </w:rPr>
        <w:drawing>
          <wp:inline distT="0" distB="0" distL="0" distR="0" wp14:anchorId="1E9BC690" wp14:editId="6CA52924">
            <wp:extent cx="5400040" cy="1859280"/>
            <wp:effectExtent l="0" t="0" r="0" b="7620"/>
            <wp:docPr id="28" name="Imagem 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6936"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t>Estrutura do espermatozoide.</w:t>
      </w:r>
    </w:p>
    <w:p w14:paraId="6771DCD8" w14:textId="77777777" w:rsidR="00CE6936" w:rsidRPr="00CE6936" w:rsidRDefault="00CE6936" w:rsidP="00CE6936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lastRenderedPageBreak/>
        <w:t>A fase final de maturação do espermatozoide ocorre dentro do trato genital feminino e provoca modificações que permitem que o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acrossoma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libere suas enzimas durante a fertilização. Essa fase denomina-se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capacitação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.</w:t>
      </w:r>
    </w:p>
    <w:p w14:paraId="16322BCE" w14:textId="77777777" w:rsidR="00CE6936" w:rsidRPr="00CE6936" w:rsidRDefault="00CE6936" w:rsidP="00CE6936">
      <w:pPr>
        <w:shd w:val="clear" w:color="auto" w:fill="F3E5F5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Gametogênese feminina</w:t>
      </w:r>
    </w:p>
    <w:p w14:paraId="1DC72F71" w14:textId="77777777" w:rsidR="00CE6936" w:rsidRPr="00CE6936" w:rsidRDefault="00CE6936" w:rsidP="00CE6936">
      <w:pPr>
        <w:shd w:val="clear" w:color="auto" w:fill="F3E5F5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A produção das células sexuais femininas, denominada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ovogênese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inicia-se durante o quinto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mês de desenvolvimento intrauterino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. Aproximadamente, durante a 12ª semana do desenvolvimento, as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ovogônias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passam pela primeira divisão meiótica e tornam-se latentes. O núcleo de cada um destes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ovócitos primários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torna-se uma estrutura grande e aquosa, denominada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vesícula germinal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. Acredita-se que essa estrutura proteja o DNA durante o longo período de parada meiótica. Ocorre, então, a formação de uma cápsula a partir de uma camada única de células foliculares, derivadas das células de suporte, que envolvem o ovócito primário, formando o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folículo primordial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.</w:t>
      </w:r>
    </w:p>
    <w:p w14:paraId="7D73BEF7" w14:textId="2C2B888C" w:rsidR="00CE6936" w:rsidRPr="00CE6936" w:rsidRDefault="00CE6936" w:rsidP="00CE6936">
      <w:pPr>
        <w:shd w:val="clear" w:color="auto" w:fill="F3E5F5"/>
        <w:spacing w:after="0" w:line="240" w:lineRule="auto"/>
        <w:jc w:val="center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CE6936">
        <w:rPr>
          <w:rFonts w:ascii="Lato" w:eastAsia="Times New Roman" w:hAnsi="Lato" w:cs="Times New Roman"/>
          <w:noProof/>
          <w:color w:val="212529"/>
          <w:sz w:val="24"/>
          <w:szCs w:val="24"/>
          <w:lang w:eastAsia="pt-BR"/>
        </w:rPr>
        <w:drawing>
          <wp:inline distT="0" distB="0" distL="0" distR="0" wp14:anchorId="591D4B24" wp14:editId="7F27927C">
            <wp:extent cx="5400040" cy="4192905"/>
            <wp:effectExtent l="0" t="0" r="0" b="0"/>
            <wp:docPr id="27" name="Imagem 2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6936"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t>Ovogênese: Formação dos ovócitos primários, antes do nascimento.</w:t>
      </w:r>
    </w:p>
    <w:p w14:paraId="5C71FD6B" w14:textId="77777777" w:rsidR="00CE6936" w:rsidRPr="00CE6936" w:rsidRDefault="00CE6936" w:rsidP="00CE6936">
      <w:pPr>
        <w:shd w:val="clear" w:color="auto" w:fill="E1BEE7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Importante</w:t>
      </w:r>
    </w:p>
    <w:p w14:paraId="1C13DD19" w14:textId="77777777" w:rsidR="00CE6936" w:rsidRPr="00CE6936" w:rsidRDefault="00CE6936" w:rsidP="00CE6936">
      <w:pPr>
        <w:shd w:val="clear" w:color="auto" w:fill="E1BEE7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 xml:space="preserve">A partir da primeira menstruação (menarca), que acontece geralmente entre 12 e 15 anos de idade, a mulher passa a apresentar ciclos menstruais. A cada ciclo, geralmente um ovócito primário entra no período de maturação. Isso se repete até a menopausa (cessação definitiva das menstruações em decorrência da falência ovariana), que acontece geralmente entre 48 e 55 anos de idade. A 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lastRenderedPageBreak/>
        <w:t>secreção de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hormônios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provenientes dos ovários, hipófise e hipotálamo regula o denominado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ciclo menstrual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.</w:t>
      </w:r>
    </w:p>
    <w:p w14:paraId="4115B8C9" w14:textId="77777777" w:rsidR="00CE6936" w:rsidRPr="00CE6936" w:rsidRDefault="00CE6936" w:rsidP="00CE6936">
      <w:pPr>
        <w:shd w:val="clear" w:color="auto" w:fill="E1BEE7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Quando a mulher entra na puberdade, o ovócito primário (tipo I) continua a meiose e forma duas células, uma grande chamada de ovócito secundário e uma menor que recebe o nome de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glóbulo polar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ou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corpúsculo polar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. O ovócito secundário inicia a segunda etapa da meiose, mas que é interrompida e só conclui se houver a fecundação. Esse por sua vez é liberado na tuba uterina. Caso ocorra fecundação, o ovócito secundário sofre a segunda meiose originando o óvulo e o segundo glóbulo polar, que se degenera.</w:t>
      </w:r>
    </w:p>
    <w:p w14:paraId="795ED367" w14:textId="11051FF4" w:rsidR="00CE6936" w:rsidRPr="00CE6936" w:rsidRDefault="00CE6936" w:rsidP="00CE6936">
      <w:pPr>
        <w:shd w:val="clear" w:color="auto" w:fill="E1BEE7"/>
        <w:spacing w:after="0" w:line="240" w:lineRule="auto"/>
        <w:jc w:val="center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CE6936">
        <w:rPr>
          <w:rFonts w:ascii="Lato" w:eastAsia="Times New Roman" w:hAnsi="Lato" w:cs="Times New Roman"/>
          <w:noProof/>
          <w:color w:val="212529"/>
          <w:sz w:val="24"/>
          <w:szCs w:val="24"/>
          <w:lang w:eastAsia="pt-BR"/>
        </w:rPr>
        <w:drawing>
          <wp:inline distT="0" distB="0" distL="0" distR="0" wp14:anchorId="53D89332" wp14:editId="270BF6BB">
            <wp:extent cx="5400040" cy="6889115"/>
            <wp:effectExtent l="0" t="0" r="0" b="6985"/>
            <wp:docPr id="26" name="Imagem 2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8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6936"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t>Ovogênese após a puberdade.</w:t>
      </w:r>
    </w:p>
    <w:p w14:paraId="45E11532" w14:textId="77777777" w:rsidR="00CE6936" w:rsidRPr="00CE6936" w:rsidRDefault="00CE6936" w:rsidP="00CE6936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lastRenderedPageBreak/>
        <w:t>A cada mês ocorre a produção de um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gameta feminino funcional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com a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preparação do útero para receber um ovócito fertilizado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que, normalmente, tem duração de 28 dias. Consideramos o início de um novo ciclo a partir da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menstruação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que consiste na descamação do endométrio acompanhada de sangue contendo o ovócito. Após o quinto dia do ciclo (e, portando, o quinto dia pós-menstruação), inicia-se a secreção do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hormônio liberador de gonadotrofina (GnRH)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pelo hipotálamo que estimula a hipófise a aumentar a produção de dois hormônios gonadotróficos ou gonadotrofinas, o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hormônio folículo estimulante (FSH)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e o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hormônio luteinizante (LH)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.</w:t>
      </w:r>
    </w:p>
    <w:p w14:paraId="66F705E4" w14:textId="77777777" w:rsidR="00CE6936" w:rsidRPr="00CE6936" w:rsidRDefault="00CE6936" w:rsidP="00CE6936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O hormônio folículo estimulante (FSH) e o hormônio luteinizante (LH) controlam diretamente o ciclo ovariano e a produção de estrogênio e progesterona pelos folículos responsivos e pelo corpo lúteo no ovário.</w:t>
      </w:r>
    </w:p>
    <w:p w14:paraId="2DA9D6CB" w14:textId="1E7DD042" w:rsidR="00CE6936" w:rsidRPr="00CE6936" w:rsidRDefault="00CE6936" w:rsidP="00CE6936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CE6936">
        <w:rPr>
          <w:rFonts w:ascii="Lato" w:eastAsia="Times New Roman" w:hAnsi="Lato" w:cs="Times New Roman"/>
          <w:noProof/>
          <w:color w:val="212529"/>
          <w:sz w:val="24"/>
          <w:szCs w:val="24"/>
          <w:lang w:eastAsia="pt-BR"/>
        </w:rPr>
        <w:drawing>
          <wp:inline distT="0" distB="0" distL="0" distR="0" wp14:anchorId="3693CD51" wp14:editId="5BA9DC85">
            <wp:extent cx="5400040" cy="4923155"/>
            <wp:effectExtent l="0" t="0" r="0" b="0"/>
            <wp:docPr id="25" name="Imagem 2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6936"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t>Ciclo menstrual.</w:t>
      </w:r>
    </w:p>
    <w:p w14:paraId="67A1F0DA" w14:textId="77777777" w:rsidR="00CE6936" w:rsidRPr="00CE6936" w:rsidRDefault="00CE6936" w:rsidP="00CE6936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sz w:val="29"/>
          <w:szCs w:val="29"/>
          <w:lang w:eastAsia="pt-BR"/>
        </w:rPr>
      </w:pP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Esses hormônios ovarianos, por sua vez,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controlam o ciclo do endométrio uterino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. A partir do estímulo hormonal de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FSH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e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LH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em 20 horas, ocorre o denominado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surto ovulatório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e começa a divisão celular para formar o ovócito secundário e o primeiro corpo polar. O ovócito secundário, prontamente,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 xml:space="preserve">começa a </w:t>
      </w:r>
      <w:r w:rsidRPr="00CE6936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segunda divisão meiótica</w:t>
      </w:r>
      <w:r w:rsidRPr="00CE6936">
        <w:rPr>
          <w:rFonts w:ascii="Roboto" w:eastAsia="Times New Roman" w:hAnsi="Roboto" w:cs="Times New Roman"/>
          <w:sz w:val="29"/>
          <w:szCs w:val="29"/>
          <w:lang w:eastAsia="pt-BR"/>
        </w:rPr>
        <w:t>.</w:t>
      </w:r>
    </w:p>
    <w:p w14:paraId="4AA1C37F" w14:textId="77777777" w:rsidR="00CE6936" w:rsidRPr="00CE6936" w:rsidRDefault="00CE6936" w:rsidP="00CE6936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sz w:val="29"/>
          <w:szCs w:val="29"/>
          <w:lang w:eastAsia="pt-BR"/>
        </w:rPr>
      </w:pPr>
      <w:r w:rsidRPr="00CE6936">
        <w:rPr>
          <w:rFonts w:ascii="Roboto" w:eastAsia="Times New Roman" w:hAnsi="Roboto" w:cs="Times New Roman"/>
          <w:sz w:val="29"/>
          <w:szCs w:val="29"/>
          <w:lang w:eastAsia="pt-BR"/>
        </w:rPr>
        <w:lastRenderedPageBreak/>
        <w:t>Após o desenvolvimento dos ovócitos por estímulo hormonal, ocorre um evento central para o ciclo reprodutivo, a </w:t>
      </w:r>
      <w:r w:rsidRPr="00CE6936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ovulação</w:t>
      </w:r>
      <w:r w:rsidRPr="00CE6936">
        <w:rPr>
          <w:rFonts w:ascii="Roboto" w:eastAsia="Times New Roman" w:hAnsi="Roboto" w:cs="Times New Roman"/>
          <w:sz w:val="29"/>
          <w:szCs w:val="29"/>
          <w:lang w:eastAsia="pt-BR"/>
        </w:rPr>
        <w:t>.</w:t>
      </w:r>
    </w:p>
    <w:p w14:paraId="3AD5B2FB" w14:textId="77777777" w:rsidR="00CE6936" w:rsidRPr="00CE6936" w:rsidRDefault="00CE6936" w:rsidP="00CE6936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sz w:val="29"/>
          <w:szCs w:val="29"/>
          <w:lang w:eastAsia="pt-BR"/>
        </w:rPr>
      </w:pPr>
      <w:r w:rsidRPr="00CE6936">
        <w:rPr>
          <w:rFonts w:ascii="Roboto" w:eastAsia="Times New Roman" w:hAnsi="Roboto" w:cs="Times New Roman"/>
          <w:sz w:val="29"/>
          <w:szCs w:val="29"/>
          <w:lang w:eastAsia="pt-BR"/>
        </w:rPr>
        <w:t>A ovulação consiste na </w:t>
      </w:r>
      <w:r w:rsidRPr="00CE6936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expulsão do ovócito secundário do folículo</w:t>
      </w:r>
      <w:r w:rsidRPr="00CE6936">
        <w:rPr>
          <w:rFonts w:ascii="Roboto" w:eastAsia="Times New Roman" w:hAnsi="Roboto" w:cs="Times New Roman"/>
          <w:sz w:val="29"/>
          <w:szCs w:val="29"/>
          <w:lang w:eastAsia="pt-BR"/>
        </w:rPr>
        <w:t> e pode ser comparada a um processo inflamatório devido à presença de histaminas e prostaglandinas, conhecidamente mediadores da inflamação.</w:t>
      </w:r>
    </w:p>
    <w:p w14:paraId="33402AD7" w14:textId="77777777" w:rsidR="00CE6936" w:rsidRPr="00CE6936" w:rsidRDefault="00CE6936" w:rsidP="00CE6936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sz w:val="29"/>
          <w:szCs w:val="29"/>
          <w:lang w:eastAsia="pt-BR"/>
        </w:rPr>
      </w:pPr>
      <w:r w:rsidRPr="00CE6936">
        <w:rPr>
          <w:rFonts w:ascii="Roboto" w:eastAsia="Times New Roman" w:hAnsi="Roboto" w:cs="Times New Roman"/>
          <w:sz w:val="29"/>
          <w:szCs w:val="29"/>
          <w:lang w:eastAsia="pt-BR"/>
        </w:rPr>
        <w:t>A </w:t>
      </w:r>
      <w:r w:rsidRPr="00CE6936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inflamação</w:t>
      </w:r>
      <w:r w:rsidRPr="00CE6936">
        <w:rPr>
          <w:rFonts w:ascii="Roboto" w:eastAsia="Times New Roman" w:hAnsi="Roboto" w:cs="Times New Roman"/>
          <w:sz w:val="29"/>
          <w:szCs w:val="29"/>
          <w:lang w:eastAsia="pt-BR"/>
        </w:rPr>
        <w:t> (do latim </w:t>
      </w:r>
      <w:r w:rsidRPr="00CE6936">
        <w:rPr>
          <w:rFonts w:ascii="Roboto" w:eastAsia="Times New Roman" w:hAnsi="Roboto" w:cs="Times New Roman"/>
          <w:i/>
          <w:iCs/>
          <w:sz w:val="29"/>
          <w:szCs w:val="29"/>
          <w:lang w:eastAsia="pt-BR"/>
        </w:rPr>
        <w:t>inflammatio</w:t>
      </w:r>
      <w:r w:rsidRPr="00CE6936">
        <w:rPr>
          <w:rFonts w:ascii="Roboto" w:eastAsia="Times New Roman" w:hAnsi="Roboto" w:cs="Times New Roman"/>
          <w:sz w:val="29"/>
          <w:szCs w:val="29"/>
          <w:lang w:eastAsia="pt-BR"/>
        </w:rPr>
        <w:t> = </w:t>
      </w:r>
      <w:r w:rsidRPr="00CE6936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atear fogo</w:t>
      </w:r>
      <w:r w:rsidRPr="00CE6936">
        <w:rPr>
          <w:rFonts w:ascii="Roboto" w:eastAsia="Times New Roman" w:hAnsi="Roboto" w:cs="Times New Roman"/>
          <w:sz w:val="29"/>
          <w:szCs w:val="29"/>
          <w:lang w:eastAsia="pt-BR"/>
        </w:rPr>
        <w:t>) é uma reação do organismo a </w:t>
      </w:r>
      <w:r w:rsidRPr="00CE6936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infecções ou lesões teciduais</w:t>
      </w:r>
      <w:r w:rsidRPr="00CE6936">
        <w:rPr>
          <w:rFonts w:ascii="Roboto" w:eastAsia="Times New Roman" w:hAnsi="Roboto" w:cs="Times New Roman"/>
          <w:sz w:val="29"/>
          <w:szCs w:val="29"/>
          <w:lang w:eastAsia="pt-BR"/>
        </w:rPr>
        <w:t> cujos cinco pilares são: </w:t>
      </w:r>
      <w:r w:rsidRPr="00CE6936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calor, rubor</w:t>
      </w:r>
      <w:r w:rsidRPr="00CE6936">
        <w:rPr>
          <w:rFonts w:ascii="Roboto" w:eastAsia="Times New Roman" w:hAnsi="Roboto" w:cs="Times New Roman"/>
          <w:sz w:val="29"/>
          <w:szCs w:val="29"/>
          <w:lang w:eastAsia="pt-BR"/>
        </w:rPr>
        <w:t> (vermelhidão), </w:t>
      </w:r>
      <w:r w:rsidRPr="00CE6936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tumor</w:t>
      </w:r>
      <w:r w:rsidRPr="00CE6936">
        <w:rPr>
          <w:rFonts w:ascii="Roboto" w:eastAsia="Times New Roman" w:hAnsi="Roboto" w:cs="Times New Roman"/>
          <w:sz w:val="29"/>
          <w:szCs w:val="29"/>
          <w:lang w:eastAsia="pt-BR"/>
        </w:rPr>
        <w:t> (inchaço), </w:t>
      </w:r>
      <w:r w:rsidRPr="00CE6936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dor</w:t>
      </w:r>
      <w:r w:rsidRPr="00CE6936">
        <w:rPr>
          <w:rFonts w:ascii="Roboto" w:eastAsia="Times New Roman" w:hAnsi="Roboto" w:cs="Times New Roman"/>
          <w:sz w:val="29"/>
          <w:szCs w:val="29"/>
          <w:lang w:eastAsia="pt-BR"/>
        </w:rPr>
        <w:t> e </w:t>
      </w:r>
      <w:r w:rsidRPr="00CE6936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perda de função</w:t>
      </w:r>
      <w:r w:rsidRPr="00CE6936">
        <w:rPr>
          <w:rFonts w:ascii="Roboto" w:eastAsia="Times New Roman" w:hAnsi="Roboto" w:cs="Times New Roman"/>
          <w:sz w:val="29"/>
          <w:szCs w:val="29"/>
          <w:lang w:eastAsia="pt-BR"/>
        </w:rPr>
        <w:t> (para o caso de respostas inflamatórias não reguladas).</w:t>
      </w:r>
    </w:p>
    <w:p w14:paraId="3FB843E9" w14:textId="77777777" w:rsidR="00CE6936" w:rsidRPr="00CE6936" w:rsidRDefault="00CE6936" w:rsidP="00CE6936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sz w:val="29"/>
          <w:szCs w:val="29"/>
          <w:lang w:eastAsia="pt-BR"/>
        </w:rPr>
      </w:pPr>
      <w:r w:rsidRPr="00CE6936">
        <w:rPr>
          <w:rFonts w:ascii="Roboto" w:eastAsia="Times New Roman" w:hAnsi="Roboto" w:cs="Times New Roman"/>
          <w:sz w:val="29"/>
          <w:szCs w:val="29"/>
          <w:lang w:eastAsia="pt-BR"/>
        </w:rPr>
        <w:t>Poucas horas após o surto hormonal, o folículo torna-se mais </w:t>
      </w:r>
      <w:r w:rsidRPr="00CE6936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vascularizado</w:t>
      </w:r>
      <w:r w:rsidRPr="00CE6936">
        <w:rPr>
          <w:rFonts w:ascii="Roboto" w:eastAsia="Times New Roman" w:hAnsi="Roboto" w:cs="Times New Roman"/>
          <w:sz w:val="29"/>
          <w:szCs w:val="29"/>
          <w:lang w:eastAsia="pt-BR"/>
        </w:rPr>
        <w:t> (tem maior aporto de sangue) e mais </w:t>
      </w:r>
      <w:r w:rsidRPr="00CE6936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edemaciado</w:t>
      </w:r>
      <w:r w:rsidRPr="00CE6936">
        <w:rPr>
          <w:rFonts w:ascii="Roboto" w:eastAsia="Times New Roman" w:hAnsi="Roboto" w:cs="Times New Roman"/>
          <w:sz w:val="29"/>
          <w:szCs w:val="29"/>
          <w:lang w:eastAsia="pt-BR"/>
        </w:rPr>
        <w:t> (avermelhado) em relação aos folículos não responsivos.</w:t>
      </w:r>
    </w:p>
    <w:p w14:paraId="1B121844" w14:textId="77777777" w:rsidR="00CE6936" w:rsidRPr="00CE6936" w:rsidRDefault="00CE6936" w:rsidP="00CE6936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sz w:val="29"/>
          <w:szCs w:val="29"/>
          <w:lang w:eastAsia="pt-BR"/>
        </w:rPr>
      </w:pPr>
      <w:r w:rsidRPr="00CE6936">
        <w:rPr>
          <w:rFonts w:ascii="Roboto" w:eastAsia="Times New Roman" w:hAnsi="Roboto" w:cs="Times New Roman"/>
          <w:sz w:val="29"/>
          <w:szCs w:val="29"/>
          <w:lang w:eastAsia="pt-BR"/>
        </w:rPr>
        <w:t>Próximo ao momento da ovulação, o folículo é deslocado para a superfície do ovário e a sua parede se afina, formando uma protuberância, denominada </w:t>
      </w:r>
      <w:r w:rsidRPr="00CE6936">
        <w:rPr>
          <w:rFonts w:ascii="Roboto" w:eastAsia="Times New Roman" w:hAnsi="Roboto" w:cs="Times New Roman"/>
          <w:b/>
          <w:bCs/>
          <w:sz w:val="29"/>
          <w:szCs w:val="29"/>
          <w:lang w:eastAsia="pt-BR"/>
        </w:rPr>
        <w:t>estigma</w:t>
      </w:r>
      <w:r w:rsidRPr="00CE6936">
        <w:rPr>
          <w:rFonts w:ascii="Roboto" w:eastAsia="Times New Roman" w:hAnsi="Roboto" w:cs="Times New Roman"/>
          <w:sz w:val="29"/>
          <w:szCs w:val="29"/>
          <w:lang w:eastAsia="pt-BR"/>
        </w:rPr>
        <w:t>, cujo formato se assemelha a um mamilo.</w:t>
      </w:r>
    </w:p>
    <w:p w14:paraId="20399B48" w14:textId="45F4F63B" w:rsidR="00CE6936" w:rsidRPr="00CE6936" w:rsidRDefault="00CE6936" w:rsidP="00CE6936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CE6936">
        <w:rPr>
          <w:rFonts w:ascii="Lato" w:eastAsia="Times New Roman" w:hAnsi="Lato" w:cs="Times New Roman"/>
          <w:noProof/>
          <w:color w:val="212529"/>
          <w:sz w:val="24"/>
          <w:szCs w:val="24"/>
          <w:lang w:eastAsia="pt-BR"/>
        </w:rPr>
        <w:drawing>
          <wp:inline distT="0" distB="0" distL="0" distR="0" wp14:anchorId="5F386255" wp14:editId="412BBCC0">
            <wp:extent cx="5400040" cy="3645535"/>
            <wp:effectExtent l="0" t="0" r="0" b="0"/>
            <wp:docPr id="24" name="Imagem 2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6936"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t>Desenvolvimento folicular e ovulação.</w:t>
      </w:r>
    </w:p>
    <w:p w14:paraId="5D06E3EF" w14:textId="625ACBD7" w:rsidR="00CE6936" w:rsidRPr="00CE6936" w:rsidRDefault="00CE6936" w:rsidP="00CE6936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CE6936">
        <w:rPr>
          <w:rFonts w:ascii="Lato" w:eastAsia="Times New Roman" w:hAnsi="Lato" w:cs="Times New Roman"/>
          <w:noProof/>
          <w:color w:val="212529"/>
          <w:sz w:val="24"/>
          <w:szCs w:val="24"/>
          <w:lang w:eastAsia="pt-BR"/>
        </w:rPr>
        <w:lastRenderedPageBreak/>
        <w:drawing>
          <wp:inline distT="0" distB="0" distL="0" distR="0" wp14:anchorId="112142C7" wp14:editId="2130A5F1">
            <wp:extent cx="5186680" cy="3389630"/>
            <wp:effectExtent l="0" t="0" r="0" b="1270"/>
            <wp:docPr id="23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6936"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t>Captação do ovócito pelo movimento das fímbrias.</w:t>
      </w:r>
    </w:p>
    <w:p w14:paraId="6C632C4D" w14:textId="77777777" w:rsidR="00CE6936" w:rsidRPr="00CE6936" w:rsidRDefault="00CE6936" w:rsidP="00CE6936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A liberação efetiva do ovócito ocorre mediada pela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tensão das células musculares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sobre o folículo, associada à liberação de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enzimas degradadoras de colágeno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que provoca, no local, a ruptura do folículo. O ovócito, então, é lentamente liberado do ovário, circundado por células foliculares (</w:t>
      </w:r>
      <w:r w:rsidRPr="00CE6936">
        <w:rPr>
          <w:rFonts w:ascii="Roboto" w:eastAsia="Times New Roman" w:hAnsi="Roboto" w:cs="Times New Roman"/>
          <w:i/>
          <w:iCs/>
          <w:color w:val="212529"/>
          <w:sz w:val="29"/>
          <w:szCs w:val="29"/>
          <w:lang w:eastAsia="pt-BR"/>
        </w:rPr>
        <w:t>cumulus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) e uma matriz de ácido hialurônico, sendo ativamente retirado da superfície do ovário pelo movimento sincronizado das fímbrias da parede do oviduto em direção à tuba uterina, onde fica viável por aproximadamente 24 horas.</w:t>
      </w:r>
    </w:p>
    <w:p w14:paraId="33A77611" w14:textId="77777777" w:rsidR="00CE6936" w:rsidRPr="00CE6936" w:rsidRDefault="00CE6936" w:rsidP="00CE6936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Após a ovulação, no espaço ocupado previamente pelo folículo é formado o corpo lúteo (ou amarelo), que tem papel importante na produção de progesterona e na preparação do útero uma possível fecundação. Se não ocorre fecundação, o corpo lúteo involui e degenera em 10 a 12 dias após a ovulação, sendo chamado de corpo lúteo da menstruação. Posteriormente, o corpo lúteo é transformado em uma cicatriz branca no ovário, conhecida como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corpo </w:t>
      </w:r>
      <w:r w:rsidRPr="00CE6936">
        <w:rPr>
          <w:rFonts w:ascii="Roboto" w:eastAsia="Times New Roman" w:hAnsi="Roboto" w:cs="Times New Roman"/>
          <w:b/>
          <w:bCs/>
          <w:i/>
          <w:iCs/>
          <w:color w:val="212529"/>
          <w:sz w:val="29"/>
          <w:szCs w:val="29"/>
          <w:lang w:eastAsia="pt-BR"/>
        </w:rPr>
        <w:t>albicans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. Assim, o corpo </w:t>
      </w:r>
      <w:r w:rsidRPr="00CE6936">
        <w:rPr>
          <w:rFonts w:ascii="Roboto" w:eastAsia="Times New Roman" w:hAnsi="Roboto" w:cs="Times New Roman"/>
          <w:i/>
          <w:iCs/>
          <w:color w:val="212529"/>
          <w:sz w:val="29"/>
          <w:szCs w:val="29"/>
          <w:lang w:eastAsia="pt-BR"/>
        </w:rPr>
        <w:t>albicans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representa corpos lúteos anteriores que sofreram involução.</w:t>
      </w:r>
    </w:p>
    <w:p w14:paraId="3A6939D3" w14:textId="77777777" w:rsidR="00CE6936" w:rsidRPr="00CE6936" w:rsidRDefault="00CE6936" w:rsidP="00CE6936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Além disso, os níveis de progesterona e estrogênio caem e o endométrio entra na fase isquêmica. A isquemia é a redução do suprimento sanguíneo, que ocorre quando as artérias chamadas </w:t>
      </w:r>
      <w:r w:rsidRPr="00CE6936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espiraldas</w:t>
      </w:r>
      <w:r w:rsidRPr="00CE6936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se contraem, resultando em constrição, necrose (morte) nos tecidos superficiais e ruptura das paredes dos vasos lesados, e o sangue penetra no tecido conjuntivo adjacente. Pequenos lagos de sangue se formam e se rompem na superfície endometrial, resultando em sangramento pela cavidade uterina através da vagina.</w:t>
      </w:r>
    </w:p>
    <w:p w14:paraId="71DC30B6" w14:textId="7417D915" w:rsidR="00CE6936" w:rsidRPr="00CE6936" w:rsidRDefault="00CE6936" w:rsidP="00CE6936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sz w:val="24"/>
          <w:szCs w:val="24"/>
          <w:lang w:eastAsia="pt-BR"/>
        </w:rPr>
      </w:pPr>
      <w:r w:rsidRPr="00CE6936">
        <w:rPr>
          <w:rFonts w:ascii="Lato" w:eastAsia="Times New Roman" w:hAnsi="Lato" w:cs="Times New Roman"/>
          <w:noProof/>
          <w:color w:val="212529"/>
          <w:sz w:val="24"/>
          <w:szCs w:val="24"/>
          <w:lang w:eastAsia="pt-BR"/>
        </w:rPr>
        <w:lastRenderedPageBreak/>
        <w:drawing>
          <wp:inline distT="0" distB="0" distL="0" distR="0" wp14:anchorId="440B9559" wp14:editId="6CDCF7B5">
            <wp:extent cx="3704590" cy="7031355"/>
            <wp:effectExtent l="0" t="0" r="0" b="0"/>
            <wp:docPr id="22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6936"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t xml:space="preserve">Diagrama esquemático </w:t>
      </w:r>
      <w:r w:rsidRPr="00CE6936">
        <w:rPr>
          <w:rFonts w:ascii="Lato" w:eastAsia="Times New Roman" w:hAnsi="Lato" w:cs="Times New Roman"/>
          <w:sz w:val="24"/>
          <w:szCs w:val="24"/>
          <w:lang w:eastAsia="pt-BR"/>
        </w:rPr>
        <w:t>do suprimento sanguíneo arterial para o endométrio do útero.</w:t>
      </w:r>
    </w:p>
    <w:p w14:paraId="2745A6E3" w14:textId="77777777" w:rsidR="00CE6936" w:rsidRPr="00CE6936" w:rsidRDefault="00CE6936" w:rsidP="00CE6936">
      <w:pPr>
        <w:shd w:val="clear" w:color="auto" w:fill="FFFFFF"/>
        <w:spacing w:before="120" w:after="100" w:afterAutospacing="1" w:line="240" w:lineRule="auto"/>
        <w:outlineLvl w:val="2"/>
        <w:rPr>
          <w:rFonts w:ascii="Times New Roman" w:eastAsia="Times New Roman" w:hAnsi="Times New Roman" w:cs="Times New Roman"/>
          <w:sz w:val="36"/>
          <w:szCs w:val="36"/>
          <w:lang w:eastAsia="pt-BR"/>
        </w:rPr>
      </w:pPr>
      <w:r w:rsidRPr="00CE6936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Saiba mais</w:t>
      </w:r>
    </w:p>
    <w:p w14:paraId="3620142E" w14:textId="77777777" w:rsidR="00CE6936" w:rsidRPr="00CE6936" w:rsidRDefault="00CE6936" w:rsidP="00CE6936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29"/>
          <w:szCs w:val="29"/>
          <w:lang w:eastAsia="pt-BR"/>
        </w:rPr>
      </w:pPr>
      <w:r w:rsidRPr="00CE6936">
        <w:rPr>
          <w:rFonts w:ascii="Roboto" w:eastAsia="Times New Roman" w:hAnsi="Roboto" w:cs="Times New Roman"/>
          <w:sz w:val="29"/>
          <w:szCs w:val="29"/>
          <w:lang w:eastAsia="pt-BR"/>
        </w:rPr>
        <w:t>As duas camadas do endométrio, o estrato basal e o estrato funcional, são supridas por ramos da artéria uterina. As artérias espiraladas, localizadas na interface entre essas duas camadas, degeneram-se e regeneram-se durante o ciclo menstrual.</w:t>
      </w:r>
    </w:p>
    <w:p w14:paraId="0547C9A3" w14:textId="3F73C8B5" w:rsidR="00EA56AA" w:rsidRDefault="00EA56AA"/>
    <w:p w14:paraId="57E79DB2" w14:textId="6B999C9D" w:rsidR="001B722C" w:rsidRDefault="001B722C"/>
    <w:p w14:paraId="4BB7E779" w14:textId="77777777" w:rsidR="00CC33B6" w:rsidRDefault="00CC33B6" w:rsidP="001B722C">
      <w:pPr>
        <w:shd w:val="clear" w:color="auto" w:fill="FFFFFF"/>
        <w:spacing w:before="330" w:after="330" w:line="264" w:lineRule="atLeast"/>
        <w:outlineLvl w:val="0"/>
        <w:rPr>
          <w:rFonts w:ascii="Times New Roman" w:eastAsia="Times New Roman" w:hAnsi="Times New Roman" w:cs="Times New Roman"/>
          <w:b/>
          <w:bCs/>
          <w:caps/>
          <w:color w:val="444444"/>
          <w:spacing w:val="5"/>
          <w:kern w:val="36"/>
          <w:sz w:val="48"/>
          <w:szCs w:val="48"/>
          <w:lang w:eastAsia="pt-BR"/>
        </w:rPr>
      </w:pPr>
    </w:p>
    <w:p w14:paraId="1E347EFC" w14:textId="3A28D674" w:rsidR="001B722C" w:rsidRPr="001B722C" w:rsidRDefault="001B722C" w:rsidP="001B722C">
      <w:pPr>
        <w:shd w:val="clear" w:color="auto" w:fill="FFFFFF"/>
        <w:spacing w:before="330" w:after="330" w:line="264" w:lineRule="atLeast"/>
        <w:outlineLvl w:val="0"/>
        <w:rPr>
          <w:rFonts w:ascii="Times New Roman" w:eastAsia="Times New Roman" w:hAnsi="Times New Roman" w:cs="Times New Roman"/>
          <w:b/>
          <w:bCs/>
          <w:caps/>
          <w:color w:val="444444"/>
          <w:spacing w:val="5"/>
          <w:kern w:val="36"/>
          <w:sz w:val="48"/>
          <w:szCs w:val="48"/>
          <w:lang w:eastAsia="pt-BR"/>
        </w:rPr>
      </w:pPr>
      <w:r w:rsidRPr="001B722C">
        <w:rPr>
          <w:rFonts w:ascii="Times New Roman" w:eastAsia="Times New Roman" w:hAnsi="Times New Roman" w:cs="Times New Roman"/>
          <w:b/>
          <w:bCs/>
          <w:caps/>
          <w:color w:val="444444"/>
          <w:spacing w:val="5"/>
          <w:kern w:val="36"/>
          <w:sz w:val="48"/>
          <w:szCs w:val="48"/>
          <w:lang w:eastAsia="pt-BR"/>
        </w:rPr>
        <w:lastRenderedPageBreak/>
        <w:t>CONTRACEPÇÃO</w:t>
      </w:r>
    </w:p>
    <w:p w14:paraId="5EF85599" w14:textId="77777777" w:rsidR="001B722C" w:rsidRPr="001B722C" w:rsidRDefault="001B722C" w:rsidP="001B722C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1B722C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A </w:t>
      </w:r>
      <w:r w:rsidRPr="001B722C">
        <w:rPr>
          <w:rFonts w:ascii="Roboto" w:eastAsia="Times New Roman" w:hAnsi="Roboto" w:cs="Times New Roman"/>
          <w:b/>
          <w:bCs/>
          <w:color w:val="212529"/>
          <w:sz w:val="29"/>
          <w:szCs w:val="29"/>
          <w:u w:val="single"/>
          <w:lang w:eastAsia="pt-BR"/>
        </w:rPr>
        <w:t>contracepção</w:t>
      </w:r>
      <w:r w:rsidRPr="001B722C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é o conjunto de métodos pelos quais podemos evitar uma concepção indesejada. Todos os seus métodos têm sido de importância central para o </w:t>
      </w:r>
      <w:r w:rsidRPr="001B722C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planejamento familiar</w:t>
      </w:r>
      <w:r w:rsidRPr="001B722C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e na medicina da família.</w:t>
      </w:r>
    </w:p>
    <w:p w14:paraId="77F8B66E" w14:textId="77777777" w:rsidR="001B722C" w:rsidRPr="001B722C" w:rsidRDefault="001B722C" w:rsidP="001B722C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1B722C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Classicamente, temos alguns métodos mais utilizados, tais como:</w:t>
      </w:r>
    </w:p>
    <w:p w14:paraId="1B7B90BA" w14:textId="49F2FCEC" w:rsidR="001B722C" w:rsidRPr="001B722C" w:rsidRDefault="001B722C" w:rsidP="001B722C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1B722C">
        <w:rPr>
          <w:rFonts w:ascii="Roboto" w:eastAsia="Times New Roman" w:hAnsi="Roboto" w:cs="Times New Roman"/>
          <w:noProof/>
          <w:color w:val="212529"/>
          <w:sz w:val="29"/>
          <w:szCs w:val="29"/>
          <w:lang w:eastAsia="pt-BR"/>
        </w:rPr>
        <w:drawing>
          <wp:inline distT="0" distB="0" distL="0" distR="0" wp14:anchorId="4EF56E34" wp14:editId="7D79EFD7">
            <wp:extent cx="3815080" cy="337375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DF4C" w14:textId="77777777" w:rsidR="001B722C" w:rsidRPr="001B722C" w:rsidRDefault="001B722C" w:rsidP="001B722C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1B722C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Barreiras contraceptivas que impedem que o espermatozoide alcance o ovócito</w:t>
      </w:r>
      <w:r w:rsidRPr="001B722C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tais como </w:t>
      </w:r>
      <w:r w:rsidRPr="001B722C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os preservativos</w:t>
      </w:r>
      <w:r w:rsidRPr="001B722C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masculino e feminino, além do </w:t>
      </w:r>
      <w:r w:rsidRPr="001B722C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diafragma</w:t>
      </w:r>
      <w:r w:rsidRPr="001B722C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que podem ser combinados com géis espermicidas. O uso dos preservativos também ajuda a </w:t>
      </w:r>
      <w:r w:rsidRPr="001B722C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prevenir as infecções sexualmente transmissíveis</w:t>
      </w:r>
      <w:r w:rsidRPr="001B722C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(IST).</w:t>
      </w:r>
    </w:p>
    <w:p w14:paraId="3B625B80" w14:textId="77777777" w:rsidR="001B722C" w:rsidRPr="001B722C" w:rsidRDefault="00962442" w:rsidP="001B722C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pict w14:anchorId="3891AF56">
          <v:rect id="_x0000_i1026" style="width:0;height:0" o:hralign="center" o:hrstd="t" o:hr="t" fillcolor="#a0a0a0" stroked="f"/>
        </w:pict>
      </w:r>
    </w:p>
    <w:p w14:paraId="475CFEC3" w14:textId="77777777" w:rsidR="001B722C" w:rsidRPr="001B722C" w:rsidRDefault="001B722C" w:rsidP="001B722C">
      <w:pPr>
        <w:shd w:val="clear" w:color="auto" w:fill="FFFFFF"/>
        <w:spacing w:after="330" w:line="240" w:lineRule="auto"/>
        <w:jc w:val="right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1B722C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As </w:t>
      </w:r>
      <w:r w:rsidRPr="001B722C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pílulas contraceptivas</w:t>
      </w:r>
      <w:r w:rsidRPr="001B722C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por sua vez, são capazes de prevenir a ovulação, inibindo a secreção pela hipófise dos hormônios gonadotróficos, o hormônio folículo estimulante (FSH) e o hormônio luteinizante (LH). As pílulas mais recentes podem utilizar, ainda, análogos de progesterona como a </w:t>
      </w:r>
      <w:r w:rsidRPr="001B722C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progestina</w:t>
      </w:r>
      <w:r w:rsidRPr="001B722C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.</w:t>
      </w:r>
    </w:p>
    <w:p w14:paraId="55A660B2" w14:textId="609B7FD0" w:rsidR="001B722C" w:rsidRPr="001B722C" w:rsidRDefault="001B722C" w:rsidP="001B722C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1B722C">
        <w:rPr>
          <w:rFonts w:ascii="Roboto" w:eastAsia="Times New Roman" w:hAnsi="Roboto" w:cs="Times New Roman"/>
          <w:noProof/>
          <w:color w:val="212529"/>
          <w:sz w:val="29"/>
          <w:szCs w:val="29"/>
          <w:lang w:eastAsia="pt-BR"/>
        </w:rPr>
        <w:lastRenderedPageBreak/>
        <w:drawing>
          <wp:inline distT="0" distB="0" distL="0" distR="0" wp14:anchorId="4800460A" wp14:editId="4D4EBC52">
            <wp:extent cx="3815080" cy="337375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86F0B" w14:textId="77777777" w:rsidR="001B722C" w:rsidRPr="001B722C" w:rsidRDefault="00962442" w:rsidP="001B722C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pict w14:anchorId="4D8BD8A1">
          <v:rect id="_x0000_i1027" style="width:0;height:0" o:hralign="center" o:hrstd="t" o:hr="t" fillcolor="#a0a0a0" stroked="f"/>
        </w:pict>
      </w:r>
    </w:p>
    <w:p w14:paraId="0C28E5CC" w14:textId="35C66386" w:rsidR="001B722C" w:rsidRPr="001B722C" w:rsidRDefault="001B722C" w:rsidP="001B722C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1B722C">
        <w:rPr>
          <w:rFonts w:ascii="Roboto" w:eastAsia="Times New Roman" w:hAnsi="Roboto" w:cs="Times New Roman"/>
          <w:noProof/>
          <w:color w:val="212529"/>
          <w:sz w:val="29"/>
          <w:szCs w:val="29"/>
          <w:lang w:eastAsia="pt-BR"/>
        </w:rPr>
        <w:drawing>
          <wp:inline distT="0" distB="0" distL="0" distR="0" wp14:anchorId="09028104" wp14:editId="57E98CAB">
            <wp:extent cx="3815080" cy="337375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46CB3" w14:textId="77777777" w:rsidR="001B722C" w:rsidRPr="001B722C" w:rsidRDefault="001B722C" w:rsidP="001B722C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1B722C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Ainda dentro dos métodos mais populares, temos as </w:t>
      </w:r>
      <w:r w:rsidRPr="001B722C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fontes injetadas ou implantadas</w:t>
      </w:r>
      <w:r w:rsidRPr="001B722C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. Podemos injetar formulações, como o acetato de medroxiprogesterona, que liberam níveis antiovultórios de hormônios por cerca de dois ou três meses. O principal método implantado é o </w:t>
      </w:r>
      <w:r w:rsidRPr="001B722C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dispositivo intrauterino (DIU)</w:t>
      </w:r>
      <w:r w:rsidRPr="001B722C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que contém progesterona e emite níveis baixos do hormônio por um período de um a quatro anos.</w:t>
      </w:r>
    </w:p>
    <w:p w14:paraId="7CCABB3B" w14:textId="77777777" w:rsidR="001B722C" w:rsidRPr="001B722C" w:rsidRDefault="001B722C" w:rsidP="001B722C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1B722C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Há ainda </w:t>
      </w:r>
      <w:r w:rsidRPr="001B722C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métodos cirúrgicos</w:t>
      </w:r>
      <w:r w:rsidRPr="001B722C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nos quais as vias de liberação e transportes dos gametas são interrompidas cirurgicamente, impedindo a fertilização, como podemos observar na figura a seguir:</w:t>
      </w:r>
    </w:p>
    <w:p w14:paraId="087DCD15" w14:textId="77777777" w:rsidR="001B722C" w:rsidRPr="001B722C" w:rsidRDefault="001B722C" w:rsidP="001B722C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1B722C"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lastRenderedPageBreak/>
        <w:t>Clique nas barras para ver as informações.</w:t>
      </w:r>
    </w:p>
    <w:p w14:paraId="5D3161D7" w14:textId="77777777" w:rsidR="001B722C" w:rsidRPr="001B722C" w:rsidRDefault="001B722C" w:rsidP="001B722C">
      <w:pPr>
        <w:shd w:val="clear" w:color="auto" w:fill="FFFFFF"/>
        <w:spacing w:after="0" w:line="264" w:lineRule="atLeast"/>
        <w:jc w:val="center"/>
        <w:outlineLvl w:val="0"/>
        <w:rPr>
          <w:rFonts w:ascii="Times New Roman" w:eastAsia="Times New Roman" w:hAnsi="Times New Roman" w:cs="Times New Roman"/>
          <w:b/>
          <w:bCs/>
          <w:caps/>
          <w:color w:val="212529"/>
          <w:spacing w:val="5"/>
          <w:kern w:val="36"/>
          <w:sz w:val="32"/>
          <w:szCs w:val="32"/>
          <w:lang w:eastAsia="pt-BR"/>
        </w:rPr>
      </w:pPr>
      <w:r w:rsidRPr="001B722C">
        <w:rPr>
          <w:rFonts w:ascii="Times New Roman" w:eastAsia="Times New Roman" w:hAnsi="Times New Roman" w:cs="Times New Roman"/>
          <w:b/>
          <w:bCs/>
          <w:caps/>
          <w:color w:val="212529"/>
          <w:spacing w:val="5"/>
          <w:kern w:val="36"/>
          <w:sz w:val="32"/>
          <w:szCs w:val="32"/>
          <w:lang w:eastAsia="pt-BR"/>
        </w:rPr>
        <w:t>VASECTOMIA</w:t>
      </w:r>
    </w:p>
    <w:p w14:paraId="4A834C52" w14:textId="2DCDB382" w:rsidR="001B722C" w:rsidRPr="001B722C" w:rsidRDefault="001B722C" w:rsidP="00E94D57">
      <w:pPr>
        <w:shd w:val="clear" w:color="auto" w:fill="EEEEEE"/>
        <w:spacing w:after="0" w:line="240" w:lineRule="auto"/>
        <w:ind w:left="-851" w:right="-852"/>
        <w:jc w:val="center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1B722C">
        <w:rPr>
          <w:rFonts w:ascii="Lato" w:eastAsia="Times New Roman" w:hAnsi="Lato" w:cs="Times New Roman"/>
          <w:noProof/>
          <w:color w:val="212529"/>
          <w:sz w:val="24"/>
          <w:szCs w:val="24"/>
          <w:lang w:eastAsia="pt-BR"/>
        </w:rPr>
        <w:drawing>
          <wp:inline distT="0" distB="0" distL="0" distR="0" wp14:anchorId="401C38D7" wp14:editId="1B0F1CB9">
            <wp:extent cx="5400040" cy="3593465"/>
            <wp:effectExtent l="0" t="0" r="0" b="6985"/>
            <wp:docPr id="30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722C"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t>Vasectomia.</w:t>
      </w:r>
    </w:p>
    <w:p w14:paraId="2A13D01D" w14:textId="77777777" w:rsidR="001B722C" w:rsidRPr="001B722C" w:rsidRDefault="001B722C" w:rsidP="001B722C">
      <w:pPr>
        <w:shd w:val="clear" w:color="auto" w:fill="FFFFFF"/>
        <w:spacing w:after="0" w:line="264" w:lineRule="atLeast"/>
        <w:jc w:val="center"/>
        <w:outlineLvl w:val="0"/>
        <w:rPr>
          <w:rFonts w:ascii="Times New Roman" w:eastAsia="Times New Roman" w:hAnsi="Times New Roman" w:cs="Times New Roman"/>
          <w:b/>
          <w:bCs/>
          <w:caps/>
          <w:color w:val="212529"/>
          <w:spacing w:val="5"/>
          <w:kern w:val="36"/>
          <w:sz w:val="32"/>
          <w:szCs w:val="32"/>
          <w:lang w:eastAsia="pt-BR"/>
        </w:rPr>
      </w:pPr>
      <w:r w:rsidRPr="001B722C">
        <w:rPr>
          <w:rFonts w:ascii="Times New Roman" w:eastAsia="Times New Roman" w:hAnsi="Times New Roman" w:cs="Times New Roman"/>
          <w:b/>
          <w:bCs/>
          <w:caps/>
          <w:color w:val="212529"/>
          <w:spacing w:val="5"/>
          <w:kern w:val="36"/>
          <w:sz w:val="32"/>
          <w:szCs w:val="32"/>
          <w:lang w:eastAsia="pt-BR"/>
        </w:rPr>
        <w:t>LAQUEADURA</w:t>
      </w:r>
    </w:p>
    <w:p w14:paraId="5523B8B5" w14:textId="00AFEF71" w:rsidR="001B722C" w:rsidRPr="001B722C" w:rsidRDefault="001B722C" w:rsidP="001B722C">
      <w:pPr>
        <w:shd w:val="clear" w:color="auto" w:fill="EEEEEE"/>
        <w:spacing w:after="0" w:line="240" w:lineRule="auto"/>
        <w:jc w:val="center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1B722C">
        <w:rPr>
          <w:rFonts w:ascii="Lato" w:eastAsia="Times New Roman" w:hAnsi="Lato" w:cs="Times New Roman"/>
          <w:noProof/>
          <w:color w:val="212529"/>
          <w:sz w:val="24"/>
          <w:szCs w:val="24"/>
          <w:lang w:eastAsia="pt-BR"/>
        </w:rPr>
        <w:drawing>
          <wp:inline distT="0" distB="0" distL="0" distR="0" wp14:anchorId="15BD6766" wp14:editId="73EDB119">
            <wp:extent cx="5400040" cy="3593465"/>
            <wp:effectExtent l="0" t="0" r="0" b="6985"/>
            <wp:docPr id="29" name="Imagem 2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722C"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t>Laqueadura.</w:t>
      </w:r>
    </w:p>
    <w:p w14:paraId="5671DF3B" w14:textId="77777777" w:rsidR="001B722C" w:rsidRPr="001B722C" w:rsidRDefault="001B722C" w:rsidP="001B722C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1B722C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Para melhores resultados, recomenda-se uma associação de métodos e acompanhamento médico regular.</w:t>
      </w:r>
    </w:p>
    <w:p w14:paraId="7F1A22E6" w14:textId="77777777" w:rsidR="001B722C" w:rsidRPr="00CE6936" w:rsidRDefault="001B722C"/>
    <w:sectPr w:rsidR="001B722C" w:rsidRPr="00CE6936" w:rsidSect="000D7216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348"/>
    <w:rsid w:val="00024F51"/>
    <w:rsid w:val="000D7216"/>
    <w:rsid w:val="000E1348"/>
    <w:rsid w:val="001B722C"/>
    <w:rsid w:val="001D68F4"/>
    <w:rsid w:val="004A3421"/>
    <w:rsid w:val="004E2F78"/>
    <w:rsid w:val="00607C9B"/>
    <w:rsid w:val="006D3669"/>
    <w:rsid w:val="007725CA"/>
    <w:rsid w:val="007C543A"/>
    <w:rsid w:val="00850CED"/>
    <w:rsid w:val="00962442"/>
    <w:rsid w:val="00CC33B6"/>
    <w:rsid w:val="00CE6936"/>
    <w:rsid w:val="00D01A2D"/>
    <w:rsid w:val="00E94D57"/>
    <w:rsid w:val="00EA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5F45C41B"/>
  <w15:chartTrackingRefBased/>
  <w15:docId w15:val="{500070B0-32C2-4BAD-AED9-B029C5382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7725C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7725C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725C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7725CA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customStyle="1" w:styleId="textprimarylight">
    <w:name w:val="text_primary_light"/>
    <w:basedOn w:val="Normal"/>
    <w:rsid w:val="007725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7725C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725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-white">
    <w:name w:val="text-white"/>
    <w:basedOn w:val="Normal"/>
    <w:rsid w:val="007725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pl-2">
    <w:name w:val="pl-2"/>
    <w:basedOn w:val="Fontepargpadro"/>
    <w:rsid w:val="007725CA"/>
  </w:style>
  <w:style w:type="paragraph" w:customStyle="1" w:styleId="text-light">
    <w:name w:val="text-light"/>
    <w:basedOn w:val="Normal"/>
    <w:rsid w:val="004A34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CE6936"/>
    <w:rPr>
      <w:i/>
      <w:iCs/>
    </w:rPr>
  </w:style>
  <w:style w:type="paragraph" w:customStyle="1" w:styleId="text-center">
    <w:name w:val="text-center"/>
    <w:basedOn w:val="Normal"/>
    <w:rsid w:val="001B72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9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56312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0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57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4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8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2257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03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254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09228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42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137145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305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94321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72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44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37071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9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36228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13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7351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5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51366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7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28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185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EE2E6"/>
                                <w:left w:val="single" w:sz="6" w:space="0" w:color="DEE2E6"/>
                                <w:bottom w:val="single" w:sz="6" w:space="0" w:color="DEE2E6"/>
                                <w:right w:val="single" w:sz="6" w:space="0" w:color="DEE2E6"/>
                              </w:divBdr>
                              <w:divsChild>
                                <w:div w:id="651258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165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843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008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EE2E6"/>
                                <w:left w:val="single" w:sz="6" w:space="0" w:color="DEE2E6"/>
                                <w:bottom w:val="single" w:sz="6" w:space="0" w:color="DEE2E6"/>
                                <w:right w:val="single" w:sz="6" w:space="0" w:color="DEE2E6"/>
                              </w:divBdr>
                              <w:divsChild>
                                <w:div w:id="1494250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272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65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858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EE2E6"/>
                                <w:left w:val="single" w:sz="6" w:space="0" w:color="DEE2E6"/>
                                <w:bottom w:val="single" w:sz="6" w:space="0" w:color="DEE2E6"/>
                                <w:right w:val="single" w:sz="6" w:space="0" w:color="DEE2E6"/>
                              </w:divBdr>
                              <w:divsChild>
                                <w:div w:id="52430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987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73647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2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86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70147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98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647143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66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4840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0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26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75285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43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1558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07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5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286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06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028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74767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47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69701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29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78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94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545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89176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65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0185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88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93071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03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1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3053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36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70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142356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232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83639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84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88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15433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86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98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231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8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644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851336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6011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4174009">
                                                  <w:marLeft w:val="-225"/>
                                                  <w:marRight w:val="-22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81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07590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37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91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2054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25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15986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7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1651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52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57034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85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02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58327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78640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12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70862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15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87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020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182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959656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191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017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3963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4799762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2923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592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5816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994584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4263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8855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7593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786993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790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4586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671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42080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9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5905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492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698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0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42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909702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094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445115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664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0495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4316276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719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6961516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907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325285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1422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6579921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385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199793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10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4803108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933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2842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623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7578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8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10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05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51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2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6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15" w:color="CCCCCC"/>
                        <w:bottom w:val="single" w:sz="6" w:space="0" w:color="CCCCCC"/>
                        <w:right w:val="single" w:sz="6" w:space="15" w:color="CCCCCC"/>
                      </w:divBdr>
                      <w:divsChild>
                        <w:div w:id="388580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891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732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497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847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17374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15" w:color="CCCCCC"/>
                        <w:bottom w:val="single" w:sz="6" w:space="0" w:color="CCCCCC"/>
                        <w:right w:val="single" w:sz="6" w:space="15" w:color="CCCCCC"/>
                      </w:divBdr>
                      <w:divsChild>
                        <w:div w:id="201367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43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6611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516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915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02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1103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7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70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1301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79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62087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01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30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8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45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2181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7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10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194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79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5168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26181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5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58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5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EE2E6"/>
                            <w:left w:val="single" w:sz="6" w:space="0" w:color="DEE2E6"/>
                            <w:bottom w:val="single" w:sz="6" w:space="0" w:color="DEE2E6"/>
                            <w:right w:val="single" w:sz="6" w:space="0" w:color="DEE2E6"/>
                          </w:divBdr>
                        </w:div>
                      </w:divsChild>
                    </w:div>
                  </w:divsChild>
                </w:div>
                <w:div w:id="212129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657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EE2E6"/>
                            <w:left w:val="single" w:sz="6" w:space="0" w:color="DEE2E6"/>
                            <w:bottom w:val="single" w:sz="6" w:space="0" w:color="DEE2E6"/>
                            <w:right w:val="single" w:sz="6" w:space="0" w:color="DEE2E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13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593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2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8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61854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36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142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23314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0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99029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0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37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84262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86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268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51977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45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82746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00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41423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279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08701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95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45936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588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217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84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95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4556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4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74638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489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5461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76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31630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389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269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EE2E6"/>
                            <w:left w:val="single" w:sz="6" w:space="0" w:color="DEE2E6"/>
                            <w:bottom w:val="single" w:sz="6" w:space="0" w:color="DEE2E6"/>
                            <w:right w:val="single" w:sz="6" w:space="0" w:color="DEE2E6"/>
                          </w:divBdr>
                          <w:divsChild>
                            <w:div w:id="1020397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514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20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66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EE2E6"/>
                            <w:left w:val="single" w:sz="6" w:space="0" w:color="DEE2E6"/>
                            <w:bottom w:val="single" w:sz="6" w:space="0" w:color="DEE2E6"/>
                            <w:right w:val="single" w:sz="6" w:space="0" w:color="DEE2E6"/>
                          </w:divBdr>
                          <w:divsChild>
                            <w:div w:id="141335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939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97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19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EE2E6"/>
                            <w:left w:val="single" w:sz="6" w:space="0" w:color="DEE2E6"/>
                            <w:bottom w:val="single" w:sz="6" w:space="0" w:color="DEE2E6"/>
                            <w:right w:val="single" w:sz="6" w:space="0" w:color="DEE2E6"/>
                          </w:divBdr>
                          <w:divsChild>
                            <w:div w:id="179675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849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70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383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EE2E6"/>
                            <w:left w:val="single" w:sz="6" w:space="0" w:color="DEE2E6"/>
                            <w:bottom w:val="single" w:sz="6" w:space="0" w:color="DEE2E6"/>
                            <w:right w:val="single" w:sz="6" w:space="0" w:color="DEE2E6"/>
                          </w:divBdr>
                          <w:divsChild>
                            <w:div w:id="1950580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228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41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799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EE2E6"/>
                            <w:left w:val="single" w:sz="6" w:space="0" w:color="DEE2E6"/>
                            <w:bottom w:val="single" w:sz="6" w:space="0" w:color="DEE2E6"/>
                            <w:right w:val="single" w:sz="6" w:space="0" w:color="DEE2E6"/>
                          </w:divBdr>
                          <w:divsChild>
                            <w:div w:id="142236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1425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95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19143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69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704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93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82150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12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05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663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16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0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3984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5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85973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95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0415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59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2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54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4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8075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2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8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1298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30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96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3202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35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78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82849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92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544682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618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3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66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25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961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4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637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1202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462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71887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yperlink" Target="javascript:void(0)" TargetMode="External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javascript:void(0)" TargetMode="External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7.jpe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hyperlink" Target="javascript:void(0)" TargetMode="External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25</Pages>
  <Words>3582</Words>
  <Characters>19345</Characters>
  <Application>Microsoft Office Word</Application>
  <DocSecurity>0</DocSecurity>
  <Lines>161</Lines>
  <Paragraphs>45</Paragraphs>
  <ScaleCrop>false</ScaleCrop>
  <Company/>
  <LinksUpToDate>false</LinksUpToDate>
  <CharactersWithSpaces>22882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LETÍCIA FERREIRA</dc:creator>
  <cp:keywords/>
  <dc:description/>
  <cp:lastModifiedBy>LETÍCIA FERREIRA</cp:lastModifiedBy>
  <cp:revision>15</cp:revision>
  <dcterms:created xsi:type="dcterms:W3CDTF">2022-09-19T12:36:00Z</dcterms:created>
  <dcterms:modified xsi:type="dcterms:W3CDTF">2022-09-19T13:49:00Z</dcterms:modified>
</cp:coreProperties>
</file>