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22"/>
        </w:rPr>
        <w:t>МИНИСТЕРСТВО НАУКИ И ВЫСШЕГО ОБРАЗОВАНИЯ РОССИЙСКОЙ ФЕДЕРАЦИИ</w:t>
      </w:r>
    </w:p>
    <w:p>
      <w:pPr>
        <w:spacing w:after="0"/>
        <w:jc w:val="center"/>
      </w:pPr>
      <w:r>
        <w:rPr>
          <w:rFonts w:ascii="Times New Roman" w:hAnsi="Times New Roman" w:eastAsia="Times New Roman"/>
          <w:b/>
          <w:sz w:val="22"/>
        </w:rPr>
        <w:t>ФЕДЕРАЛЬНОЕ ГОСУДАРСТВЕННОЕ БЮДЖЕТНОЕ ОБРАЗОВАТЕЛЬНОЕ</w:t>
      </w:r>
    </w:p>
    <w:p>
      <w:pPr>
        <w:spacing w:after="0"/>
        <w:jc w:val="center"/>
      </w:pPr>
      <w:r>
        <w:rPr>
          <w:rFonts w:ascii="Times New Roman" w:hAnsi="Times New Roman" w:eastAsia="Times New Roman"/>
          <w:b/>
          <w:sz w:val="22"/>
        </w:rPr>
        <w:t>УЧРЕЖДЕНИЕ ВЫСШЕГО ОБРАЗОВАНИЯ</w:t>
      </w:r>
    </w:p>
    <w:p>
      <w:pPr>
        <w:spacing w:after="0"/>
        <w:jc w:val="center"/>
      </w:pPr>
      <w:r>
        <w:rPr>
          <w:rFonts w:ascii="Times New Roman" w:hAnsi="Times New Roman" w:eastAsia="Times New Roman"/>
          <w:b/>
          <w:sz w:val="22"/>
        </w:rPr>
        <w:t>«РОССИЙСКИЙ ХИМИКО-ТЕХНОЛОГИЧЕСКИЙ УНИВЕРСИТЕТ –</w:t>
      </w:r>
    </w:p>
    <w:p>
      <w:pPr>
        <w:spacing w:after="0"/>
        <w:jc w:val="center"/>
      </w:pPr>
      <w:r>
        <w:rPr>
          <w:rFonts w:ascii="Times New Roman" w:hAnsi="Times New Roman" w:eastAsia="Times New Roman"/>
          <w:b/>
          <w:sz w:val="22"/>
        </w:rPr>
        <w:t>имени Д.И. МЕНДЕЛЕЕВА»</w:t>
      </w:r>
    </w:p>
    <w:p>
      <w:pPr>
        <w:spacing w:after="0"/>
        <w:jc w:val="center"/>
      </w:pPr>
      <w:r>
        <w:rPr>
          <w:rFonts w:ascii="Times New Roman" w:hAnsi="Times New Roman" w:eastAsia="Times New Roman"/>
          <w:b/>
          <w:sz w:val="22"/>
        </w:rPr>
        <w:t>(ФГБОУ ВО РХТУ имени Д.И. Менделеева)</w:t>
      </w:r>
    </w:p>
    <w:p/>
    <w:p>
      <w:pPr>
        <w:spacing w:after="20"/>
        <w:jc w:val="center"/>
      </w:pPr>
      <w:r>
        <w:rPr>
          <w:rFonts w:ascii="Times New Roman" w:hAnsi="Times New Roman" w:eastAsia="Times New Roman"/>
          <w:sz w:val="24"/>
        </w:rPr>
        <w:t>Факультет цифровых технологий и химического инжиниринга</w:t>
      </w:r>
    </w:p>
    <w:p>
      <w:pPr>
        <w:spacing w:after="20"/>
        <w:jc w:val="center"/>
      </w:pPr>
      <w:r>
        <w:rPr>
          <w:rFonts w:ascii="Times New Roman" w:hAnsi="Times New Roman" w:eastAsia="Times New Roman"/>
          <w:sz w:val="24"/>
        </w:rPr>
        <w:t>Кафедра логистики и экономической информатики</w:t>
      </w:r>
    </w:p>
    <w:p/>
    <w:p>
      <w:pPr>
        <w:jc w:val="center"/>
      </w:pPr>
      <w:r>
        <w:rPr>
          <w:rFonts w:ascii="Times New Roman" w:hAnsi="Times New Roman" w:eastAsia="Times New Roman"/>
          <w:sz w:val="24"/>
        </w:rPr>
        <w:t>Учебная дисциплина</w:t>
      </w:r>
    </w:p>
    <w:p>
      <w:pPr>
        <w:jc w:val="center"/>
      </w:pPr>
      <w:r>
        <w:rPr>
          <w:rFonts w:ascii="Times New Roman" w:hAnsi="Times New Roman" w:eastAsia="Times New Roman"/>
          <w:b/>
          <w:sz w:val="24"/>
        </w:rPr>
        <w:t>«Экономический анализ наукоёмких производств»</w:t>
      </w:r>
    </w:p>
    <w:p/>
    <w:p>
      <w:pPr>
        <w:spacing w:after="120"/>
        <w:jc w:val="center"/>
      </w:pPr>
      <w:r>
        <w:rPr>
          <w:rFonts w:ascii="Times New Roman" w:hAnsi="Times New Roman" w:eastAsia="Times New Roman"/>
          <w:b/>
          <w:sz w:val="28"/>
        </w:rPr>
        <w:t>ОТЧЁТ ПО ПРАКТИЧЕСКОЙ РАБОТЕ № 1</w:t>
      </w:r>
    </w:p>
    <w:p>
      <w:pPr>
        <w:spacing w:after="100"/>
        <w:jc w:val="center"/>
      </w:pPr>
      <w:r>
        <w:rPr>
          <w:rFonts w:ascii="Times New Roman" w:hAnsi="Times New Roman" w:eastAsia="Times New Roman"/>
          <w:b/>
          <w:sz w:val="28"/>
        </w:rPr>
        <w:t>«Базовая операционная модель и ресурсоёмкость High-Tech производства»</w:t>
      </w:r>
    </w:p>
    <w:p>
      <w:pPr>
        <w:jc w:val="center"/>
      </w:pPr>
      <w:r>
        <w:rPr>
          <w:rFonts w:ascii="Times New Roman" w:hAnsi="Times New Roman" w:eastAsia="Times New Roman"/>
          <w:b/>
          <w:sz w:val="24"/>
        </w:rPr>
        <w:t>Объект: пилотное производство EUV-фоторезиста</w:t>
      </w:r>
    </w:p>
    <w:p/>
    <w:p/>
    <w:p/>
    <w:tbl>
      <w:tblPr>
        <w:tblW w:type="auto" w:w="0"/>
        <w:jc w:val="center"/>
        <w:tblLayout w:type="fixed"/>
        <w:tblLook w:firstColumn="1" w:firstRow="1" w:lastColumn="0" w:lastRow="0" w:noHBand="0" w:noVBand="1" w:val="04A0"/>
      </w:tblPr>
      <w:tblGrid>
        <w:gridCol w:w="4535"/>
        <w:gridCol w:w="4535"/>
      </w:tblGrid>
      <w:tr>
        <w:trPr>
          <w:cantSplit/>
        </w:trPr>
        <w:tc>
          <w:tcPr>
            <w:tcW w:type="dxa" w:w="4819"/>
            <w:tcBorders>
              <w:top w:val="nil"/>
              <w:left w:val="nil"/>
              <w:bottom w:val="nil"/>
              <w:right w:val="nil"/>
              <w:insideH w:val="nil"/>
              <w:insideV w:val="nil"/>
            </w:tcBorders>
          </w:tcPr>
          <w:p>
            <w:r/>
          </w:p>
        </w:tc>
        <w:tc>
          <w:tcPr>
            <w:tcW w:type="dxa" w:w="4819"/>
            <w:tcBorders>
              <w:top w:val="nil"/>
              <w:left w:val="nil"/>
              <w:bottom w:val="nil"/>
              <w:right w:val="nil"/>
              <w:insideH w:val="nil"/>
              <w:insideV w:val="nil"/>
            </w:tcBorders>
          </w:tcPr>
          <w:p>
            <w:pPr>
              <w:jc w:val="left"/>
            </w:pPr>
            <w:r>
              <w:rPr>
                <w:rFonts w:ascii="Times New Roman" w:hAnsi="Times New Roman" w:eastAsia="Times New Roman"/>
                <w:b/>
                <w:sz w:val="24"/>
              </w:rPr>
              <w:t>Выполнили:</w:t>
            </w:r>
          </w:p>
          <w:p>
            <w:pPr>
              <w:jc w:val="left"/>
            </w:pPr>
            <w:r>
              <w:rPr>
                <w:rFonts w:ascii="Times New Roman" w:hAnsi="Times New Roman" w:eastAsia="Times New Roman"/>
                <w:b w:val="0"/>
                <w:sz w:val="24"/>
              </w:rPr>
              <w:t>студенты ____ курса, группа ______</w:t>
            </w:r>
          </w:p>
          <w:p>
            <w:pPr>
              <w:jc w:val="left"/>
            </w:pPr>
            <w:r>
              <w:rPr>
                <w:rFonts w:ascii="Times New Roman" w:hAnsi="Times New Roman" w:eastAsia="Times New Roman"/>
                <w:b w:val="0"/>
                <w:sz w:val="24"/>
              </w:rPr>
              <w:t>____________________________</w:t>
            </w:r>
          </w:p>
          <w:p>
            <w:pPr>
              <w:jc w:val="left"/>
            </w:pPr>
            <w:r>
              <w:rPr>
                <w:rFonts w:ascii="Times New Roman" w:hAnsi="Times New Roman" w:eastAsia="Times New Roman"/>
                <w:b w:val="0"/>
                <w:sz w:val="24"/>
              </w:rPr>
              <w:t>____________________________</w:t>
            </w:r>
          </w:p>
          <w:p>
            <w:pPr>
              <w:jc w:val="left"/>
            </w:pPr>
            <w:r>
              <w:rPr>
                <w:rFonts w:ascii="Times New Roman" w:hAnsi="Times New Roman" w:eastAsia="Times New Roman"/>
                <w:b w:val="0"/>
                <w:sz w:val="24"/>
              </w:rPr>
              <w:t>____________________________</w:t>
            </w:r>
          </w:p>
          <w:p>
            <w:pPr>
              <w:jc w:val="left"/>
            </w:pPr>
            <w:r>
              <w:rPr>
                <w:rFonts w:ascii="Times New Roman" w:hAnsi="Times New Roman" w:eastAsia="Times New Roman"/>
                <w:b w:val="0"/>
                <w:sz w:val="24"/>
              </w:rPr>
            </w:r>
          </w:p>
          <w:p>
            <w:pPr>
              <w:jc w:val="left"/>
            </w:pPr>
            <w:r>
              <w:rPr>
                <w:rFonts w:ascii="Times New Roman" w:hAnsi="Times New Roman" w:eastAsia="Times New Roman"/>
                <w:b/>
                <w:sz w:val="24"/>
              </w:rPr>
              <w:t>Проверил:</w:t>
            </w:r>
          </w:p>
          <w:p>
            <w:pPr>
              <w:jc w:val="left"/>
            </w:pPr>
            <w:r>
              <w:rPr>
                <w:rFonts w:ascii="Times New Roman" w:hAnsi="Times New Roman" w:eastAsia="Times New Roman"/>
                <w:b w:val="0"/>
                <w:sz w:val="24"/>
              </w:rPr>
              <w:t>доцент, к.т.н. Потапов Г.Г.</w:t>
            </w:r>
          </w:p>
        </w:tc>
      </w:tr>
    </w:tbl>
    <w:p/>
    <w:p>
      <w:pPr>
        <w:jc w:val="center"/>
      </w:pPr>
      <w:r>
        <w:rPr>
          <w:rFonts w:ascii="Times New Roman" w:hAnsi="Times New Roman" w:eastAsia="Times New Roman"/>
          <w:sz w:val="24"/>
        </w:rPr>
        <w:t>Москва, 2026</w:t>
      </w:r>
    </w:p>
    <w:p>
      <w:r>
        <w:br w:type="page"/>
      </w:r>
    </w:p>
    <w:p>
      <w:pPr>
        <w:pStyle w:val="Heading1"/>
        <w:spacing w:before="160" w:after="80"/>
        <w:keepNext w:val="1"/>
      </w:pPr>
      <w:r>
        <w:rPr>
          <w:rFonts w:ascii="Times New Roman" w:hAnsi="Times New Roman" w:eastAsia="Times New Roman"/>
          <w:b/>
          <w:color w:val="1F4E78"/>
          <w:sz w:val="30"/>
        </w:rPr>
        <w:t>1. Цель и задачи работы</w:t>
      </w:r>
    </w:p>
    <w:p>
      <w:pPr>
        <w:spacing w:line="276" w:lineRule="auto" w:after="80" w:before="0"/>
        <w:ind w:firstLine="709"/>
        <w:jc w:val="both"/>
      </w:pPr>
      <w:r>
        <w:rPr>
          <w:rFonts w:ascii="Times New Roman" w:hAnsi="Times New Roman" w:eastAsia="Times New Roman"/>
          <w:b w:val="0"/>
          <w:i w:val="0"/>
          <w:sz w:val="24"/>
        </w:rPr>
        <w:t>Цель работы — преобразовать физические параметры пилотного производства EUV-фоторезиста в проверяемую экономическую модель, связывающую качество выпуска, эффективность использования оборудования, ресурсоёмкость, себестоимость и экономические последствия задержки вывода продукта на рынок.</w:t>
      </w:r>
    </w:p>
    <w:p>
      <w:pPr>
        <w:spacing w:line="276" w:lineRule="auto" w:after="80" w:before="0"/>
        <w:ind w:firstLine="709"/>
        <w:jc w:val="both"/>
      </w:pPr>
      <w:r>
        <w:rPr>
          <w:rFonts w:ascii="Times New Roman" w:hAnsi="Times New Roman" w:eastAsia="Times New Roman"/>
          <w:b w:val="0"/>
          <w:i w:val="0"/>
          <w:sz w:val="24"/>
        </w:rPr>
        <w:t>Методический принцип работы построен как последовательность «Excel Ground Truth → Prompt → Python → сравнение → Harness Log → Stress Test → выводы». Excel выступает независимой и прозрачной эталонной моделью, Python — воспроизводимым расчётным контуром, а Harness Log — формализованным журналом проверки идентичности результатов.</w:t>
      </w:r>
    </w:p>
    <w:p>
      <w:pPr>
        <w:spacing w:line="276" w:lineRule="auto" w:after="80" w:before="0"/>
        <w:jc w:val="both"/>
      </w:pPr>
      <w:r>
        <w:rPr>
          <w:rFonts w:ascii="Times New Roman" w:hAnsi="Times New Roman" w:eastAsia="Times New Roman"/>
          <w:b w:val="0"/>
          <w:i w:val="0"/>
          <w:sz w:val="24"/>
        </w:rPr>
        <w:t>Для достижения поставленной цели решены следующие задачи:</w:t>
      </w:r>
    </w:p>
    <w:p>
      <w:pPr>
        <w:pStyle w:val="ListBullet"/>
        <w:spacing w:after="40" w:line="264" w:lineRule="auto"/>
      </w:pPr>
      <w:r>
        <w:rPr>
          <w:rFonts w:ascii="Times New Roman" w:hAnsi="Times New Roman" w:eastAsia="Times New Roman"/>
          <w:sz w:val="24"/>
        </w:rPr>
        <w:t>проанализированы исходные CSV-файлы базового, стрессового и сравнительного сценариев;</w:t>
      </w:r>
    </w:p>
    <w:p>
      <w:pPr>
        <w:pStyle w:val="ListBullet"/>
        <w:spacing w:after="40" w:line="264" w:lineRule="auto"/>
      </w:pPr>
      <w:r>
        <w:rPr>
          <w:rFonts w:ascii="Times New Roman" w:hAnsi="Times New Roman" w:eastAsia="Times New Roman"/>
          <w:sz w:val="24"/>
        </w:rPr>
        <w:t>рассчитаны FPY, Final Yield, Availability, Performance, Quality, OEE, Utilization, TEEP и показатели ресурсоёмкости;</w:t>
      </w:r>
    </w:p>
    <w:p>
      <w:pPr>
        <w:pStyle w:val="ListBullet"/>
        <w:spacing w:after="40" w:line="264" w:lineRule="auto"/>
      </w:pPr>
      <w:r>
        <w:rPr>
          <w:rFonts w:ascii="Times New Roman" w:hAnsi="Times New Roman" w:eastAsia="Times New Roman"/>
          <w:sz w:val="24"/>
        </w:rPr>
        <w:t>сформирована типизированная модель входных данных ProductionData и независимые Python-методы расчёта;</w:t>
      </w:r>
    </w:p>
    <w:p>
      <w:pPr>
        <w:pStyle w:val="ListBullet"/>
        <w:spacing w:after="40" w:line="264" w:lineRule="auto"/>
      </w:pPr>
      <w:r>
        <w:rPr>
          <w:rFonts w:ascii="Times New Roman" w:hAnsi="Times New Roman" w:eastAsia="Times New Roman"/>
          <w:sz w:val="24"/>
        </w:rPr>
        <w:t>создана Excel Ground Truth с формулами и выполнен фактический пересчёт книги;</w:t>
      </w:r>
    </w:p>
    <w:p>
      <w:pPr>
        <w:pStyle w:val="ListBullet"/>
        <w:spacing w:after="40" w:line="264" w:lineRule="auto"/>
      </w:pPr>
      <w:r>
        <w:rPr>
          <w:rFonts w:ascii="Times New Roman" w:hAnsi="Times New Roman" w:eastAsia="Times New Roman"/>
          <w:sz w:val="24"/>
        </w:rPr>
        <w:t>выполнено автоматизированное сравнение Python и Excel с фиксацией результатов в Harness Log;</w:t>
      </w:r>
    </w:p>
    <w:p>
      <w:pPr>
        <w:pStyle w:val="ListBullet"/>
        <w:spacing w:after="40" w:line="264" w:lineRule="auto"/>
      </w:pPr>
      <w:r>
        <w:rPr>
          <w:rFonts w:ascii="Times New Roman" w:hAnsi="Times New Roman" w:eastAsia="Times New Roman"/>
          <w:sz w:val="24"/>
        </w:rPr>
        <w:t>проведены граничные тесты, включая полный брак, идеальный завод, отрицательную стоимость сырья и проверки TTM;</w:t>
      </w:r>
    </w:p>
    <w:p>
      <w:pPr>
        <w:pStyle w:val="ListBullet"/>
        <w:spacing w:after="40" w:line="264" w:lineRule="auto"/>
      </w:pPr>
      <w:r>
        <w:rPr>
          <w:rFonts w:ascii="Times New Roman" w:hAnsi="Times New Roman" w:eastAsia="Times New Roman"/>
          <w:sz w:val="24"/>
        </w:rPr>
        <w:t>проведён экспресс-стресс-тест с падением FPY, трёхкратным ростом тарифа электроэнергии и задержкой вывода продукта;</w:t>
      </w:r>
    </w:p>
    <w:p>
      <w:pPr>
        <w:pStyle w:val="ListBullet"/>
        <w:spacing w:after="40" w:line="264" w:lineRule="auto"/>
      </w:pPr>
      <w:r>
        <w:rPr>
          <w:rFonts w:ascii="Times New Roman" w:hAnsi="Times New Roman" w:eastAsia="Times New Roman"/>
          <w:sz w:val="24"/>
        </w:rPr>
        <w:t>проанализированы структура OPEX, экономический штраф Time-to-Market, качество данных, допущения и ограничения модели.</w:t>
      </w:r>
    </w:p>
    <w:p>
      <w:pPr>
        <w:pStyle w:val="Heading1"/>
        <w:spacing w:before="160" w:after="80"/>
        <w:keepNext w:val="1"/>
      </w:pPr>
      <w:r>
        <w:rPr>
          <w:rFonts w:ascii="Times New Roman" w:hAnsi="Times New Roman" w:eastAsia="Times New Roman"/>
          <w:b/>
          <w:color w:val="1F4E78"/>
          <w:sz w:val="30"/>
        </w:rPr>
        <w:t>2. Объект исследования</w:t>
      </w:r>
    </w:p>
    <w:p>
      <w:pPr>
        <w:spacing w:line="276" w:lineRule="auto" w:after="80" w:before="0"/>
        <w:ind w:firstLine="709"/>
        <w:jc w:val="both"/>
      </w:pPr>
      <w:r>
        <w:rPr>
          <w:rFonts w:ascii="Times New Roman" w:hAnsi="Times New Roman" w:eastAsia="Times New Roman"/>
          <w:b w:val="0"/>
          <w:i w:val="0"/>
          <w:sz w:val="24"/>
        </w:rPr>
        <w:t>Объектом исследования является пилотная установка синтеза фоторезиста для EUV-литографии. В рамках методического задания объект относится к химическому High-Tech производству малого масштаба с высокой стоимостью продукции и существенной ролью качества. Исходные данные дополнительно указывают на капиталоёмкую инфраструктуру, чистые помещения, вакуумное и аналитическое оборудование, а также значительные косвенные эксплуатационные расходы.</w:t>
      </w:r>
    </w:p>
    <w:p>
      <w:pPr>
        <w:spacing w:line="276" w:lineRule="auto" w:after="80" w:before="0"/>
        <w:ind w:firstLine="709"/>
        <w:jc w:val="both"/>
      </w:pPr>
      <w:r>
        <w:rPr>
          <w:rFonts w:ascii="Times New Roman" w:hAnsi="Times New Roman" w:eastAsia="Times New Roman"/>
          <w:b w:val="0"/>
          <w:i w:val="0"/>
          <w:sz w:val="24"/>
        </w:rPr>
        <w:t>Экономическая специфика такого объекта состоит в том, что операционная эффективность и качество непосредственно влияют на стоимость годного литра продукции, а неполная календарная загрузка снижает отдачу от значительного CAPEX. Поэтому для анализа недостаточно одной итоговой себестоимости: необходимо одновременно рассматривать FPY, OEE и TEEP, структуру затрат и временной фактор вывода продукта на рынок.</w:t>
      </w:r>
    </w:p>
    <w:p>
      <w:pPr>
        <w:pStyle w:val="Heading1"/>
        <w:spacing w:before="160" w:after="80"/>
        <w:keepNext w:val="1"/>
      </w:pPr>
      <w:r>
        <w:rPr>
          <w:rFonts w:ascii="Times New Roman" w:hAnsi="Times New Roman" w:eastAsia="Times New Roman"/>
          <w:b/>
          <w:color w:val="1F4E78"/>
          <w:sz w:val="30"/>
        </w:rPr>
        <w:t>3. Исходные данные и контроль качества входа</w:t>
      </w:r>
    </w:p>
    <w:p>
      <w:pPr>
        <w:spacing w:line="276" w:lineRule="auto" w:after="80" w:before="0"/>
        <w:ind w:firstLine="709"/>
        <w:jc w:val="both"/>
      </w:pPr>
      <w:r>
        <w:rPr>
          <w:rFonts w:ascii="Times New Roman" w:hAnsi="Times New Roman" w:eastAsia="Times New Roman"/>
          <w:b w:val="0"/>
          <w:i w:val="0"/>
          <w:sz w:val="24"/>
        </w:rPr>
        <w:t>В расчёте используются три машинных источника: euv_photoresist_pilot_2026.csv — базовые параметры пилотного производства; euv_photoresist_stress_2026.csv — параметры стрессового сценария; euv_photoresist_comparison_input_2026.csv — явное сопоставление базовых и стрессовых значений. Для базового и стрессового расчёта применён одинаковый набор ключевых производственных и стоимостных параметров.</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2324"/>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6"/>
              </w:rPr>
              <w:t>Параметр</w:t>
            </w:r>
          </w:p>
        </w:tc>
        <w:tc>
          <w:tcPr>
            <w:tcW w:type="dxa" w:w="2665"/>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6"/>
              </w:rPr>
              <w:t>Техническое имя CSV</w:t>
            </w:r>
          </w:p>
        </w:tc>
        <w:tc>
          <w:tcPr>
            <w:tcW w:type="dxa" w:w="1531"/>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6"/>
              </w:rPr>
              <w:t>Базовый сценарий</w:t>
            </w:r>
          </w:p>
        </w:tc>
        <w:tc>
          <w:tcPr>
            <w:tcW w:type="dxa" w:w="1531"/>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6"/>
              </w:rPr>
              <w:t>Стрессовый сценарий</w:t>
            </w:r>
          </w:p>
        </w:tc>
        <w:tc>
          <w:tcPr>
            <w:tcW w:type="dxa" w:w="1587"/>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6"/>
              </w:rPr>
              <w:t>Единица</w:t>
            </w:r>
          </w:p>
        </w:tc>
      </w:tr>
      <w:tr>
        <w:trPr>
          <w:cantSplit/>
        </w:trPr>
        <w:tc>
          <w:tcPr>
            <w:tcW w:type="dxa" w:w="2324"/>
            <w:tcMar>
              <w:top w:w="60" w:type="dxa"/>
              <w:start w:w="60" w:type="dxa"/>
              <w:bottom w:w="60" w:type="dxa"/>
              <w:end w:w="60" w:type="dxa"/>
            </w:tcMar>
            <w:vAlign w:val="center"/>
          </w:tcPr>
          <w:p>
            <w:pPr>
              <w:spacing w:after="0" w:before="0"/>
              <w:jc w:val="left"/>
            </w:pPr>
            <w:r>
              <w:rPr>
                <w:rFonts w:ascii="Times New Roman" w:hAnsi="Times New Roman" w:eastAsia="Times New Roman"/>
                <w:sz w:val="16"/>
              </w:rPr>
              <w:t>Календарное время</w:t>
            </w:r>
          </w:p>
        </w:tc>
        <w:tc>
          <w:tcPr>
            <w:tcW w:type="dxa" w:w="2665"/>
            <w:tcMar>
              <w:top w:w="60" w:type="dxa"/>
              <w:start w:w="60" w:type="dxa"/>
              <w:bottom w:w="60" w:type="dxa"/>
              <w:end w:w="60" w:type="dxa"/>
            </w:tcMar>
            <w:vAlign w:val="center"/>
          </w:tcPr>
          <w:p>
            <w:pPr>
              <w:spacing w:after="0" w:before="0"/>
              <w:jc w:val="center"/>
            </w:pPr>
            <w:r>
              <w:rPr>
                <w:rFonts w:ascii="Times New Roman" w:hAnsi="Times New Roman" w:eastAsia="Times New Roman"/>
                <w:sz w:val="16"/>
              </w:rPr>
              <w:t>Calendar_Hours</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720</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720</w:t>
            </w:r>
          </w:p>
        </w:tc>
        <w:tc>
          <w:tcPr>
            <w:tcW w:type="dxa" w:w="1587"/>
            <w:tcMar>
              <w:top w:w="60" w:type="dxa"/>
              <w:start w:w="60" w:type="dxa"/>
              <w:bottom w:w="60" w:type="dxa"/>
              <w:end w:w="60" w:type="dxa"/>
            </w:tcMar>
            <w:vAlign w:val="center"/>
          </w:tcPr>
          <w:p>
            <w:pPr>
              <w:spacing w:after="0" w:before="0"/>
              <w:jc w:val="center"/>
            </w:pPr>
            <w:r>
              <w:rPr>
                <w:rFonts w:ascii="Times New Roman" w:hAnsi="Times New Roman" w:eastAsia="Times New Roman"/>
                <w:sz w:val="16"/>
              </w:rPr>
              <w:t>ч</w:t>
            </w:r>
          </w:p>
        </w:tc>
      </w:tr>
      <w:tr>
        <w:trPr>
          <w:cantSplit/>
        </w:trPr>
        <w:tc>
          <w:tcPr>
            <w:tcW w:type="dxa" w:w="2324"/>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6"/>
              </w:rPr>
              <w:t>Плановое время работы</w:t>
            </w:r>
          </w:p>
        </w:tc>
        <w:tc>
          <w:tcPr>
            <w:tcW w:type="dxa" w:w="2665"/>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Planned_Hours</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480</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480</w:t>
            </w:r>
          </w:p>
        </w:tc>
        <w:tc>
          <w:tcPr>
            <w:tcW w:type="dxa" w:w="158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ч</w:t>
            </w:r>
          </w:p>
        </w:tc>
      </w:tr>
      <w:tr>
        <w:trPr>
          <w:cantSplit/>
        </w:trPr>
        <w:tc>
          <w:tcPr>
            <w:tcW w:type="dxa" w:w="2324"/>
            <w:tcMar>
              <w:top w:w="60" w:type="dxa"/>
              <w:start w:w="60" w:type="dxa"/>
              <w:bottom w:w="60" w:type="dxa"/>
              <w:end w:w="60" w:type="dxa"/>
            </w:tcMar>
            <w:vAlign w:val="center"/>
          </w:tcPr>
          <w:p>
            <w:pPr>
              <w:spacing w:after="0" w:before="0"/>
              <w:jc w:val="left"/>
            </w:pPr>
            <w:r>
              <w:rPr>
                <w:rFonts w:ascii="Times New Roman" w:hAnsi="Times New Roman" w:eastAsia="Times New Roman"/>
                <w:sz w:val="16"/>
              </w:rPr>
              <w:t>Фактическое время работы</w:t>
            </w:r>
          </w:p>
        </w:tc>
        <w:tc>
          <w:tcPr>
            <w:tcW w:type="dxa" w:w="2665"/>
            <w:tcMar>
              <w:top w:w="60" w:type="dxa"/>
              <w:start w:w="60" w:type="dxa"/>
              <w:bottom w:w="60" w:type="dxa"/>
              <w:end w:w="60" w:type="dxa"/>
            </w:tcMar>
            <w:vAlign w:val="center"/>
          </w:tcPr>
          <w:p>
            <w:pPr>
              <w:spacing w:after="0" w:before="0"/>
              <w:jc w:val="center"/>
            </w:pPr>
            <w:r>
              <w:rPr>
                <w:rFonts w:ascii="Times New Roman" w:hAnsi="Times New Roman" w:eastAsia="Times New Roman"/>
                <w:sz w:val="16"/>
              </w:rPr>
              <w:t>Actual_Hours</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390</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390</w:t>
            </w:r>
          </w:p>
        </w:tc>
        <w:tc>
          <w:tcPr>
            <w:tcW w:type="dxa" w:w="1587"/>
            <w:tcMar>
              <w:top w:w="60" w:type="dxa"/>
              <w:start w:w="60" w:type="dxa"/>
              <w:bottom w:w="60" w:type="dxa"/>
              <w:end w:w="60" w:type="dxa"/>
            </w:tcMar>
            <w:vAlign w:val="center"/>
          </w:tcPr>
          <w:p>
            <w:pPr>
              <w:spacing w:after="0" w:before="0"/>
              <w:jc w:val="center"/>
            </w:pPr>
            <w:r>
              <w:rPr>
                <w:rFonts w:ascii="Times New Roman" w:hAnsi="Times New Roman" w:eastAsia="Times New Roman"/>
                <w:sz w:val="16"/>
              </w:rPr>
              <w:t>ч</w:t>
            </w:r>
          </w:p>
        </w:tc>
      </w:tr>
      <w:tr>
        <w:trPr>
          <w:cantSplit/>
        </w:trPr>
        <w:tc>
          <w:tcPr>
            <w:tcW w:type="dxa" w:w="2324"/>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6"/>
              </w:rPr>
              <w:t>Плановый выпуск</w:t>
            </w:r>
          </w:p>
        </w:tc>
        <w:tc>
          <w:tcPr>
            <w:tcW w:type="dxa" w:w="2665"/>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Target_Output</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120</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120</w:t>
            </w:r>
          </w:p>
        </w:tc>
        <w:tc>
          <w:tcPr>
            <w:tcW w:type="dxa" w:w="158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л</w:t>
            </w:r>
          </w:p>
        </w:tc>
      </w:tr>
      <w:tr>
        <w:trPr>
          <w:cantSplit/>
        </w:trPr>
        <w:tc>
          <w:tcPr>
            <w:tcW w:type="dxa" w:w="2324"/>
            <w:tcMar>
              <w:top w:w="60" w:type="dxa"/>
              <w:start w:w="60" w:type="dxa"/>
              <w:bottom w:w="60" w:type="dxa"/>
              <w:end w:w="60" w:type="dxa"/>
            </w:tcMar>
            <w:vAlign w:val="center"/>
          </w:tcPr>
          <w:p>
            <w:pPr>
              <w:spacing w:after="0" w:before="0"/>
              <w:jc w:val="left"/>
            </w:pPr>
            <w:r>
              <w:rPr>
                <w:rFonts w:ascii="Times New Roman" w:hAnsi="Times New Roman" w:eastAsia="Times New Roman"/>
                <w:sz w:val="16"/>
              </w:rPr>
              <w:t>Фактический выпуск</w:t>
            </w:r>
          </w:p>
        </w:tc>
        <w:tc>
          <w:tcPr>
            <w:tcW w:type="dxa" w:w="2665"/>
            <w:tcMar>
              <w:top w:w="60" w:type="dxa"/>
              <w:start w:w="60" w:type="dxa"/>
              <w:bottom w:w="60" w:type="dxa"/>
              <w:end w:w="60" w:type="dxa"/>
            </w:tcMar>
            <w:vAlign w:val="center"/>
          </w:tcPr>
          <w:p>
            <w:pPr>
              <w:spacing w:after="0" w:before="0"/>
              <w:jc w:val="center"/>
            </w:pPr>
            <w:r>
              <w:rPr>
                <w:rFonts w:ascii="Times New Roman" w:hAnsi="Times New Roman" w:eastAsia="Times New Roman"/>
                <w:sz w:val="16"/>
              </w:rPr>
              <w:t>Actual_Output</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95</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95</w:t>
            </w:r>
          </w:p>
        </w:tc>
        <w:tc>
          <w:tcPr>
            <w:tcW w:type="dxa" w:w="1587"/>
            <w:tcMar>
              <w:top w:w="60" w:type="dxa"/>
              <w:start w:w="60" w:type="dxa"/>
              <w:bottom w:w="60" w:type="dxa"/>
              <w:end w:w="60" w:type="dxa"/>
            </w:tcMar>
            <w:vAlign w:val="center"/>
          </w:tcPr>
          <w:p>
            <w:pPr>
              <w:spacing w:after="0" w:before="0"/>
              <w:jc w:val="center"/>
            </w:pPr>
            <w:r>
              <w:rPr>
                <w:rFonts w:ascii="Times New Roman" w:hAnsi="Times New Roman" w:eastAsia="Times New Roman"/>
                <w:sz w:val="16"/>
              </w:rPr>
              <w:t>л</w:t>
            </w:r>
          </w:p>
        </w:tc>
      </w:tr>
      <w:tr>
        <w:trPr>
          <w:cantSplit/>
        </w:trPr>
        <w:tc>
          <w:tcPr>
            <w:tcW w:type="dxa" w:w="2324"/>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6"/>
              </w:rPr>
              <w:t>Годный объём первого прохода</w:t>
            </w:r>
          </w:p>
        </w:tc>
        <w:tc>
          <w:tcPr>
            <w:tcW w:type="dxa" w:w="2665"/>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First_Pass_Good_Units</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71,25</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38</w:t>
            </w:r>
          </w:p>
        </w:tc>
        <w:tc>
          <w:tcPr>
            <w:tcW w:type="dxa" w:w="158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л</w:t>
            </w:r>
          </w:p>
        </w:tc>
      </w:tr>
      <w:tr>
        <w:trPr>
          <w:cantSplit/>
        </w:trPr>
        <w:tc>
          <w:tcPr>
            <w:tcW w:type="dxa" w:w="2324"/>
            <w:tcMar>
              <w:top w:w="60" w:type="dxa"/>
              <w:start w:w="60" w:type="dxa"/>
              <w:bottom w:w="60" w:type="dxa"/>
              <w:end w:w="60" w:type="dxa"/>
            </w:tcMar>
            <w:vAlign w:val="center"/>
          </w:tcPr>
          <w:p>
            <w:pPr>
              <w:spacing w:after="0" w:before="0"/>
              <w:jc w:val="left"/>
            </w:pPr>
            <w:r>
              <w:rPr>
                <w:rFonts w:ascii="Times New Roman" w:hAnsi="Times New Roman" w:eastAsia="Times New Roman"/>
                <w:sz w:val="16"/>
              </w:rPr>
              <w:t>Итоговый годный объём</w:t>
            </w:r>
          </w:p>
        </w:tc>
        <w:tc>
          <w:tcPr>
            <w:tcW w:type="dxa" w:w="2665"/>
            <w:tcMar>
              <w:top w:w="60" w:type="dxa"/>
              <w:start w:w="60" w:type="dxa"/>
              <w:bottom w:w="60" w:type="dxa"/>
              <w:end w:w="60" w:type="dxa"/>
            </w:tcMar>
            <w:vAlign w:val="center"/>
          </w:tcPr>
          <w:p>
            <w:pPr>
              <w:spacing w:after="0" w:before="0"/>
              <w:jc w:val="center"/>
            </w:pPr>
            <w:r>
              <w:rPr>
                <w:rFonts w:ascii="Times New Roman" w:hAnsi="Times New Roman" w:eastAsia="Times New Roman"/>
                <w:sz w:val="16"/>
              </w:rPr>
              <w:t>Final_Good_Units</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80,75</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80,75</w:t>
            </w:r>
          </w:p>
        </w:tc>
        <w:tc>
          <w:tcPr>
            <w:tcW w:type="dxa" w:w="1587"/>
            <w:tcMar>
              <w:top w:w="60" w:type="dxa"/>
              <w:start w:w="60" w:type="dxa"/>
              <w:bottom w:w="60" w:type="dxa"/>
              <w:end w:w="60" w:type="dxa"/>
            </w:tcMar>
            <w:vAlign w:val="center"/>
          </w:tcPr>
          <w:p>
            <w:pPr>
              <w:spacing w:after="0" w:before="0"/>
              <w:jc w:val="center"/>
            </w:pPr>
            <w:r>
              <w:rPr>
                <w:rFonts w:ascii="Times New Roman" w:hAnsi="Times New Roman" w:eastAsia="Times New Roman"/>
                <w:sz w:val="16"/>
              </w:rPr>
              <w:t>л</w:t>
            </w:r>
          </w:p>
        </w:tc>
      </w:tr>
      <w:tr>
        <w:trPr>
          <w:cantSplit/>
        </w:trPr>
        <w:tc>
          <w:tcPr>
            <w:tcW w:type="dxa" w:w="2324"/>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6"/>
              </w:rPr>
              <w:t>Затраты на сырьё</w:t>
            </w:r>
          </w:p>
        </w:tc>
        <w:tc>
          <w:tcPr>
            <w:tcW w:type="dxa" w:w="2665"/>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Raw_Material_Cost</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240 000</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240 000</w:t>
            </w:r>
          </w:p>
        </w:tc>
        <w:tc>
          <w:tcPr>
            <w:tcW w:type="dxa" w:w="158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долл. США</w:t>
            </w:r>
          </w:p>
        </w:tc>
      </w:tr>
      <w:tr>
        <w:trPr>
          <w:cantSplit/>
        </w:trPr>
        <w:tc>
          <w:tcPr>
            <w:tcW w:type="dxa" w:w="2324"/>
            <w:tcMar>
              <w:top w:w="60" w:type="dxa"/>
              <w:start w:w="60" w:type="dxa"/>
              <w:bottom w:w="60" w:type="dxa"/>
              <w:end w:w="60" w:type="dxa"/>
            </w:tcMar>
            <w:vAlign w:val="center"/>
          </w:tcPr>
          <w:p>
            <w:pPr>
              <w:spacing w:after="0" w:before="0"/>
              <w:jc w:val="left"/>
            </w:pPr>
            <w:r>
              <w:rPr>
                <w:rFonts w:ascii="Times New Roman" w:hAnsi="Times New Roman" w:eastAsia="Times New Roman"/>
                <w:sz w:val="16"/>
              </w:rPr>
              <w:t>Потребление электроэнергии</w:t>
            </w:r>
          </w:p>
        </w:tc>
        <w:tc>
          <w:tcPr>
            <w:tcW w:type="dxa" w:w="2665"/>
            <w:tcMar>
              <w:top w:w="60" w:type="dxa"/>
              <w:start w:w="60" w:type="dxa"/>
              <w:bottom w:w="60" w:type="dxa"/>
              <w:end w:w="60" w:type="dxa"/>
            </w:tcMar>
            <w:vAlign w:val="center"/>
          </w:tcPr>
          <w:p>
            <w:pPr>
              <w:spacing w:after="0" w:before="0"/>
              <w:jc w:val="center"/>
            </w:pPr>
            <w:r>
              <w:rPr>
                <w:rFonts w:ascii="Times New Roman" w:hAnsi="Times New Roman" w:eastAsia="Times New Roman"/>
                <w:sz w:val="16"/>
              </w:rPr>
              <w:t>Energy_kWh</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115 000</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115 000</w:t>
            </w:r>
          </w:p>
        </w:tc>
        <w:tc>
          <w:tcPr>
            <w:tcW w:type="dxa" w:w="1587"/>
            <w:tcMar>
              <w:top w:w="60" w:type="dxa"/>
              <w:start w:w="60" w:type="dxa"/>
              <w:bottom w:w="60" w:type="dxa"/>
              <w:end w:w="60" w:type="dxa"/>
            </w:tcMar>
            <w:vAlign w:val="center"/>
          </w:tcPr>
          <w:p>
            <w:pPr>
              <w:spacing w:after="0" w:before="0"/>
              <w:jc w:val="center"/>
            </w:pPr>
            <w:r>
              <w:rPr>
                <w:rFonts w:ascii="Times New Roman" w:hAnsi="Times New Roman" w:eastAsia="Times New Roman"/>
                <w:sz w:val="16"/>
              </w:rPr>
              <w:t>кВт·ч</w:t>
            </w:r>
          </w:p>
        </w:tc>
      </w:tr>
      <w:tr>
        <w:trPr>
          <w:cantSplit/>
        </w:trPr>
        <w:tc>
          <w:tcPr>
            <w:tcW w:type="dxa" w:w="2324"/>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6"/>
              </w:rPr>
              <w:t>Тариф на электроэнергию</w:t>
            </w:r>
          </w:p>
        </w:tc>
        <w:tc>
          <w:tcPr>
            <w:tcW w:type="dxa" w:w="2665"/>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Energy_Cost_Rate</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0,22</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0,66</w:t>
            </w:r>
          </w:p>
        </w:tc>
        <w:tc>
          <w:tcPr>
            <w:tcW w:type="dxa" w:w="158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долл. США/кВт·ч</w:t>
            </w:r>
          </w:p>
        </w:tc>
      </w:tr>
      <w:tr>
        <w:trPr>
          <w:cantSplit/>
        </w:trPr>
        <w:tc>
          <w:tcPr>
            <w:tcW w:type="dxa" w:w="2324"/>
            <w:tcMar>
              <w:top w:w="60" w:type="dxa"/>
              <w:start w:w="60" w:type="dxa"/>
              <w:bottom w:w="60" w:type="dxa"/>
              <w:end w:w="60" w:type="dxa"/>
            </w:tcMar>
            <w:vAlign w:val="center"/>
          </w:tcPr>
          <w:p>
            <w:pPr>
              <w:spacing w:after="0" w:before="0"/>
              <w:jc w:val="left"/>
            </w:pPr>
            <w:r>
              <w:rPr>
                <w:rFonts w:ascii="Times New Roman" w:hAnsi="Times New Roman" w:eastAsia="Times New Roman"/>
                <w:sz w:val="16"/>
              </w:rPr>
              <w:t>Капитальная стоимость оборудования</w:t>
            </w:r>
          </w:p>
        </w:tc>
        <w:tc>
          <w:tcPr>
            <w:tcW w:type="dxa" w:w="2665"/>
            <w:tcMar>
              <w:top w:w="60" w:type="dxa"/>
              <w:start w:w="60" w:type="dxa"/>
              <w:bottom w:w="60" w:type="dxa"/>
              <w:end w:w="60" w:type="dxa"/>
            </w:tcMar>
            <w:vAlign w:val="center"/>
          </w:tcPr>
          <w:p>
            <w:pPr>
              <w:spacing w:after="0" w:before="0"/>
              <w:jc w:val="center"/>
            </w:pPr>
            <w:r>
              <w:rPr>
                <w:rFonts w:ascii="Times New Roman" w:hAnsi="Times New Roman" w:eastAsia="Times New Roman"/>
                <w:sz w:val="16"/>
              </w:rPr>
              <w:t>Equipment_CAPEX</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28 000 000</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28 000 000</w:t>
            </w:r>
          </w:p>
        </w:tc>
        <w:tc>
          <w:tcPr>
            <w:tcW w:type="dxa" w:w="1587"/>
            <w:tcMar>
              <w:top w:w="60" w:type="dxa"/>
              <w:start w:w="60" w:type="dxa"/>
              <w:bottom w:w="60" w:type="dxa"/>
              <w:end w:w="60" w:type="dxa"/>
            </w:tcMar>
            <w:vAlign w:val="center"/>
          </w:tcPr>
          <w:p>
            <w:pPr>
              <w:spacing w:after="0" w:before="0"/>
              <w:jc w:val="center"/>
            </w:pPr>
            <w:r>
              <w:rPr>
                <w:rFonts w:ascii="Times New Roman" w:hAnsi="Times New Roman" w:eastAsia="Times New Roman"/>
                <w:sz w:val="16"/>
              </w:rPr>
              <w:t>долл. США</w:t>
            </w:r>
          </w:p>
        </w:tc>
      </w:tr>
      <w:tr>
        <w:trPr>
          <w:cantSplit/>
        </w:trPr>
        <w:tc>
          <w:tcPr>
            <w:tcW w:type="dxa" w:w="2324"/>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6"/>
              </w:rPr>
              <w:t>Экономический срок амортизации</w:t>
            </w:r>
          </w:p>
        </w:tc>
        <w:tc>
          <w:tcPr>
            <w:tcW w:type="dxa" w:w="2665"/>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Amortization_Years_Economic</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3</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3</w:t>
            </w:r>
          </w:p>
        </w:tc>
        <w:tc>
          <w:tcPr>
            <w:tcW w:type="dxa" w:w="158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лет</w:t>
            </w:r>
          </w:p>
        </w:tc>
      </w:tr>
      <w:tr>
        <w:trPr>
          <w:cantSplit/>
        </w:trPr>
        <w:tc>
          <w:tcPr>
            <w:tcW w:type="dxa" w:w="2324"/>
            <w:tcMar>
              <w:top w:w="60" w:type="dxa"/>
              <w:start w:w="60" w:type="dxa"/>
              <w:bottom w:w="60" w:type="dxa"/>
              <w:end w:w="60" w:type="dxa"/>
            </w:tcMar>
            <w:vAlign w:val="center"/>
          </w:tcPr>
          <w:p>
            <w:pPr>
              <w:spacing w:after="0" w:before="0"/>
              <w:jc w:val="left"/>
            </w:pPr>
            <w:r>
              <w:rPr>
                <w:rFonts w:ascii="Times New Roman" w:hAnsi="Times New Roman" w:eastAsia="Times New Roman"/>
                <w:sz w:val="16"/>
              </w:rPr>
              <w:t>Накладные операционные расходы</w:t>
            </w:r>
          </w:p>
        </w:tc>
        <w:tc>
          <w:tcPr>
            <w:tcW w:type="dxa" w:w="2665"/>
            <w:tcMar>
              <w:top w:w="60" w:type="dxa"/>
              <w:start w:w="60" w:type="dxa"/>
              <w:bottom w:w="60" w:type="dxa"/>
              <w:end w:w="60" w:type="dxa"/>
            </w:tcMar>
            <w:vAlign w:val="center"/>
          </w:tcPr>
          <w:p>
            <w:pPr>
              <w:spacing w:after="0" w:before="0"/>
              <w:jc w:val="center"/>
            </w:pPr>
            <w:r>
              <w:rPr>
                <w:rFonts w:ascii="Times New Roman" w:hAnsi="Times New Roman" w:eastAsia="Times New Roman"/>
                <w:sz w:val="16"/>
              </w:rPr>
              <w:t>OPEX_Overhead</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145 000</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145 000</w:t>
            </w:r>
          </w:p>
        </w:tc>
        <w:tc>
          <w:tcPr>
            <w:tcW w:type="dxa" w:w="1587"/>
            <w:tcMar>
              <w:top w:w="60" w:type="dxa"/>
              <w:start w:w="60" w:type="dxa"/>
              <w:bottom w:w="60" w:type="dxa"/>
              <w:end w:w="60" w:type="dxa"/>
            </w:tcMar>
            <w:vAlign w:val="center"/>
          </w:tcPr>
          <w:p>
            <w:pPr>
              <w:spacing w:after="0" w:before="0"/>
              <w:jc w:val="center"/>
            </w:pPr>
            <w:r>
              <w:rPr>
                <w:rFonts w:ascii="Times New Roman" w:hAnsi="Times New Roman" w:eastAsia="Times New Roman"/>
                <w:sz w:val="16"/>
              </w:rPr>
              <w:t>долл. США/месяц</w:t>
            </w:r>
          </w:p>
        </w:tc>
      </w:tr>
      <w:tr>
        <w:trPr>
          <w:cantSplit/>
        </w:trPr>
        <w:tc>
          <w:tcPr>
            <w:tcW w:type="dxa" w:w="2324"/>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6"/>
              </w:rPr>
              <w:t>Задержка вывода на рынок</w:t>
            </w:r>
          </w:p>
        </w:tc>
        <w:tc>
          <w:tcPr>
            <w:tcW w:type="dxa" w:w="2665"/>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Delay_Years</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0,5</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0,5</w:t>
            </w:r>
          </w:p>
        </w:tc>
        <w:tc>
          <w:tcPr>
            <w:tcW w:type="dxa" w:w="158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лет</w:t>
            </w:r>
          </w:p>
        </w:tc>
      </w:tr>
      <w:tr>
        <w:trPr>
          <w:cantSplit/>
        </w:trPr>
        <w:tc>
          <w:tcPr>
            <w:tcW w:type="dxa" w:w="2324"/>
            <w:tcMar>
              <w:top w:w="60" w:type="dxa"/>
              <w:start w:w="60" w:type="dxa"/>
              <w:bottom w:w="60" w:type="dxa"/>
              <w:end w:w="60" w:type="dxa"/>
            </w:tcMar>
            <w:vAlign w:val="center"/>
          </w:tcPr>
          <w:p>
            <w:pPr>
              <w:spacing w:after="0" w:before="0"/>
              <w:jc w:val="left"/>
            </w:pPr>
            <w:r>
              <w:rPr>
                <w:rFonts w:ascii="Times New Roman" w:hAnsi="Times New Roman" w:eastAsia="Times New Roman"/>
                <w:sz w:val="16"/>
              </w:rPr>
              <w:t>Ставка дисконтирования</w:t>
            </w:r>
          </w:p>
        </w:tc>
        <w:tc>
          <w:tcPr>
            <w:tcW w:type="dxa" w:w="2665"/>
            <w:tcMar>
              <w:top w:w="60" w:type="dxa"/>
              <w:start w:w="60" w:type="dxa"/>
              <w:bottom w:w="60" w:type="dxa"/>
              <w:end w:w="60" w:type="dxa"/>
            </w:tcMar>
            <w:vAlign w:val="center"/>
          </w:tcPr>
          <w:p>
            <w:pPr>
              <w:spacing w:after="0" w:before="0"/>
              <w:jc w:val="center"/>
            </w:pPr>
            <w:r>
              <w:rPr>
                <w:rFonts w:ascii="Times New Roman" w:hAnsi="Times New Roman" w:eastAsia="Times New Roman"/>
                <w:sz w:val="16"/>
              </w:rPr>
              <w:t>Discount_Rate</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12,00 %</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12,00 %</w:t>
            </w:r>
          </w:p>
        </w:tc>
        <w:tc>
          <w:tcPr>
            <w:tcW w:type="dxa" w:w="1587"/>
            <w:tcMar>
              <w:top w:w="60" w:type="dxa"/>
              <w:start w:w="60" w:type="dxa"/>
              <w:bottom w:w="60" w:type="dxa"/>
              <w:end w:w="60" w:type="dxa"/>
            </w:tcMar>
            <w:vAlign w:val="center"/>
          </w:tcPr>
          <w:p>
            <w:pPr>
              <w:spacing w:after="0" w:before="0"/>
              <w:jc w:val="center"/>
            </w:pPr>
            <w:r>
              <w:rPr>
                <w:rFonts w:ascii="Times New Roman" w:hAnsi="Times New Roman" w:eastAsia="Times New Roman"/>
                <w:sz w:val="16"/>
              </w:rPr>
              <w:t>доля</w:t>
            </w:r>
          </w:p>
        </w:tc>
      </w:tr>
      <w:tr>
        <w:trPr>
          <w:cantSplit/>
        </w:trPr>
        <w:tc>
          <w:tcPr>
            <w:tcW w:type="dxa" w:w="2324"/>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6"/>
              </w:rPr>
              <w:t>Темп ценовой эрозии</w:t>
            </w:r>
          </w:p>
        </w:tc>
        <w:tc>
          <w:tcPr>
            <w:tcW w:type="dxa" w:w="2665"/>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Price_Erosion_Rate</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18,00 %</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18,00 %</w:t>
            </w:r>
          </w:p>
        </w:tc>
        <w:tc>
          <w:tcPr>
            <w:tcW w:type="dxa" w:w="158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доля</w:t>
            </w:r>
          </w:p>
        </w:tc>
      </w:tr>
      <w:tr>
        <w:trPr>
          <w:cantSplit/>
        </w:trPr>
        <w:tc>
          <w:tcPr>
            <w:tcW w:type="dxa" w:w="2324"/>
            <w:tcMar>
              <w:top w:w="60" w:type="dxa"/>
              <w:start w:w="60" w:type="dxa"/>
              <w:bottom w:w="60" w:type="dxa"/>
              <w:end w:w="60" w:type="dxa"/>
            </w:tcMar>
            <w:vAlign w:val="center"/>
          </w:tcPr>
          <w:p>
            <w:pPr>
              <w:spacing w:after="0" w:before="0"/>
              <w:jc w:val="left"/>
            </w:pPr>
            <w:r>
              <w:rPr>
                <w:rFonts w:ascii="Times New Roman" w:hAnsi="Times New Roman" w:eastAsia="Times New Roman"/>
                <w:sz w:val="16"/>
              </w:rPr>
              <w:t>Рыночный горизонт</w:t>
            </w:r>
          </w:p>
        </w:tc>
        <w:tc>
          <w:tcPr>
            <w:tcW w:type="dxa" w:w="2665"/>
            <w:tcMar>
              <w:top w:w="60" w:type="dxa"/>
              <w:start w:w="60" w:type="dxa"/>
              <w:bottom w:w="60" w:type="dxa"/>
              <w:end w:w="60" w:type="dxa"/>
            </w:tcMar>
            <w:vAlign w:val="center"/>
          </w:tcPr>
          <w:p>
            <w:pPr>
              <w:spacing w:after="0" w:before="0"/>
              <w:jc w:val="center"/>
            </w:pPr>
            <w:r>
              <w:rPr>
                <w:rFonts w:ascii="Times New Roman" w:hAnsi="Times New Roman" w:eastAsia="Times New Roman"/>
                <w:sz w:val="16"/>
              </w:rPr>
              <w:t>Market_Horizon</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3</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6"/>
              </w:rPr>
              <w:t>3</w:t>
            </w:r>
          </w:p>
        </w:tc>
        <w:tc>
          <w:tcPr>
            <w:tcW w:type="dxa" w:w="1587"/>
            <w:tcMar>
              <w:top w:w="60" w:type="dxa"/>
              <w:start w:w="60" w:type="dxa"/>
              <w:bottom w:w="60" w:type="dxa"/>
              <w:end w:w="60" w:type="dxa"/>
            </w:tcMar>
            <w:vAlign w:val="center"/>
          </w:tcPr>
          <w:p>
            <w:pPr>
              <w:spacing w:after="0" w:before="0"/>
              <w:jc w:val="center"/>
            </w:pPr>
            <w:r>
              <w:rPr>
                <w:rFonts w:ascii="Times New Roman" w:hAnsi="Times New Roman" w:eastAsia="Times New Roman"/>
                <w:sz w:val="16"/>
              </w:rPr>
              <w:t>лет</w:t>
            </w:r>
          </w:p>
        </w:tc>
      </w:tr>
      <w:tr>
        <w:trPr>
          <w:cantSplit/>
        </w:trPr>
        <w:tc>
          <w:tcPr>
            <w:tcW w:type="dxa" w:w="2324"/>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6"/>
              </w:rPr>
              <w:t>Открытость рыночного окна</w:t>
            </w:r>
          </w:p>
        </w:tc>
        <w:tc>
          <w:tcPr>
            <w:tcW w:type="dxa" w:w="2665"/>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Market_Window_Open</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Открыто (1)</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Открыто (1)</w:t>
            </w:r>
          </w:p>
        </w:tc>
        <w:tc>
          <w:tcPr>
            <w:tcW w:type="dxa" w:w="158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0 или 1</w:t>
            </w:r>
          </w:p>
        </w:tc>
      </w:tr>
    </w:tbl>
    <w:p>
      <w:pPr>
        <w:spacing w:after="20"/>
      </w:pPr>
    </w:p>
    <w:p>
      <w:pPr>
        <w:spacing w:after="100" w:line="240" w:lineRule="auto"/>
        <w:ind w:left="283" w:right="283"/>
      </w:pPr>
      <w:r>
        <w:rPr>
          <w:rFonts w:ascii="Times New Roman" w:hAnsi="Times New Roman" w:eastAsia="Times New Roman"/>
          <w:i/>
          <w:color w:val="555555"/>
          <w:sz w:val="20"/>
        </w:rPr>
        <w:t>Источник: исходные CSV-файлы практической работы. В сравнительном CSV отдельно подтверждены три ключевых воздействия stress-сценария: тариф электроэнергии ×3, FPY 75 % → 40 % и Delay_Years 0 → 0,5 года.</w:t>
      </w:r>
    </w:p>
    <w:p>
      <w:pPr>
        <w:pStyle w:val="Heading1"/>
        <w:spacing w:before="160" w:after="80"/>
        <w:keepNext w:val="1"/>
      </w:pPr>
      <w:r>
        <w:rPr>
          <w:rFonts w:ascii="Times New Roman" w:hAnsi="Times New Roman" w:eastAsia="Times New Roman"/>
          <w:b/>
          <w:color w:val="1F4E78"/>
          <w:sz w:val="30"/>
        </w:rPr>
        <w:t>4. Архитектура расчётного решения</w:t>
      </w:r>
    </w:p>
    <w:p>
      <w:pPr>
        <w:spacing w:line="276" w:lineRule="auto" w:after="80" w:before="0"/>
        <w:ind w:firstLine="709"/>
        <w:jc w:val="both"/>
      </w:pPr>
      <w:r>
        <w:rPr>
          <w:rFonts w:ascii="Times New Roman" w:hAnsi="Times New Roman" w:eastAsia="Times New Roman"/>
          <w:b w:val="0"/>
          <w:i w:val="0"/>
          <w:sz w:val="24"/>
        </w:rPr>
        <w:t>Расчётная архитектура разделяет входные данные, расчётную логику, независимую Excel-модель и верификацию. Это снижает риск скрытого совпадения результатов из-за использования одной и той же формулы или одного и того же расчётного объекта.</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794"/>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8"/>
              </w:rPr>
              <w:t>Этап</w:t>
            </w:r>
          </w:p>
        </w:tc>
        <w:tc>
          <w:tcPr>
            <w:tcW w:type="dxa" w:w="3742"/>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8"/>
              </w:rPr>
              <w:t>Поток</w:t>
            </w:r>
          </w:p>
        </w:tc>
        <w:tc>
          <w:tcPr>
            <w:tcW w:type="dxa" w:w="5102"/>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8"/>
              </w:rPr>
              <w:t>Назначение</w:t>
            </w:r>
          </w:p>
        </w:tc>
      </w:tr>
      <w:tr>
        <w:trPr>
          <w:cantSplit/>
        </w:trPr>
        <w:tc>
          <w:tcPr>
            <w:tcW w:type="dxa" w:w="794"/>
            <w:tcMar>
              <w:top w:w="60" w:type="dxa"/>
              <w:start w:w="60" w:type="dxa"/>
              <w:bottom w:w="60" w:type="dxa"/>
              <w:end w:w="60" w:type="dxa"/>
            </w:tcMar>
            <w:vAlign w:val="center"/>
          </w:tcPr>
          <w:p>
            <w:pPr>
              <w:spacing w:after="0" w:before="0"/>
              <w:jc w:val="left"/>
            </w:pPr>
            <w:r>
              <w:rPr>
                <w:rFonts w:ascii="Times New Roman" w:hAnsi="Times New Roman" w:eastAsia="Times New Roman"/>
                <w:sz w:val="18"/>
              </w:rPr>
              <w:t>1</w:t>
            </w:r>
          </w:p>
        </w:tc>
        <w:tc>
          <w:tcPr>
            <w:tcW w:type="dxa" w:w="3742"/>
            <w:tcMar>
              <w:top w:w="60" w:type="dxa"/>
              <w:start w:w="60" w:type="dxa"/>
              <w:bottom w:w="60" w:type="dxa"/>
              <w:end w:w="60" w:type="dxa"/>
            </w:tcMar>
            <w:vAlign w:val="center"/>
          </w:tcPr>
          <w:p>
            <w:pPr>
              <w:spacing w:after="0" w:before="0"/>
              <w:jc w:val="center"/>
            </w:pPr>
            <w:r>
              <w:rPr>
                <w:rFonts w:ascii="Times New Roman" w:hAnsi="Times New Roman" w:eastAsia="Times New Roman"/>
                <w:sz w:val="18"/>
              </w:rPr>
              <w:t>CSV → typed ProductionData</w:t>
            </w:r>
          </w:p>
        </w:tc>
        <w:tc>
          <w:tcPr>
            <w:tcW w:type="dxa" w:w="5102"/>
            <w:tcMar>
              <w:top w:w="60" w:type="dxa"/>
              <w:start w:w="60" w:type="dxa"/>
              <w:bottom w:w="60" w:type="dxa"/>
              <w:end w:w="60" w:type="dxa"/>
            </w:tcMar>
            <w:vAlign w:val="center"/>
          </w:tcPr>
          <w:p>
            <w:pPr>
              <w:spacing w:after="0" w:before="0"/>
              <w:jc w:val="center"/>
            </w:pPr>
            <w:r>
              <w:rPr>
                <w:rFonts w:ascii="Times New Roman" w:hAnsi="Times New Roman" w:eastAsia="Times New Roman"/>
                <w:sz w:val="18"/>
              </w:rPr>
              <w:t>Чтение параметров, типизация и валидация диапазонов.</w:t>
            </w:r>
          </w:p>
        </w:tc>
      </w:tr>
      <w:tr>
        <w:trPr>
          <w:cantSplit/>
        </w:trPr>
        <w:tc>
          <w:tcPr>
            <w:tcW w:type="dxa" w:w="794"/>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8"/>
              </w:rPr>
              <w:t>2</w:t>
            </w:r>
          </w:p>
        </w:tc>
        <w:tc>
          <w:tcPr>
            <w:tcW w:type="dxa" w:w="3742"/>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ProductionData → Python calculators</w:t>
            </w:r>
          </w:p>
        </w:tc>
        <w:tc>
          <w:tcPr>
            <w:tcW w:type="dxa" w:w="5102"/>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Расчёт производственных, стоимостных и TTM-метрик независимыми методами.</w:t>
            </w:r>
          </w:p>
        </w:tc>
      </w:tr>
      <w:tr>
        <w:trPr>
          <w:cantSplit/>
        </w:trPr>
        <w:tc>
          <w:tcPr>
            <w:tcW w:type="dxa" w:w="794"/>
            <w:tcMar>
              <w:top w:w="60" w:type="dxa"/>
              <w:start w:w="60" w:type="dxa"/>
              <w:bottom w:w="60" w:type="dxa"/>
              <w:end w:w="60" w:type="dxa"/>
            </w:tcMar>
            <w:vAlign w:val="center"/>
          </w:tcPr>
          <w:p>
            <w:pPr>
              <w:spacing w:after="0" w:before="0"/>
              <w:jc w:val="left"/>
            </w:pPr>
            <w:r>
              <w:rPr>
                <w:rFonts w:ascii="Times New Roman" w:hAnsi="Times New Roman" w:eastAsia="Times New Roman"/>
                <w:sz w:val="18"/>
              </w:rPr>
              <w:t>3</w:t>
            </w:r>
          </w:p>
        </w:tc>
        <w:tc>
          <w:tcPr>
            <w:tcW w:type="dxa" w:w="3742"/>
            <w:tcMar>
              <w:top w:w="60" w:type="dxa"/>
              <w:start w:w="60" w:type="dxa"/>
              <w:bottom w:w="60" w:type="dxa"/>
              <w:end w:w="60" w:type="dxa"/>
            </w:tcMar>
            <w:vAlign w:val="center"/>
          </w:tcPr>
          <w:p>
            <w:pPr>
              <w:spacing w:after="0" w:before="0"/>
              <w:jc w:val="center"/>
            </w:pPr>
            <w:r>
              <w:rPr>
                <w:rFonts w:ascii="Times New Roman" w:hAnsi="Times New Roman" w:eastAsia="Times New Roman"/>
                <w:sz w:val="18"/>
              </w:rPr>
              <w:t>CSV → Excel formulas → recalculation</w:t>
            </w:r>
          </w:p>
        </w:tc>
        <w:tc>
          <w:tcPr>
            <w:tcW w:type="dxa" w:w="5102"/>
            <w:tcMar>
              <w:top w:w="60" w:type="dxa"/>
              <w:start w:w="60" w:type="dxa"/>
              <w:bottom w:w="60" w:type="dxa"/>
              <w:end w:w="60" w:type="dxa"/>
            </w:tcMar>
            <w:vAlign w:val="center"/>
          </w:tcPr>
          <w:p>
            <w:pPr>
              <w:spacing w:after="0" w:before="0"/>
              <w:jc w:val="center"/>
            </w:pPr>
            <w:r>
              <w:rPr>
                <w:rFonts w:ascii="Times New Roman" w:hAnsi="Times New Roman" w:eastAsia="Times New Roman"/>
                <w:sz w:val="18"/>
              </w:rPr>
              <w:t>Формирование прозрачных формул Excel и фактический пересчёт книги.</w:t>
            </w:r>
          </w:p>
        </w:tc>
      </w:tr>
      <w:tr>
        <w:trPr>
          <w:cantSplit/>
        </w:trPr>
        <w:tc>
          <w:tcPr>
            <w:tcW w:type="dxa" w:w="794"/>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8"/>
              </w:rPr>
              <w:t>4</w:t>
            </w:r>
          </w:p>
        </w:tc>
        <w:tc>
          <w:tcPr>
            <w:tcW w:type="dxa" w:w="3742"/>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Python Results ↔ Excel Ground Truth</w:t>
            </w:r>
          </w:p>
        </w:tc>
        <w:tc>
          <w:tcPr>
            <w:tcW w:type="dxa" w:w="5102"/>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Сравнение значений через MetricsHarness.</w:t>
            </w:r>
          </w:p>
        </w:tc>
      </w:tr>
      <w:tr>
        <w:trPr>
          <w:cantSplit/>
        </w:trPr>
        <w:tc>
          <w:tcPr>
            <w:tcW w:type="dxa" w:w="794"/>
            <w:tcMar>
              <w:top w:w="60" w:type="dxa"/>
              <w:start w:w="60" w:type="dxa"/>
              <w:bottom w:w="60" w:type="dxa"/>
              <w:end w:w="60" w:type="dxa"/>
            </w:tcMar>
            <w:vAlign w:val="center"/>
          </w:tcPr>
          <w:p>
            <w:pPr>
              <w:spacing w:after="0" w:before="0"/>
              <w:jc w:val="left"/>
            </w:pPr>
            <w:r>
              <w:rPr>
                <w:rFonts w:ascii="Times New Roman" w:hAnsi="Times New Roman" w:eastAsia="Times New Roman"/>
                <w:sz w:val="18"/>
              </w:rPr>
              <w:t>5</w:t>
            </w:r>
          </w:p>
        </w:tc>
        <w:tc>
          <w:tcPr>
            <w:tcW w:type="dxa" w:w="3742"/>
            <w:tcMar>
              <w:top w:w="60" w:type="dxa"/>
              <w:start w:w="60" w:type="dxa"/>
              <w:bottom w:w="60" w:type="dxa"/>
              <w:end w:w="60" w:type="dxa"/>
            </w:tcMar>
            <w:vAlign w:val="center"/>
          </w:tcPr>
          <w:p>
            <w:pPr>
              <w:spacing w:after="0" w:before="0"/>
              <w:jc w:val="center"/>
            </w:pPr>
            <w:r>
              <w:rPr>
                <w:rFonts w:ascii="Times New Roman" w:hAnsi="Times New Roman" w:eastAsia="Times New Roman"/>
                <w:sz w:val="18"/>
              </w:rPr>
              <w:t>Harness Log</w:t>
            </w:r>
          </w:p>
        </w:tc>
        <w:tc>
          <w:tcPr>
            <w:tcW w:type="dxa" w:w="5102"/>
            <w:tcMar>
              <w:top w:w="60" w:type="dxa"/>
              <w:start w:w="60" w:type="dxa"/>
              <w:bottom w:w="60" w:type="dxa"/>
              <w:end w:w="60" w:type="dxa"/>
            </w:tcMar>
            <w:vAlign w:val="center"/>
          </w:tcPr>
          <w:p>
            <w:pPr>
              <w:spacing w:after="0" w:before="0"/>
              <w:jc w:val="center"/>
            </w:pPr>
            <w:r>
              <w:rPr>
                <w:rFonts w:ascii="Times New Roman" w:hAnsi="Times New Roman" w:eastAsia="Times New Roman"/>
                <w:sz w:val="18"/>
              </w:rPr>
              <w:t>Фиксация метрики, значений, отклонения, допуска, статуса и причины.</w:t>
            </w:r>
          </w:p>
        </w:tc>
      </w:tr>
      <w:tr>
        <w:trPr>
          <w:cantSplit/>
        </w:trPr>
        <w:tc>
          <w:tcPr>
            <w:tcW w:type="dxa" w:w="794"/>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8"/>
              </w:rPr>
              <w:t>6</w:t>
            </w:r>
          </w:p>
        </w:tc>
        <w:tc>
          <w:tcPr>
            <w:tcW w:type="dxa" w:w="3742"/>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Stress Test → TTM → Visualizations → Reporting</w:t>
            </w:r>
          </w:p>
        </w:tc>
        <w:tc>
          <w:tcPr>
            <w:tcW w:type="dxa" w:w="5102"/>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Сценарный анализ и отчётность выполняются после верификации базовых вычислений.</w:t>
            </w:r>
          </w:p>
        </w:tc>
      </w:tr>
    </w:tbl>
    <w:p>
      <w:pPr>
        <w:spacing w:after="20"/>
      </w:pPr>
    </w:p>
    <w:p>
      <w:pPr>
        <w:spacing w:line="276" w:lineRule="auto" w:after="80" w:before="0"/>
        <w:ind w:firstLine="709"/>
        <w:jc w:val="both"/>
      </w:pPr>
      <w:r>
        <w:rPr>
          <w:rFonts w:ascii="Times New Roman" w:hAnsi="Times New Roman" w:eastAsia="Times New Roman"/>
          <w:b w:val="0"/>
          <w:i w:val="0"/>
          <w:sz w:val="24"/>
        </w:rPr>
        <w:t>Типизированный объект ProductionData содержит прямое отображение полей CSV: календарное, плановое и фактическое время; плановый и фактический выпуск; объёмы годной продукции; затраты на сырьё и энергию; CAPEX, срок амортизации, накладные расходы и параметры TTM. Отдельное поле физической массы сырья в исходных данных отсутствует, поэтому оно не включается в фактический расчёт Mass Intensity.</w:t>
      </w:r>
    </w:p>
    <w:p>
      <w:pPr>
        <w:pStyle w:val="Heading1"/>
        <w:spacing w:before="160" w:after="80"/>
        <w:keepNext w:val="1"/>
      </w:pPr>
      <w:r>
        <w:rPr>
          <w:rFonts w:ascii="Times New Roman" w:hAnsi="Times New Roman" w:eastAsia="Times New Roman"/>
          <w:b/>
          <w:color w:val="1F4E78"/>
          <w:sz w:val="30"/>
        </w:rPr>
        <w:t>5. Методика расчёта</w:t>
      </w:r>
    </w:p>
    <w:p>
      <w:pPr>
        <w:spacing w:line="276" w:lineRule="auto" w:after="80" w:before="0"/>
        <w:ind w:firstLine="709"/>
        <w:jc w:val="both"/>
      </w:pPr>
      <w:r>
        <w:rPr>
          <w:rFonts w:ascii="Times New Roman" w:hAnsi="Times New Roman" w:eastAsia="Times New Roman"/>
          <w:b w:val="0"/>
          <w:i w:val="0"/>
          <w:sz w:val="24"/>
        </w:rPr>
        <w:t>Методика соответствует формулам практического задания и лекции. Все коэффициенты, выражаемые в процентах, рассчитываются в виде долей единицы и переводятся в проценты только при представлении результатов.</w:t>
      </w:r>
    </w:p>
    <w:p>
      <w:pPr>
        <w:pStyle w:val="Heading2"/>
        <w:spacing w:before="100" w:after="80"/>
        <w:keepNext w:val="1"/>
      </w:pPr>
      <w:r>
        <w:rPr>
          <w:rFonts w:ascii="Times New Roman" w:hAnsi="Times New Roman" w:eastAsia="Times New Roman"/>
          <w:b/>
          <w:color w:val="1F4E78"/>
          <w:sz w:val="26"/>
        </w:rPr>
        <w:t>5.1. Показатели качества и оборудования</w:t>
      </w:r>
    </w:p>
    <w:p>
      <w:pPr>
        <w:spacing w:line="276" w:lineRule="auto" w:after="80" w:before="0"/>
        <w:ind w:firstLine="709"/>
        <w:jc w:val="both"/>
      </w:pPr>
      <w:r>
        <w:rPr>
          <w:rFonts w:ascii="Times New Roman" w:hAnsi="Times New Roman" w:eastAsia="Times New Roman"/>
          <w:b w:val="0"/>
          <w:i w:val="0"/>
          <w:sz w:val="24"/>
        </w:rPr>
        <w:t>First Pass Yield (FPY, выход годных с первого прохода) показывает долю продукции, прошедшей процесс без переделки:</w:t>
      </w:r>
    </w:p>
    <w:p>
      <w:pPr>
        <w:spacing w:before="60" w:after="60"/>
        <w:jc w:val="center"/>
      </w:pPr>
      <w:r>
        <w:rPr>
          <w:rFonts w:ascii="Cambria Math" w:hAnsi="Cambria Math" w:eastAsia="Cambria Math"/>
          <w:i/>
          <w:sz w:val="24"/>
        </w:rPr>
        <w:t>FPY = First_Pass_Good_Units / Actual_Output</w:t>
      </w:r>
    </w:p>
    <w:p>
      <w:pPr>
        <w:spacing w:line="276" w:lineRule="auto" w:after="80" w:before="0"/>
        <w:ind w:firstLine="709"/>
        <w:jc w:val="both"/>
      </w:pPr>
      <w:r>
        <w:rPr>
          <w:rFonts w:ascii="Times New Roman" w:hAnsi="Times New Roman" w:eastAsia="Times New Roman"/>
          <w:b w:val="0"/>
          <w:i w:val="0"/>
          <w:sz w:val="24"/>
        </w:rPr>
        <w:t>Final Yield (итоговый выход годных) учитывает продукцию, признанную годной после возможной переделки:</w:t>
      </w:r>
    </w:p>
    <w:p>
      <w:pPr>
        <w:spacing w:before="60" w:after="60"/>
        <w:jc w:val="center"/>
      </w:pPr>
      <w:r>
        <w:rPr>
          <w:rFonts w:ascii="Cambria Math" w:hAnsi="Cambria Math" w:eastAsia="Cambria Math"/>
          <w:i/>
          <w:sz w:val="24"/>
        </w:rPr>
        <w:t>Final Yield = Final_Good_Units / Actual_Output</w:t>
      </w:r>
    </w:p>
    <w:p>
      <w:pPr>
        <w:spacing w:line="276" w:lineRule="auto" w:after="80" w:before="0"/>
        <w:ind w:firstLine="709"/>
        <w:jc w:val="both"/>
      </w:pPr>
      <w:r>
        <w:rPr>
          <w:rFonts w:ascii="Times New Roman" w:hAnsi="Times New Roman" w:eastAsia="Times New Roman"/>
          <w:b w:val="0"/>
          <w:i w:val="0"/>
          <w:sz w:val="24"/>
        </w:rPr>
        <w:t>Различие этих показателей принципиально: Final Yield может быть выше FPY, поскольку доработанная продукция возвращается в годный выпуск. Поэтому высокий Final Yield не исключает скрытых производственных потерь на переделку.</w:t>
      </w:r>
    </w:p>
    <w:p>
      <w:pPr>
        <w:spacing w:line="276" w:lineRule="auto" w:after="80" w:before="0"/>
        <w:ind w:firstLine="709"/>
        <w:jc w:val="both"/>
      </w:pPr>
      <w:r>
        <w:rPr>
          <w:rFonts w:ascii="Times New Roman" w:hAnsi="Times New Roman" w:eastAsia="Times New Roman"/>
          <w:b w:val="0"/>
          <w:i w:val="0"/>
          <w:sz w:val="24"/>
        </w:rPr>
        <w:t>Availability (доступность оборудования) определяется как доля фактического времени работы в плановом фонде:</w:t>
      </w:r>
    </w:p>
    <w:p>
      <w:pPr>
        <w:spacing w:before="60" w:after="60"/>
        <w:jc w:val="center"/>
      </w:pPr>
      <w:r>
        <w:rPr>
          <w:rFonts w:ascii="Cambria Math" w:hAnsi="Cambria Math" w:eastAsia="Cambria Math"/>
          <w:i/>
          <w:sz w:val="24"/>
        </w:rPr>
        <w:t>Availability = Actual_Hours / Planned_Hours</w:t>
      </w:r>
    </w:p>
    <w:p>
      <w:pPr>
        <w:spacing w:line="276" w:lineRule="auto" w:after="80" w:before="0"/>
        <w:ind w:firstLine="709"/>
        <w:jc w:val="both"/>
      </w:pPr>
      <w:r>
        <w:rPr>
          <w:rFonts w:ascii="Times New Roman" w:hAnsi="Times New Roman" w:eastAsia="Times New Roman"/>
          <w:b w:val="0"/>
          <w:i w:val="0"/>
          <w:sz w:val="24"/>
        </w:rPr>
        <w:t>Performance (производительность) использует нормативное время цикла, выведенное из планового фонда и планового выпуска:</w:t>
      </w:r>
    </w:p>
    <w:p>
      <w:pPr>
        <w:spacing w:before="60" w:after="60"/>
        <w:jc w:val="center"/>
      </w:pPr>
      <w:r>
        <w:rPr>
          <w:rFonts w:ascii="Cambria Math" w:hAnsi="Cambria Math" w:eastAsia="Cambria Math"/>
          <w:i/>
          <w:sz w:val="24"/>
        </w:rPr>
        <w:t>Normative Cycle Time = Planned_Hours / Target_Output</w:t>
      </w:r>
    </w:p>
    <w:p>
      <w:pPr>
        <w:spacing w:before="60" w:after="60"/>
        <w:jc w:val="center"/>
      </w:pPr>
      <w:r>
        <w:rPr>
          <w:rFonts w:ascii="Cambria Math" w:hAnsi="Cambria Math" w:eastAsia="Cambria Math"/>
          <w:i/>
          <w:sz w:val="24"/>
        </w:rPr>
        <w:t>Performance = Normative Cycle Time × Actual_Output / Actual_Hours</w:t>
      </w:r>
    </w:p>
    <w:p>
      <w:pPr>
        <w:spacing w:line="276" w:lineRule="auto" w:after="80" w:before="0"/>
        <w:ind w:firstLine="709"/>
        <w:jc w:val="both"/>
      </w:pPr>
      <w:r>
        <w:rPr>
          <w:rFonts w:ascii="Times New Roman" w:hAnsi="Times New Roman" w:eastAsia="Times New Roman"/>
          <w:b w:val="0"/>
          <w:i w:val="0"/>
          <w:sz w:val="24"/>
        </w:rPr>
        <w:t>В текущей модели Quality (коэффициент качества) приравнен к FPY. Overall Equipment Effectiveness (OEE, общая эффективность оборудования) объединяет доступность, скорость и качество:</w:t>
      </w:r>
    </w:p>
    <w:p>
      <w:pPr>
        <w:spacing w:before="60" w:after="60"/>
        <w:jc w:val="center"/>
      </w:pPr>
      <w:r>
        <w:rPr>
          <w:rFonts w:ascii="Cambria Math" w:hAnsi="Cambria Math" w:eastAsia="Cambria Math"/>
          <w:i/>
          <w:sz w:val="24"/>
        </w:rPr>
        <w:t>OEE = Availability × Performance × Quality</w:t>
      </w:r>
    </w:p>
    <w:p>
      <w:pPr>
        <w:spacing w:line="276" w:lineRule="auto" w:after="80" w:before="0"/>
        <w:ind w:firstLine="709"/>
        <w:jc w:val="both"/>
      </w:pPr>
      <w:r>
        <w:rPr>
          <w:rFonts w:ascii="Times New Roman" w:hAnsi="Times New Roman" w:eastAsia="Times New Roman"/>
          <w:b w:val="0"/>
          <w:i w:val="0"/>
          <w:sz w:val="24"/>
        </w:rPr>
        <w:t>Utilization (использование календарного времени) показывает долю календарного фонда, назначенную для работы оборудования:</w:t>
      </w:r>
    </w:p>
    <w:p>
      <w:pPr>
        <w:spacing w:before="60" w:after="60"/>
        <w:jc w:val="center"/>
      </w:pPr>
      <w:r>
        <w:rPr>
          <w:rFonts w:ascii="Cambria Math" w:hAnsi="Cambria Math" w:eastAsia="Cambria Math"/>
          <w:i/>
          <w:sz w:val="24"/>
        </w:rPr>
        <w:t>Utilization = Planned_Hours / Calendar_Hours</w:t>
      </w:r>
    </w:p>
    <w:p>
      <w:pPr>
        <w:spacing w:line="276" w:lineRule="auto" w:after="80" w:before="0"/>
        <w:ind w:firstLine="709"/>
        <w:jc w:val="both"/>
      </w:pPr>
      <w:r>
        <w:rPr>
          <w:rFonts w:ascii="Times New Roman" w:hAnsi="Times New Roman" w:eastAsia="Times New Roman"/>
          <w:b w:val="0"/>
          <w:i w:val="0"/>
          <w:sz w:val="24"/>
        </w:rPr>
        <w:t>Total Effective Equipment Performance (TEEP, полная эффективность использования оборудования) масштабирует OEE на календарную загрузку:</w:t>
      </w:r>
    </w:p>
    <w:p>
      <w:pPr>
        <w:spacing w:before="60" w:after="60"/>
        <w:jc w:val="center"/>
      </w:pPr>
      <w:r>
        <w:rPr>
          <w:rFonts w:ascii="Cambria Math" w:hAnsi="Cambria Math" w:eastAsia="Cambria Math"/>
          <w:i/>
          <w:sz w:val="24"/>
        </w:rPr>
        <w:t>TEEP = OEE × Utilization</w:t>
      </w:r>
    </w:p>
    <w:p>
      <w:pPr>
        <w:pStyle w:val="Heading2"/>
        <w:spacing w:before="100" w:after="80"/>
        <w:keepNext w:val="1"/>
      </w:pPr>
      <w:r>
        <w:rPr>
          <w:rFonts w:ascii="Times New Roman" w:hAnsi="Times New Roman" w:eastAsia="Times New Roman"/>
          <w:b/>
          <w:color w:val="1F4E78"/>
          <w:sz w:val="26"/>
        </w:rPr>
        <w:t>5.2. Затраты и ресурсоёмкость</w:t>
      </w:r>
    </w:p>
    <w:p>
      <w:pPr>
        <w:spacing w:line="276" w:lineRule="auto" w:after="80" w:before="0"/>
        <w:ind w:firstLine="709"/>
        <w:jc w:val="both"/>
      </w:pPr>
      <w:r>
        <w:rPr>
          <w:rFonts w:ascii="Times New Roman" w:hAnsi="Times New Roman" w:eastAsia="Times New Roman"/>
          <w:b w:val="0"/>
          <w:i w:val="0"/>
          <w:sz w:val="24"/>
        </w:rPr>
        <w:t>Затраты на электроэнергию рассчитываются как произведение потребления на тариф:</w:t>
      </w:r>
    </w:p>
    <w:p>
      <w:pPr>
        <w:spacing w:before="60" w:after="60"/>
        <w:jc w:val="center"/>
      </w:pPr>
      <w:r>
        <w:rPr>
          <w:rFonts w:ascii="Cambria Math" w:hAnsi="Cambria Math" w:eastAsia="Cambria Math"/>
          <w:i/>
          <w:sz w:val="24"/>
        </w:rPr>
        <w:t>Energy Cost = Energy_kWh × Energy_Cost_Rate</w:t>
      </w:r>
    </w:p>
    <w:p>
      <w:pPr>
        <w:spacing w:line="276" w:lineRule="auto" w:after="80" w:before="0"/>
        <w:ind w:firstLine="709"/>
        <w:jc w:val="both"/>
      </w:pPr>
      <w:r>
        <w:rPr>
          <w:rFonts w:ascii="Times New Roman" w:hAnsi="Times New Roman" w:eastAsia="Times New Roman"/>
          <w:b w:val="0"/>
          <w:i w:val="0"/>
          <w:sz w:val="24"/>
        </w:rPr>
        <w:t>Ежемесячная экономическая амортизация CAPEX определяется по экономическому сроку службы, а не по налоговому сроку:</w:t>
      </w:r>
    </w:p>
    <w:p>
      <w:pPr>
        <w:spacing w:before="60" w:after="60"/>
        <w:jc w:val="center"/>
      </w:pPr>
      <w:r>
        <w:rPr>
          <w:rFonts w:ascii="Cambria Math" w:hAnsi="Cambria Math" w:eastAsia="Cambria Math"/>
          <w:i/>
          <w:sz w:val="24"/>
        </w:rPr>
        <w:t>Monthly Depreciation = Equipment_CAPEX / Amortization_Years_Economic / 12</w:t>
      </w:r>
    </w:p>
    <w:p>
      <w:pPr>
        <w:spacing w:line="276" w:lineRule="auto" w:after="80" w:before="0"/>
        <w:ind w:firstLine="709"/>
        <w:jc w:val="both"/>
      </w:pPr>
      <w:r>
        <w:rPr>
          <w:rFonts w:ascii="Times New Roman" w:hAnsi="Times New Roman" w:eastAsia="Times New Roman"/>
          <w:b w:val="0"/>
          <w:i w:val="0"/>
          <w:sz w:val="24"/>
        </w:rPr>
        <w:t>Формула полной производственной стоимости соответствует реализованной Excel и Python модели:</w:t>
      </w:r>
    </w:p>
    <w:p>
      <w:pPr>
        <w:spacing w:before="60" w:after="60"/>
        <w:jc w:val="center"/>
      </w:pPr>
      <w:r>
        <w:rPr>
          <w:rFonts w:ascii="Cambria Math" w:hAnsi="Cambria Math" w:eastAsia="Cambria Math"/>
          <w:i/>
          <w:sz w:val="24"/>
        </w:rPr>
        <w:t>Total Manufacturing Cost = Raw Material Cost + Energy Cost + OPEX Overhead + Monthly Depreciation</w:t>
      </w:r>
    </w:p>
    <w:p>
      <w:pPr>
        <w:spacing w:line="276" w:lineRule="auto" w:after="80" w:before="0"/>
        <w:ind w:firstLine="709"/>
        <w:jc w:val="both"/>
      </w:pPr>
      <w:r>
        <w:rPr>
          <w:rFonts w:ascii="Times New Roman" w:hAnsi="Times New Roman" w:eastAsia="Times New Roman"/>
          <w:b w:val="0"/>
          <w:i w:val="0"/>
          <w:sz w:val="24"/>
        </w:rPr>
        <w:t>Энергетическая и экономическая ресурсоёмкость нормируются на итоговый годный объём:</w:t>
      </w:r>
    </w:p>
    <w:p>
      <w:pPr>
        <w:spacing w:before="60" w:after="60"/>
        <w:jc w:val="center"/>
      </w:pPr>
      <w:r>
        <w:rPr>
          <w:rFonts w:ascii="Cambria Math" w:hAnsi="Cambria Math" w:eastAsia="Cambria Math"/>
          <w:i/>
          <w:sz w:val="24"/>
        </w:rPr>
        <w:t>Energy Intensity = Energy_kWh / Final_Good_Units</w:t>
      </w:r>
    </w:p>
    <w:p>
      <w:pPr>
        <w:spacing w:before="60" w:after="60"/>
        <w:jc w:val="center"/>
      </w:pPr>
      <w:r>
        <w:rPr>
          <w:rFonts w:ascii="Cambria Math" w:hAnsi="Cambria Math" w:eastAsia="Cambria Math"/>
          <w:i/>
          <w:sz w:val="24"/>
        </w:rPr>
        <w:t>Economic Intensity = Total Manufacturing Cost / Final_Good_Units</w:t>
      </w:r>
    </w:p>
    <w:p>
      <w:pPr>
        <w:spacing w:line="276" w:lineRule="auto" w:after="80" w:before="0"/>
        <w:ind w:firstLine="709"/>
        <w:jc w:val="both"/>
      </w:pPr>
      <w:r>
        <w:rPr>
          <w:rFonts w:ascii="Times New Roman" w:hAnsi="Times New Roman" w:eastAsia="Times New Roman"/>
          <w:b w:val="0"/>
          <w:i w:val="0"/>
          <w:sz w:val="24"/>
        </w:rPr>
        <w:t>Стоимостной показатель сырья используется как отдельная вспомогательная характеристика:</w:t>
      </w:r>
    </w:p>
    <w:p>
      <w:pPr>
        <w:spacing w:before="60" w:after="60"/>
        <w:jc w:val="center"/>
      </w:pPr>
      <w:r>
        <w:rPr>
          <w:rFonts w:ascii="Cambria Math" w:hAnsi="Cambria Math" w:eastAsia="Cambria Math"/>
          <w:i/>
          <w:sz w:val="24"/>
        </w:rPr>
        <w:t>Raw Material Cost Proxy = Raw_Material_Cost / Final_Good_Units</w:t>
      </w:r>
    </w:p>
    <w:p>
      <w:pPr>
        <w:spacing w:line="276" w:lineRule="auto" w:after="80" w:before="0"/>
        <w:ind w:firstLine="709"/>
        <w:jc w:val="both"/>
      </w:pPr>
      <w:r>
        <w:rPr>
          <w:rFonts w:ascii="Times New Roman" w:hAnsi="Times New Roman" w:eastAsia="Times New Roman"/>
          <w:b w:val="0"/>
          <w:i w:val="0"/>
          <w:sz w:val="24"/>
        </w:rPr>
        <w:t>Cost per Unit (CPU, себестоимость единицы продукции) в данной области расчёта численно совпадает с экономической ресурсоёмкостью, поскольку обе метрики имеют одинаковый числитель и знаменатель:</w:t>
      </w:r>
    </w:p>
    <w:p>
      <w:pPr>
        <w:spacing w:before="60" w:after="60"/>
        <w:jc w:val="center"/>
      </w:pPr>
      <w:r>
        <w:rPr>
          <w:rFonts w:ascii="Cambria Math" w:hAnsi="Cambria Math" w:eastAsia="Cambria Math"/>
          <w:i/>
          <w:sz w:val="24"/>
        </w:rPr>
        <w:t>CPU = Total Manufacturing Cost / Final_Good_Units</w:t>
      </w:r>
    </w:p>
    <w:p>
      <w:pPr>
        <w:spacing w:line="276" w:lineRule="auto" w:after="80" w:before="0"/>
        <w:ind w:firstLine="709"/>
        <w:jc w:val="both"/>
      </w:pPr>
      <w:r>
        <w:rPr>
          <w:rFonts w:ascii="Times New Roman" w:hAnsi="Times New Roman" w:eastAsia="Times New Roman"/>
          <w:b w:val="0"/>
          <w:i w:val="0"/>
          <w:sz w:val="24"/>
        </w:rPr>
        <w:t>Теоретическая массовая ресурсоёмкость должна рассчитываться по физической массе сырья:</w:t>
      </w:r>
    </w:p>
    <w:p>
      <w:pPr>
        <w:spacing w:before="60" w:after="60"/>
        <w:jc w:val="center"/>
      </w:pPr>
      <w:r>
        <w:rPr>
          <w:rFonts w:ascii="Cambria Math" w:hAnsi="Cambria Math" w:eastAsia="Cambria Math"/>
          <w:i/>
          <w:sz w:val="24"/>
        </w:rPr>
        <w:t>Mass Intensity = Raw Material Mass / Final Good Units</w:t>
      </w:r>
    </w:p>
    <w:p>
      <w:pPr>
        <w:spacing w:line="276" w:lineRule="auto" w:after="80" w:before="0"/>
        <w:ind w:firstLine="709"/>
        <w:jc w:val="both"/>
      </w:pPr>
      <w:r>
        <w:rPr>
          <w:rFonts w:ascii="Times New Roman" w:hAnsi="Times New Roman" w:eastAsia="Times New Roman"/>
          <w:b w:val="0"/>
          <w:i w:val="0"/>
          <w:sz w:val="24"/>
        </w:rPr>
        <w:t>Однако параметр Raw_Material_Mass_kg отсутствует во всех предоставленных исходных данных. Поэтому массовая ресурсоёмкость не рассчитывается. Стоимость сырья не может использоваться вместо его физической массы, так как это разные размерности и разные экономические смыслы.</w:t>
      </w:r>
    </w:p>
    <w:p>
      <w:pPr>
        <w:pStyle w:val="Heading2"/>
        <w:spacing w:before="100" w:after="80"/>
        <w:keepNext w:val="1"/>
      </w:pPr>
      <w:r>
        <w:rPr>
          <w:rFonts w:ascii="Times New Roman" w:hAnsi="Times New Roman" w:eastAsia="Times New Roman"/>
          <w:b/>
          <w:color w:val="1F4E78"/>
          <w:sz w:val="26"/>
        </w:rPr>
        <w:t>5.3. Time-to-Market и экономический штраф</w:t>
      </w:r>
    </w:p>
    <w:p>
      <w:pPr>
        <w:spacing w:line="276" w:lineRule="auto" w:after="80" w:before="0"/>
        <w:ind w:firstLine="709"/>
        <w:jc w:val="both"/>
      </w:pPr>
      <w:r>
        <w:rPr>
          <w:rFonts w:ascii="Times New Roman" w:hAnsi="Times New Roman" w:eastAsia="Times New Roman"/>
          <w:b w:val="0"/>
          <w:i w:val="0"/>
          <w:sz w:val="24"/>
        </w:rPr>
        <w:t>Time-to-Market (TTM, время выхода продукта на рынок) в лекции определяется как сумма времени НИОКР, квалификации и выхода на серийную мощность:</w:t>
      </w:r>
    </w:p>
    <w:p>
      <w:pPr>
        <w:spacing w:before="60" w:after="60"/>
        <w:jc w:val="center"/>
      </w:pPr>
      <w:r>
        <w:rPr>
          <w:rFonts w:ascii="Cambria Math" w:hAnsi="Cambria Math" w:eastAsia="Cambria Math"/>
          <w:i/>
          <w:sz w:val="24"/>
        </w:rPr>
        <w:t>TTM = tR&amp;D + tqual + tramp</w:t>
      </w:r>
    </w:p>
    <w:p>
      <w:pPr>
        <w:spacing w:line="276" w:lineRule="auto" w:after="80" w:before="0"/>
        <w:ind w:firstLine="709"/>
        <w:jc w:val="both"/>
      </w:pPr>
      <w:r>
        <w:rPr>
          <w:rFonts w:ascii="Times New Roman" w:hAnsi="Times New Roman" w:eastAsia="Times New Roman"/>
          <w:b w:val="0"/>
          <w:i w:val="0"/>
          <w:sz w:val="24"/>
        </w:rPr>
        <w:t>Для оценки потерь от задержки используется мультипликативная модель, в которой одновременно учитываются дисконтирование, ценовая эрозия, сокращение рыночного горизонта и состояние рыночного окна:</w:t>
      </w:r>
    </w:p>
    <w:p>
      <w:pPr>
        <w:spacing w:before="60" w:after="60"/>
        <w:jc w:val="center"/>
      </w:pPr>
      <w:r>
        <w:rPr>
          <w:rFonts w:ascii="Cambria Math" w:hAnsi="Cambria Math" w:eastAsia="Cambria Math"/>
          <w:i/>
          <w:sz w:val="24"/>
        </w:rPr>
        <w:t>L = 1 − [1/(1+r)^Δt] × exp(−αΔt) × [(T−Δt)/T] × I(Δt)</w:t>
      </w:r>
    </w:p>
    <w:p>
      <w:pPr>
        <w:spacing w:line="276" w:lineRule="auto" w:after="80" w:before="0"/>
        <w:ind w:firstLine="709"/>
        <w:jc w:val="both"/>
      </w:pPr>
      <w:r>
        <w:rPr>
          <w:rFonts w:ascii="Times New Roman" w:hAnsi="Times New Roman" w:eastAsia="Times New Roman"/>
          <w:b w:val="0"/>
          <w:i w:val="0"/>
          <w:sz w:val="24"/>
        </w:rPr>
        <w:t>Здесь r — ставка дисконтирования; α — темп ценовой эрозии; T — рыночный горизонт; Δt — задержка; I(Δt) — индикатор доступности рыночного окна. При закрытом окне или задержке, достигающей горизонта рынка, в реализованной модели штраф принимается равным 100 %.</w:t>
      </w:r>
    </w:p>
    <w:p>
      <w:pPr>
        <w:pStyle w:val="Heading1"/>
        <w:spacing w:before="160" w:after="80"/>
        <w:keepNext w:val="1"/>
      </w:pPr>
      <w:r>
        <w:rPr>
          <w:rFonts w:ascii="Times New Roman" w:hAnsi="Times New Roman" w:eastAsia="Times New Roman"/>
          <w:b/>
          <w:color w:val="1F4E78"/>
          <w:sz w:val="30"/>
        </w:rPr>
        <w:t>6. Результаты базового расчёта</w:t>
      </w:r>
    </w:p>
    <w:tbl>
      <w:tblPr>
        <w:tblStyle w:val="TableGrid"/>
        <w:tblW w:type="auto" w:w="0"/>
        <w:jc w:val="center"/>
        <w:tblLayout w:type="fixed"/>
        <w:tblLook w:firstColumn="1" w:firstRow="1" w:lastColumn="0" w:lastRow="0" w:noHBand="0" w:noVBand="1" w:val="04A0"/>
      </w:tblPr>
      <w:tblGrid>
        <w:gridCol w:w="2410"/>
        <w:gridCol w:w="2410"/>
        <w:gridCol w:w="2410"/>
        <w:gridCol w:w="2410"/>
      </w:tblGrid>
      <w:tr>
        <w:trPr>
          <w:tblHeader w:val="true"/>
          <w:cantSplit/>
        </w:trPr>
        <w:tc>
          <w:tcPr>
            <w:tcW w:type="dxa" w:w="2835"/>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8"/>
              </w:rPr>
              <w:t>Метрика</w:t>
            </w:r>
          </w:p>
        </w:tc>
        <w:tc>
          <w:tcPr>
            <w:tcW w:type="dxa" w:w="2268"/>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8"/>
              </w:rPr>
              <w:t>Значение</w:t>
            </w:r>
          </w:p>
        </w:tc>
        <w:tc>
          <w:tcPr>
            <w:tcW w:type="dxa" w:w="2268"/>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8"/>
              </w:rPr>
              <w:t>Единица измерения</w:t>
            </w:r>
          </w:p>
        </w:tc>
        <w:tc>
          <w:tcPr>
            <w:tcW w:type="dxa" w:w="2268"/>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8"/>
              </w:rPr>
              <w:t>Статус</w:t>
            </w:r>
          </w:p>
        </w:tc>
      </w:tr>
      <w:tr>
        <w:trPr>
          <w:cantSplit/>
        </w:trPr>
        <w:tc>
          <w:tcPr>
            <w:tcW w:type="dxa" w:w="2835"/>
            <w:tcMar>
              <w:top w:w="60" w:type="dxa"/>
              <w:start w:w="60" w:type="dxa"/>
              <w:bottom w:w="60" w:type="dxa"/>
              <w:end w:w="60" w:type="dxa"/>
            </w:tcMar>
            <w:vAlign w:val="center"/>
          </w:tcPr>
          <w:p>
            <w:pPr>
              <w:spacing w:after="0" w:before="0"/>
              <w:jc w:val="left"/>
            </w:pPr>
            <w:r>
              <w:rPr>
                <w:rFonts w:ascii="Times New Roman" w:hAnsi="Times New Roman" w:eastAsia="Times New Roman"/>
                <w:sz w:val="18"/>
              </w:rPr>
              <w:t>FPY</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75,00 %</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безразмерная</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РАССЧИТАНО</w:t>
            </w:r>
          </w:p>
        </w:tc>
      </w:tr>
      <w:tr>
        <w:trPr>
          <w:cantSplit/>
        </w:trPr>
        <w:tc>
          <w:tcPr>
            <w:tcW w:type="dxa" w:w="2835"/>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8"/>
              </w:rPr>
              <w:t>Final Yield</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85,00 %</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безразмерная</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РАССЧИТАНО</w:t>
            </w:r>
          </w:p>
        </w:tc>
      </w:tr>
      <w:tr>
        <w:trPr>
          <w:cantSplit/>
        </w:trPr>
        <w:tc>
          <w:tcPr>
            <w:tcW w:type="dxa" w:w="2835"/>
            <w:tcMar>
              <w:top w:w="60" w:type="dxa"/>
              <w:start w:w="60" w:type="dxa"/>
              <w:bottom w:w="60" w:type="dxa"/>
              <w:end w:w="60" w:type="dxa"/>
            </w:tcMar>
            <w:vAlign w:val="center"/>
          </w:tcPr>
          <w:p>
            <w:pPr>
              <w:spacing w:after="0" w:before="0"/>
              <w:jc w:val="left"/>
            </w:pPr>
            <w:r>
              <w:rPr>
                <w:rFonts w:ascii="Times New Roman" w:hAnsi="Times New Roman" w:eastAsia="Times New Roman"/>
                <w:sz w:val="18"/>
              </w:rPr>
              <w:t>Availability</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81,25 %</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безразмерная</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РАССЧИТАНО</w:t>
            </w:r>
          </w:p>
        </w:tc>
      </w:tr>
      <w:tr>
        <w:trPr>
          <w:cantSplit/>
        </w:trPr>
        <w:tc>
          <w:tcPr>
            <w:tcW w:type="dxa" w:w="2835"/>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8"/>
              </w:rPr>
              <w:t>Performance</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97,44 %</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безразмерная</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РАССЧИТАНО</w:t>
            </w:r>
          </w:p>
        </w:tc>
      </w:tr>
      <w:tr>
        <w:trPr>
          <w:cantSplit/>
        </w:trPr>
        <w:tc>
          <w:tcPr>
            <w:tcW w:type="dxa" w:w="2835"/>
            <w:tcMar>
              <w:top w:w="60" w:type="dxa"/>
              <w:start w:w="60" w:type="dxa"/>
              <w:bottom w:w="60" w:type="dxa"/>
              <w:end w:w="60" w:type="dxa"/>
            </w:tcMar>
            <w:vAlign w:val="center"/>
          </w:tcPr>
          <w:p>
            <w:pPr>
              <w:spacing w:after="0" w:before="0"/>
              <w:jc w:val="left"/>
            </w:pPr>
            <w:r>
              <w:rPr>
                <w:rFonts w:ascii="Times New Roman" w:hAnsi="Times New Roman" w:eastAsia="Times New Roman"/>
                <w:sz w:val="18"/>
              </w:rPr>
              <w:t>Quality</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75,00 %</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безразмерная</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РАССЧИТАНО</w:t>
            </w:r>
          </w:p>
        </w:tc>
      </w:tr>
      <w:tr>
        <w:trPr>
          <w:cantSplit/>
        </w:trPr>
        <w:tc>
          <w:tcPr>
            <w:tcW w:type="dxa" w:w="2835"/>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8"/>
              </w:rPr>
              <w:t>OEE</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59,38 %</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безразмерная</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РАССЧИТАНО</w:t>
            </w:r>
          </w:p>
        </w:tc>
      </w:tr>
      <w:tr>
        <w:trPr>
          <w:cantSplit/>
        </w:trPr>
        <w:tc>
          <w:tcPr>
            <w:tcW w:type="dxa" w:w="2835"/>
            <w:tcMar>
              <w:top w:w="60" w:type="dxa"/>
              <w:start w:w="60" w:type="dxa"/>
              <w:bottom w:w="60" w:type="dxa"/>
              <w:end w:w="60" w:type="dxa"/>
            </w:tcMar>
            <w:vAlign w:val="center"/>
          </w:tcPr>
          <w:p>
            <w:pPr>
              <w:spacing w:after="0" w:before="0"/>
              <w:jc w:val="left"/>
            </w:pPr>
            <w:r>
              <w:rPr>
                <w:rFonts w:ascii="Times New Roman" w:hAnsi="Times New Roman" w:eastAsia="Times New Roman"/>
                <w:sz w:val="18"/>
              </w:rPr>
              <w:t>Utilization</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66,67 %</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безразмерная</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РАССЧИТАНО</w:t>
            </w:r>
          </w:p>
        </w:tc>
      </w:tr>
      <w:tr>
        <w:trPr>
          <w:cantSplit/>
        </w:trPr>
        <w:tc>
          <w:tcPr>
            <w:tcW w:type="dxa" w:w="2835"/>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8"/>
              </w:rPr>
              <w:t>TEEP</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39,58 %</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безразмерная</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РАССЧИТАНО</w:t>
            </w:r>
          </w:p>
        </w:tc>
      </w:tr>
      <w:tr>
        <w:trPr>
          <w:cantSplit/>
        </w:trPr>
        <w:tc>
          <w:tcPr>
            <w:tcW w:type="dxa" w:w="2835"/>
            <w:tcMar>
              <w:top w:w="60" w:type="dxa"/>
              <w:start w:w="60" w:type="dxa"/>
              <w:bottom w:w="60" w:type="dxa"/>
              <w:end w:w="60" w:type="dxa"/>
            </w:tcMar>
            <w:vAlign w:val="center"/>
          </w:tcPr>
          <w:p>
            <w:pPr>
              <w:spacing w:after="0" w:before="0"/>
              <w:jc w:val="left"/>
            </w:pPr>
            <w:r>
              <w:rPr>
                <w:rFonts w:ascii="Times New Roman" w:hAnsi="Times New Roman" w:eastAsia="Times New Roman"/>
                <w:sz w:val="18"/>
              </w:rPr>
              <w:t>Energy Cost</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25 300,00</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долл. США/месяц</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РАССЧИТАНО</w:t>
            </w:r>
          </w:p>
        </w:tc>
      </w:tr>
      <w:tr>
        <w:trPr>
          <w:cantSplit/>
        </w:trPr>
        <w:tc>
          <w:tcPr>
            <w:tcW w:type="dxa" w:w="2835"/>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8"/>
              </w:rPr>
              <w:t>Monthly Depreciation</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777 777,78</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долл. США/месяц</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РАССЧИТАНО</w:t>
            </w:r>
          </w:p>
        </w:tc>
      </w:tr>
      <w:tr>
        <w:trPr>
          <w:cantSplit/>
        </w:trPr>
        <w:tc>
          <w:tcPr>
            <w:tcW w:type="dxa" w:w="2835"/>
            <w:tcMar>
              <w:top w:w="60" w:type="dxa"/>
              <w:start w:w="60" w:type="dxa"/>
              <w:bottom w:w="60" w:type="dxa"/>
              <w:end w:w="60" w:type="dxa"/>
            </w:tcMar>
            <w:vAlign w:val="center"/>
          </w:tcPr>
          <w:p>
            <w:pPr>
              <w:spacing w:after="0" w:before="0"/>
              <w:jc w:val="left"/>
            </w:pPr>
            <w:r>
              <w:rPr>
                <w:rFonts w:ascii="Times New Roman" w:hAnsi="Times New Roman" w:eastAsia="Times New Roman"/>
                <w:sz w:val="18"/>
              </w:rPr>
              <w:t>Total Manufacturing Cost</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1 188 077,78</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долл. США/месяц</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РАССЧИТАНО</w:t>
            </w:r>
          </w:p>
        </w:tc>
      </w:tr>
      <w:tr>
        <w:trPr>
          <w:cantSplit/>
        </w:trPr>
        <w:tc>
          <w:tcPr>
            <w:tcW w:type="dxa" w:w="2835"/>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8"/>
              </w:rPr>
              <w:t>Mass Intensity</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НЕ РАССЧИТЫВАЕТСЯ</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кг/л</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НЕТ ИСХОДНЫХ ДАННЫХ</w:t>
            </w:r>
          </w:p>
        </w:tc>
      </w:tr>
      <w:tr>
        <w:trPr>
          <w:cantSplit/>
        </w:trPr>
        <w:tc>
          <w:tcPr>
            <w:tcW w:type="dxa" w:w="2835"/>
            <w:tcMar>
              <w:top w:w="60" w:type="dxa"/>
              <w:start w:w="60" w:type="dxa"/>
              <w:bottom w:w="60" w:type="dxa"/>
              <w:end w:w="60" w:type="dxa"/>
            </w:tcMar>
            <w:vAlign w:val="center"/>
          </w:tcPr>
          <w:p>
            <w:pPr>
              <w:spacing w:after="0" w:before="0"/>
              <w:jc w:val="left"/>
            </w:pPr>
            <w:r>
              <w:rPr>
                <w:rFonts w:ascii="Times New Roman" w:hAnsi="Times New Roman" w:eastAsia="Times New Roman"/>
                <w:sz w:val="18"/>
              </w:rPr>
              <w:t>Energy Intensity</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1 424,15</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кВт·ч/л</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РАССЧИТАНО</w:t>
            </w:r>
          </w:p>
        </w:tc>
      </w:tr>
      <w:tr>
        <w:trPr>
          <w:cantSplit/>
        </w:trPr>
        <w:tc>
          <w:tcPr>
            <w:tcW w:type="dxa" w:w="2835"/>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8"/>
              </w:rPr>
              <w:t>Economic Intensity</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14 713,04</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долл. США/л</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РАССЧИТАНО</w:t>
            </w:r>
          </w:p>
        </w:tc>
      </w:tr>
      <w:tr>
        <w:trPr>
          <w:cantSplit/>
        </w:trPr>
        <w:tc>
          <w:tcPr>
            <w:tcW w:type="dxa" w:w="2835"/>
            <w:tcMar>
              <w:top w:w="60" w:type="dxa"/>
              <w:start w:w="60" w:type="dxa"/>
              <w:bottom w:w="60" w:type="dxa"/>
              <w:end w:w="60" w:type="dxa"/>
            </w:tcMar>
            <w:vAlign w:val="center"/>
          </w:tcPr>
          <w:p>
            <w:pPr>
              <w:spacing w:after="0" w:before="0"/>
              <w:jc w:val="left"/>
            </w:pPr>
            <w:r>
              <w:rPr>
                <w:rFonts w:ascii="Times New Roman" w:hAnsi="Times New Roman" w:eastAsia="Times New Roman"/>
                <w:sz w:val="18"/>
              </w:rPr>
              <w:t>Raw Material Cost Proxy</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2 972,14</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долл. США/л</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РАССЧИТАНО</w:t>
            </w:r>
          </w:p>
        </w:tc>
      </w:tr>
      <w:tr>
        <w:trPr>
          <w:cantSplit/>
        </w:trPr>
        <w:tc>
          <w:tcPr>
            <w:tcW w:type="dxa" w:w="2835"/>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8"/>
              </w:rPr>
              <w:t>CPU</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14 713,04</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долл. США/л</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8"/>
              </w:rPr>
              <w:t>РАССЧИТАНО</w:t>
            </w:r>
          </w:p>
        </w:tc>
      </w:tr>
    </w:tbl>
    <w:p>
      <w:pPr>
        <w:spacing w:after="20"/>
      </w:pPr>
    </w:p>
    <w:p>
      <w:pPr>
        <w:spacing w:line="276" w:lineRule="auto" w:after="80" w:before="0"/>
        <w:ind w:firstLine="709"/>
        <w:jc w:val="both"/>
      </w:pPr>
      <w:r>
        <w:rPr>
          <w:rFonts w:ascii="Times New Roman" w:hAnsi="Times New Roman" w:eastAsia="Times New Roman"/>
          <w:b w:val="0"/>
          <w:i w:val="0"/>
          <w:sz w:val="24"/>
        </w:rPr>
        <w:t>Базовый расчёт показывает FPY 75,00 %, Final Yield 85,00 %, Availability 81,25 % и Performance 97,44 %. При Quality, равном FPY, итоговый OEE составляет 59,38 %, а TEEP — 39,58 %. Полные производственные затраты за расчётный месяц составляют 1 188 077,78 долл. США, что соответствует CPU 14 713,04 долл. США/л итоговой годной продукции.</w:t>
      </w:r>
    </w:p>
    <w:p>
      <w:pPr>
        <w:pStyle w:val="Heading1"/>
        <w:spacing w:before="160" w:after="80"/>
        <w:keepNext w:val="1"/>
      </w:pPr>
      <w:r>
        <w:rPr>
          <w:rFonts w:ascii="Times New Roman" w:hAnsi="Times New Roman" w:eastAsia="Times New Roman"/>
          <w:b/>
          <w:color w:val="1F4E78"/>
          <w:sz w:val="30"/>
        </w:rPr>
        <w:t>7. Анализ OEE и TEEP</w:t>
      </w:r>
    </w:p>
    <w:p>
      <w:pPr>
        <w:spacing w:line="276" w:lineRule="auto" w:after="80" w:before="0"/>
        <w:ind w:firstLine="709"/>
        <w:jc w:val="both"/>
      </w:pPr>
      <w:r>
        <w:rPr>
          <w:rFonts w:ascii="Times New Roman" w:hAnsi="Times New Roman" w:eastAsia="Times New Roman"/>
          <w:b w:val="0"/>
          <w:i w:val="0"/>
          <w:sz w:val="24"/>
        </w:rPr>
        <w:t>Структура OEE позволяет локализовать основное ограничение производственного результата. Availability равен 81,25 %, Performance — 97,44 %, Quality/FPY — 75,00 %. Наименьшим множителем является качество, поэтому именно FPY в базовом сценарии является главным ограничивающим фактором OEE.</w:t>
      </w:r>
    </w:p>
    <w:p>
      <w:pPr>
        <w:spacing w:line="276" w:lineRule="auto" w:after="80" w:before="0"/>
        <w:ind w:firstLine="709"/>
        <w:jc w:val="both"/>
      </w:pPr>
      <w:r>
        <w:rPr>
          <w:rFonts w:ascii="Times New Roman" w:hAnsi="Times New Roman" w:eastAsia="Times New Roman"/>
          <w:b w:val="0"/>
          <w:i w:val="0"/>
          <w:sz w:val="24"/>
        </w:rPr>
        <w:t>Высокое значение Performance означает, что при фактической работе оборудование функционирует близко к плановой скорости. Одновременно Availability указывает на заметные потери внутри планового рабочего фонда. Даже после учёта этих факторов OEE отражает только эффективность в запланированном окне работы и не показывает календарный простой.</w:t>
      </w:r>
    </w:p>
    <w:p>
      <w:pPr>
        <w:spacing w:line="276" w:lineRule="auto" w:after="80" w:before="0"/>
        <w:ind w:firstLine="709"/>
        <w:jc w:val="both"/>
      </w:pPr>
      <w:r>
        <w:rPr>
          <w:rFonts w:ascii="Times New Roman" w:hAnsi="Times New Roman" w:eastAsia="Times New Roman"/>
          <w:b w:val="0"/>
          <w:i w:val="0"/>
          <w:sz w:val="24"/>
        </w:rPr>
        <w:t>Utilization составляет 66,67 %. Поэтому OEE 59,38 % преобразуется в TEEP 39,58 %. Для капиталоёмкого объекта это имеет прямой экономический смысл: значительная часть потенциального календарного фонда оборудования не используется, тогда как амортизация CAPEX продолжает включаться в стоимость периода.</w:t>
      </w:r>
    </w:p>
    <w:p>
      <w:pPr>
        <w:pStyle w:val="Heading1"/>
        <w:spacing w:before="160" w:after="80"/>
        <w:keepNext w:val="1"/>
      </w:pPr>
      <w:r>
        <w:rPr>
          <w:rFonts w:ascii="Times New Roman" w:hAnsi="Times New Roman" w:eastAsia="Times New Roman"/>
          <w:b/>
          <w:color w:val="1F4E78"/>
          <w:sz w:val="30"/>
        </w:rPr>
        <w:t>8. Excel Ground Truth и независимая верификация</w:t>
      </w:r>
    </w:p>
    <w:p>
      <w:pPr>
        <w:spacing w:line="276" w:lineRule="auto" w:after="80" w:before="0"/>
        <w:ind w:firstLine="709"/>
        <w:jc w:val="both"/>
      </w:pPr>
      <w:r>
        <w:rPr>
          <w:rFonts w:ascii="Times New Roman" w:hAnsi="Times New Roman" w:eastAsia="Times New Roman"/>
          <w:b w:val="0"/>
          <w:i w:val="0"/>
          <w:sz w:val="24"/>
        </w:rPr>
        <w:t>Excel Ground Truth представляет собой независимую, формульно прозрачную реализацию тех же расчётов. Книга содержит отдельные листы исходных данных, метрик, затрат, TTM, стресс-теста, журнала сверки, OPEX, допущений и проблем качества данных. Фактический пересчёт Microsoft Excel завершён; итоговые значения были прочитаны после пересчёта, а не подставлены в отчёт вручную.</w:t>
      </w:r>
    </w:p>
    <w:p>
      <w:pPr>
        <w:spacing w:line="276" w:lineRule="auto" w:after="80" w:before="0"/>
        <w:ind w:firstLine="709"/>
        <w:jc w:val="both"/>
      </w:pPr>
      <w:r>
        <w:rPr>
          <w:rFonts w:ascii="Times New Roman" w:hAnsi="Times New Roman" w:eastAsia="Times New Roman"/>
          <w:b w:val="0"/>
          <w:i w:val="0"/>
          <w:sz w:val="24"/>
        </w:rPr>
        <w:t>Принцип независимой проверки состоит в том, что Python и Excel получают одинаковый набор исходных параметров, но выполняют вычисления разными расчётными контурами. После этого MetricsHarness сравнивает значения, абсолютное и относительное отклонение с установленным допуском 1×10⁻⁹.</w:t>
      </w:r>
    </w:p>
    <w:p>
      <w:pPr>
        <w:pStyle w:val="Heading1"/>
        <w:spacing w:before="160" w:after="80"/>
        <w:keepNext w:val="1"/>
      </w:pPr>
      <w:r>
        <w:rPr>
          <w:rFonts w:ascii="Times New Roman" w:hAnsi="Times New Roman" w:eastAsia="Times New Roman"/>
          <w:b/>
          <w:color w:val="1F4E78"/>
          <w:sz w:val="30"/>
        </w:rPr>
        <w:t>9. Сравнение Python и Excel и Harness Log</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2721"/>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5"/>
              </w:rPr>
              <w:t>Метрика</w:t>
            </w:r>
          </w:p>
        </w:tc>
        <w:tc>
          <w:tcPr>
            <w:tcW w:type="dxa" w:w="1757"/>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5"/>
              </w:rPr>
              <w:t>Excel</w:t>
            </w:r>
          </w:p>
        </w:tc>
        <w:tc>
          <w:tcPr>
            <w:tcW w:type="dxa" w:w="1757"/>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5"/>
              </w:rPr>
              <w:t>Python</w:t>
            </w:r>
          </w:p>
        </w:tc>
        <w:tc>
          <w:tcPr>
            <w:tcW w:type="dxa" w:w="1361"/>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5"/>
              </w:rPr>
              <w:t>Абс. откл.</w:t>
            </w:r>
          </w:p>
        </w:tc>
        <w:tc>
          <w:tcPr>
            <w:tcW w:type="dxa" w:w="1361"/>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5"/>
              </w:rPr>
              <w:t>Отн. откл.</w:t>
            </w:r>
          </w:p>
        </w:tc>
        <w:tc>
          <w:tcPr>
            <w:tcW w:type="dxa" w:w="1531"/>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5"/>
              </w:rPr>
              <w:t>Статус</w:t>
            </w:r>
          </w:p>
        </w:tc>
      </w:tr>
      <w:tr>
        <w:trPr>
          <w:cantSplit/>
        </w:trPr>
        <w:tc>
          <w:tcPr>
            <w:tcW w:type="dxa" w:w="2721"/>
            <w:tcMar>
              <w:top w:w="60" w:type="dxa"/>
              <w:start w:w="60" w:type="dxa"/>
              <w:bottom w:w="60" w:type="dxa"/>
              <w:end w:w="60" w:type="dxa"/>
            </w:tcMar>
            <w:vAlign w:val="center"/>
          </w:tcPr>
          <w:p>
            <w:pPr>
              <w:spacing w:after="0" w:before="0"/>
              <w:jc w:val="left"/>
            </w:pPr>
            <w:r>
              <w:rPr>
                <w:rFonts w:ascii="Times New Roman" w:hAnsi="Times New Roman" w:eastAsia="Times New Roman"/>
                <w:sz w:val="15"/>
              </w:rPr>
              <w:t>Availability</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0,8125</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0,8125</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5"/>
              </w:rPr>
              <w:t>CPU</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14 713,037496</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14 713,037496</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tcMar>
              <w:top w:w="60" w:type="dxa"/>
              <w:start w:w="60" w:type="dxa"/>
              <w:bottom w:w="60" w:type="dxa"/>
              <w:end w:w="60" w:type="dxa"/>
            </w:tcMar>
            <w:vAlign w:val="center"/>
          </w:tcPr>
          <w:p>
            <w:pPr>
              <w:spacing w:after="0" w:before="0"/>
              <w:jc w:val="left"/>
            </w:pPr>
            <w:r>
              <w:rPr>
                <w:rFonts w:ascii="Times New Roman" w:hAnsi="Times New Roman" w:eastAsia="Times New Roman"/>
                <w:sz w:val="15"/>
              </w:rPr>
              <w:t>Economic Intensity</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14 713,037496</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14 713,037496</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5"/>
              </w:rPr>
              <w:t>Energy Cost</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25 300,000000</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25 300,000000</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tcMar>
              <w:top w:w="60" w:type="dxa"/>
              <w:start w:w="60" w:type="dxa"/>
              <w:bottom w:w="60" w:type="dxa"/>
              <w:end w:w="60" w:type="dxa"/>
            </w:tcMar>
            <w:vAlign w:val="center"/>
          </w:tcPr>
          <w:p>
            <w:pPr>
              <w:spacing w:after="0" w:before="0"/>
              <w:jc w:val="left"/>
            </w:pPr>
            <w:r>
              <w:rPr>
                <w:rFonts w:ascii="Times New Roman" w:hAnsi="Times New Roman" w:eastAsia="Times New Roman"/>
                <w:sz w:val="15"/>
              </w:rPr>
              <w:t>Energy Intensity</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1 424,148607</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1 424,148607</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5"/>
              </w:rPr>
              <w:t>FPY</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0,75</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0,75</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tcMar>
              <w:top w:w="60" w:type="dxa"/>
              <w:start w:w="60" w:type="dxa"/>
              <w:bottom w:w="60" w:type="dxa"/>
              <w:end w:w="60" w:type="dxa"/>
            </w:tcMar>
            <w:vAlign w:val="center"/>
          </w:tcPr>
          <w:p>
            <w:pPr>
              <w:spacing w:after="0" w:before="0"/>
              <w:jc w:val="left"/>
            </w:pPr>
            <w:r>
              <w:rPr>
                <w:rFonts w:ascii="Times New Roman" w:hAnsi="Times New Roman" w:eastAsia="Times New Roman"/>
                <w:sz w:val="15"/>
              </w:rPr>
              <w:t>Final Yield</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0,85</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0,85</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5"/>
              </w:rPr>
              <w:t>Mass Intensity</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НЕ РАССЧИТЫВАЕТСЯ</w:t>
            </w:r>
          </w:p>
        </w:tc>
      </w:tr>
      <w:tr>
        <w:trPr>
          <w:cantSplit/>
        </w:trPr>
        <w:tc>
          <w:tcPr>
            <w:tcW w:type="dxa" w:w="2721"/>
            <w:tcMar>
              <w:top w:w="60" w:type="dxa"/>
              <w:start w:w="60" w:type="dxa"/>
              <w:bottom w:w="60" w:type="dxa"/>
              <w:end w:w="60" w:type="dxa"/>
            </w:tcMar>
            <w:vAlign w:val="center"/>
          </w:tcPr>
          <w:p>
            <w:pPr>
              <w:spacing w:after="0" w:before="0"/>
              <w:jc w:val="left"/>
            </w:pPr>
            <w:r>
              <w:rPr>
                <w:rFonts w:ascii="Times New Roman" w:hAnsi="Times New Roman" w:eastAsia="Times New Roman"/>
                <w:sz w:val="15"/>
              </w:rPr>
              <w:t>Monthly Depreciation</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777 777,777778</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777 777,777778</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5"/>
              </w:rPr>
              <w:t>OEE</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0,59375</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0,59375</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tcMar>
              <w:top w:w="60" w:type="dxa"/>
              <w:start w:w="60" w:type="dxa"/>
              <w:bottom w:w="60" w:type="dxa"/>
              <w:end w:w="60" w:type="dxa"/>
            </w:tcMar>
            <w:vAlign w:val="center"/>
          </w:tcPr>
          <w:p>
            <w:pPr>
              <w:spacing w:after="0" w:before="0"/>
              <w:jc w:val="left"/>
            </w:pPr>
            <w:r>
              <w:rPr>
                <w:rFonts w:ascii="Times New Roman" w:hAnsi="Times New Roman" w:eastAsia="Times New Roman"/>
                <w:sz w:val="15"/>
              </w:rPr>
              <w:t>Performance</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0,9743589744</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0,9743589744</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5"/>
              </w:rPr>
              <w:t>Quality</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0,75</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0,75</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tcMar>
              <w:top w:w="60" w:type="dxa"/>
              <w:start w:w="60" w:type="dxa"/>
              <w:bottom w:w="60" w:type="dxa"/>
              <w:end w:w="60" w:type="dxa"/>
            </w:tcMar>
            <w:vAlign w:val="center"/>
          </w:tcPr>
          <w:p>
            <w:pPr>
              <w:spacing w:after="0" w:before="0"/>
              <w:jc w:val="left"/>
            </w:pPr>
            <w:r>
              <w:rPr>
                <w:rFonts w:ascii="Times New Roman" w:hAnsi="Times New Roman" w:eastAsia="Times New Roman"/>
                <w:sz w:val="15"/>
              </w:rPr>
              <w:t>Raw Material Cost Proxy</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2 972,136223</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2 972,136223</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5"/>
              </w:rPr>
              <w:t>TEEP</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0,3958333333</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0,3958333333</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tcMar>
              <w:top w:w="60" w:type="dxa"/>
              <w:start w:w="60" w:type="dxa"/>
              <w:bottom w:w="60" w:type="dxa"/>
              <w:end w:w="60" w:type="dxa"/>
            </w:tcMar>
            <w:vAlign w:val="center"/>
          </w:tcPr>
          <w:p>
            <w:pPr>
              <w:spacing w:after="0" w:before="0"/>
              <w:jc w:val="left"/>
            </w:pPr>
            <w:r>
              <w:rPr>
                <w:rFonts w:ascii="Times New Roman" w:hAnsi="Times New Roman" w:eastAsia="Times New Roman"/>
                <w:sz w:val="15"/>
              </w:rPr>
              <w:t>TTM Penalty Assignment</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0,2628594111</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0,2628594111</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5"/>
              </w:rPr>
              <w:t>TTM Penalty CSV</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0,2803468358</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0,2803468358</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tcMar>
              <w:top w:w="60" w:type="dxa"/>
              <w:start w:w="60" w:type="dxa"/>
              <w:bottom w:w="60" w:type="dxa"/>
              <w:end w:w="60" w:type="dxa"/>
            </w:tcMar>
            <w:vAlign w:val="center"/>
          </w:tcPr>
          <w:p>
            <w:pPr>
              <w:spacing w:after="0" w:before="0"/>
              <w:jc w:val="left"/>
            </w:pPr>
            <w:r>
              <w:rPr>
                <w:rFonts w:ascii="Times New Roman" w:hAnsi="Times New Roman" w:eastAsia="Times New Roman"/>
                <w:sz w:val="15"/>
              </w:rPr>
              <w:t>Total Manufacturing Cost</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1 188 077,777778</w:t>
            </w:r>
          </w:p>
        </w:tc>
        <w:tc>
          <w:tcPr>
            <w:tcW w:type="dxa" w:w="1757"/>
            <w:tcMar>
              <w:top w:w="60" w:type="dxa"/>
              <w:start w:w="60" w:type="dxa"/>
              <w:bottom w:w="60" w:type="dxa"/>
              <w:end w:w="60" w:type="dxa"/>
            </w:tcMar>
            <w:vAlign w:val="center"/>
          </w:tcPr>
          <w:p>
            <w:pPr>
              <w:spacing w:after="0" w:before="0"/>
              <w:jc w:val="center"/>
            </w:pPr>
            <w:r>
              <w:rPr>
                <w:rFonts w:ascii="Times New Roman" w:hAnsi="Times New Roman" w:eastAsia="Times New Roman"/>
                <w:sz w:val="15"/>
              </w:rPr>
              <w:t>1 188 077,777778</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r>
        <w:trPr>
          <w:cantSplit/>
        </w:trPr>
        <w:tc>
          <w:tcPr>
            <w:tcW w:type="dxa" w:w="2721"/>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5"/>
              </w:rPr>
              <w:t>Utilization</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0,6666666667</w:t>
            </w:r>
          </w:p>
        </w:tc>
        <w:tc>
          <w:tcPr>
            <w:tcW w:type="dxa" w:w="175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0,6666666667</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0</w:t>
            </w:r>
          </w:p>
        </w:tc>
        <w:tc>
          <w:tcPr>
            <w:tcW w:type="dxa" w:w="153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СОВПАДАЕТ</w:t>
            </w:r>
          </w:p>
        </w:tc>
      </w:tr>
    </w:tbl>
    <w:p>
      <w:pPr>
        <w:spacing w:after="20"/>
      </w:pPr>
    </w:p>
    <w:p>
      <w:pPr>
        <w:spacing w:line="276" w:lineRule="auto" w:after="80" w:before="0"/>
        <w:ind w:firstLine="709"/>
        <w:jc w:val="both"/>
      </w:pPr>
      <w:r>
        <w:rPr>
          <w:rFonts w:ascii="Times New Roman" w:hAnsi="Times New Roman" w:eastAsia="Times New Roman"/>
          <w:b w:val="0"/>
          <w:i w:val="0"/>
          <w:sz w:val="24"/>
        </w:rPr>
        <w:t>По всем вычисляемым метрикам абсолютное и относительное отклонения равны нулю. Необъяснённых статусов FAIL в Harness Log нет. Mass Intensity имеет специальный статус NOT_COMPUTABLE с причиной «Excel value is unavailable», что соответствует отсутствию физической массы сырья в исходных данных и не является ошибкой вычислений.</w:t>
      </w:r>
    </w:p>
    <w:p>
      <w:pPr>
        <w:spacing w:line="276" w:lineRule="auto" w:after="80" w:before="0"/>
        <w:ind w:firstLine="709"/>
        <w:jc w:val="both"/>
      </w:pPr>
      <w:r>
        <w:rPr>
          <w:rFonts w:ascii="Times New Roman" w:hAnsi="Times New Roman" w:eastAsia="Times New Roman"/>
          <w:b w:val="0"/>
          <w:i w:val="0"/>
          <w:sz w:val="24"/>
        </w:rPr>
        <w:t>Журнал сверки фиксирует для каждой метрики значение Excel, значение Python, абсолютное и относительное отклонение, допуск, статус и вероятную причину. Такая структура обеспечивает воспроизводимость аудита и позволяет отделить реальную ошибку расчёта от корректно невычислимого показателя.</w:t>
      </w:r>
    </w:p>
    <w:p>
      <w:pPr>
        <w:pStyle w:val="Heading1"/>
        <w:spacing w:before="160" w:after="80"/>
        <w:keepNext w:val="1"/>
      </w:pPr>
      <w:r>
        <w:rPr>
          <w:rFonts w:ascii="Times New Roman" w:hAnsi="Times New Roman" w:eastAsia="Times New Roman"/>
          <w:b/>
          <w:color w:val="1F4E78"/>
          <w:sz w:val="30"/>
        </w:rPr>
        <w:t>10. Граничное тестирование</w:t>
      </w:r>
    </w:p>
    <w:p>
      <w:pPr>
        <w:spacing w:line="276" w:lineRule="auto" w:after="80" w:before="0"/>
        <w:ind w:firstLine="709"/>
        <w:jc w:val="both"/>
      </w:pPr>
      <w:r>
        <w:rPr>
          <w:rFonts w:ascii="Times New Roman" w:hAnsi="Times New Roman" w:eastAsia="Times New Roman"/>
          <w:b w:val="0"/>
          <w:i w:val="0"/>
          <w:sz w:val="24"/>
        </w:rPr>
        <w:t>Устойчивость расчётной модели проверялась на логических и математических граничных условиях. Все зафиксированные тесты завершены со статусом PASS.</w:t>
      </w:r>
    </w:p>
    <w:tbl>
      <w:tblPr>
        <w:tblStyle w:val="TableGrid"/>
        <w:tblW w:type="auto" w:w="0"/>
        <w:jc w:val="center"/>
        <w:tblLayout w:type="fixed"/>
        <w:tblLook w:firstColumn="1" w:firstRow="1" w:lastColumn="0" w:lastRow="0" w:noHBand="0" w:noVBand="1" w:val="04A0"/>
      </w:tblPr>
      <w:tblGrid>
        <w:gridCol w:w="2410"/>
        <w:gridCol w:w="2410"/>
        <w:gridCol w:w="2410"/>
        <w:gridCol w:w="2410"/>
      </w:tblGrid>
      <w:tr>
        <w:trPr>
          <w:tblHeader w:val="true"/>
          <w:cantSplit/>
        </w:trPr>
        <w:tc>
          <w:tcPr>
            <w:tcW w:type="dxa" w:w="2154"/>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6"/>
              </w:rPr>
              <w:t>Тест</w:t>
            </w:r>
          </w:p>
        </w:tc>
        <w:tc>
          <w:tcPr>
            <w:tcW w:type="dxa" w:w="2835"/>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6"/>
              </w:rPr>
              <w:t>Проверяемое свойство</w:t>
            </w:r>
          </w:p>
        </w:tc>
        <w:tc>
          <w:tcPr>
            <w:tcW w:type="dxa" w:w="3912"/>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6"/>
              </w:rPr>
              <w:t>Результат</w:t>
            </w:r>
          </w:p>
        </w:tc>
        <w:tc>
          <w:tcPr>
            <w:tcW w:type="dxa" w:w="1020"/>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6"/>
              </w:rPr>
              <w:t>Статус</w:t>
            </w:r>
          </w:p>
        </w:tc>
      </w:tr>
      <w:tr>
        <w:trPr>
          <w:cantSplit/>
        </w:trPr>
        <w:tc>
          <w:tcPr>
            <w:tcW w:type="dxa" w:w="2154"/>
            <w:tcMar>
              <w:top w:w="60" w:type="dxa"/>
              <w:start w:w="60" w:type="dxa"/>
              <w:bottom w:w="60" w:type="dxa"/>
              <w:end w:w="60" w:type="dxa"/>
            </w:tcMar>
            <w:vAlign w:val="center"/>
          </w:tcPr>
          <w:p>
            <w:pPr>
              <w:spacing w:after="0" w:before="0"/>
              <w:jc w:val="left"/>
            </w:pPr>
            <w:r>
              <w:rPr>
                <w:rFonts w:ascii="Times New Roman" w:hAnsi="Times New Roman" w:eastAsia="Times New Roman"/>
                <w:sz w:val="16"/>
              </w:rPr>
              <w:t>A_FULL_SCRAP</w:t>
            </w:r>
          </w:p>
        </w:tc>
        <w:tc>
          <w:tcPr>
            <w:tcW w:type="dxa" w:w="2835"/>
            <w:tcMar>
              <w:top w:w="60" w:type="dxa"/>
              <w:start w:w="60" w:type="dxa"/>
              <w:bottom w:w="60" w:type="dxa"/>
              <w:end w:w="60" w:type="dxa"/>
            </w:tcMar>
            <w:vAlign w:val="center"/>
          </w:tcPr>
          <w:p>
            <w:pPr>
              <w:spacing w:after="0" w:before="0"/>
              <w:jc w:val="center"/>
            </w:pPr>
            <w:r>
              <w:rPr>
                <w:rFonts w:ascii="Times New Roman" w:hAnsi="Times New Roman" w:eastAsia="Times New Roman"/>
                <w:sz w:val="16"/>
              </w:rPr>
              <w:t>Полный брак: FPY должен стать 0 % без аварийного деления на ноль.</w:t>
            </w:r>
          </w:p>
        </w:tc>
        <w:tc>
          <w:tcPr>
            <w:tcW w:type="dxa" w:w="3912"/>
            <w:tcMar>
              <w:top w:w="60" w:type="dxa"/>
              <w:start w:w="60" w:type="dxa"/>
              <w:bottom w:w="60" w:type="dxa"/>
              <w:end w:w="60" w:type="dxa"/>
            </w:tcMar>
            <w:vAlign w:val="center"/>
          </w:tcPr>
          <w:p>
            <w:pPr>
              <w:spacing w:after="0" w:before="0"/>
              <w:jc w:val="center"/>
            </w:pPr>
            <w:r>
              <w:rPr>
                <w:rFonts w:ascii="Times New Roman" w:hAnsi="Times New Roman" w:eastAsia="Times New Roman"/>
                <w:sz w:val="16"/>
              </w:rPr>
              <w:t>FPY корректно обрабатывается при нулевом годном объёме первого прохода.</w:t>
            </w:r>
          </w:p>
        </w:tc>
        <w:tc>
          <w:tcPr>
            <w:tcW w:type="dxa" w:w="1020"/>
            <w:tcMar>
              <w:top w:w="60" w:type="dxa"/>
              <w:start w:w="60" w:type="dxa"/>
              <w:bottom w:w="60" w:type="dxa"/>
              <w:end w:w="60" w:type="dxa"/>
            </w:tcMar>
            <w:vAlign w:val="center"/>
          </w:tcPr>
          <w:p>
            <w:pPr>
              <w:spacing w:after="0" w:before="0"/>
              <w:jc w:val="center"/>
            </w:pPr>
            <w:r>
              <w:rPr>
                <w:rFonts w:ascii="Times New Roman" w:hAnsi="Times New Roman" w:eastAsia="Times New Roman"/>
                <w:sz w:val="16"/>
              </w:rPr>
              <w:t>PASS</w:t>
            </w:r>
          </w:p>
        </w:tc>
      </w:tr>
      <w:tr>
        <w:trPr>
          <w:cantSplit/>
        </w:trPr>
        <w:tc>
          <w:tcPr>
            <w:tcW w:type="dxa" w:w="2154"/>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6"/>
              </w:rPr>
              <w:t>B_IDEAL_FACTORY</w:t>
            </w:r>
          </w:p>
        </w:tc>
        <w:tc>
          <w:tcPr>
            <w:tcW w:type="dxa" w:w="2835"/>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A = 100 %, P = 100 %, Q = 100 %.</w:t>
            </w:r>
          </w:p>
        </w:tc>
        <w:tc>
          <w:tcPr>
            <w:tcW w:type="dxa" w:w="3912"/>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Получено требуемое условие OEE = 100 %.</w:t>
            </w:r>
          </w:p>
        </w:tc>
        <w:tc>
          <w:tcPr>
            <w:tcW w:type="dxa" w:w="1020"/>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PASS</w:t>
            </w:r>
          </w:p>
        </w:tc>
      </w:tr>
      <w:tr>
        <w:trPr>
          <w:cantSplit/>
        </w:trPr>
        <w:tc>
          <w:tcPr>
            <w:tcW w:type="dxa" w:w="2154"/>
            <w:tcMar>
              <w:top w:w="60" w:type="dxa"/>
              <w:start w:w="60" w:type="dxa"/>
              <w:bottom w:w="60" w:type="dxa"/>
              <w:end w:w="60" w:type="dxa"/>
            </w:tcMar>
            <w:vAlign w:val="center"/>
          </w:tcPr>
          <w:p>
            <w:pPr>
              <w:spacing w:after="0" w:before="0"/>
              <w:jc w:val="left"/>
            </w:pPr>
            <w:r>
              <w:rPr>
                <w:rFonts w:ascii="Times New Roman" w:hAnsi="Times New Roman" w:eastAsia="Times New Roman"/>
                <w:sz w:val="16"/>
              </w:rPr>
              <w:t>C_RAW_MATERIAL_SUBSIDY</w:t>
            </w:r>
          </w:p>
        </w:tc>
        <w:tc>
          <w:tcPr>
            <w:tcW w:type="dxa" w:w="2835"/>
            <w:tcMar>
              <w:top w:w="60" w:type="dxa"/>
              <w:start w:w="60" w:type="dxa"/>
              <w:bottom w:w="60" w:type="dxa"/>
              <w:end w:w="60" w:type="dxa"/>
            </w:tcMar>
            <w:vAlign w:val="center"/>
          </w:tcPr>
          <w:p>
            <w:pPr>
              <w:spacing w:after="0" w:before="0"/>
              <w:jc w:val="center"/>
            </w:pPr>
            <w:r>
              <w:rPr>
                <w:rFonts w:ascii="Times New Roman" w:hAnsi="Times New Roman" w:eastAsia="Times New Roman"/>
                <w:sz w:val="16"/>
              </w:rPr>
              <w:t>Отрицательная стоимость сырья.</w:t>
            </w:r>
          </w:p>
        </w:tc>
        <w:tc>
          <w:tcPr>
            <w:tcW w:type="dxa" w:w="3912"/>
            <w:tcMar>
              <w:top w:w="60" w:type="dxa"/>
              <w:start w:w="60" w:type="dxa"/>
              <w:bottom w:w="60" w:type="dxa"/>
              <w:end w:w="60" w:type="dxa"/>
            </w:tcMar>
            <w:vAlign w:val="center"/>
          </w:tcPr>
          <w:p>
            <w:pPr>
              <w:spacing w:after="0" w:before="0"/>
              <w:jc w:val="center"/>
            </w:pPr>
            <w:r>
              <w:rPr>
                <w:rFonts w:ascii="Times New Roman" w:hAnsi="Times New Roman" w:eastAsia="Times New Roman"/>
                <w:sz w:val="16"/>
              </w:rPr>
              <w:t>Математика CPU и экономической ресурсоёмкости сохраняет знак входного стоимостного воздействия; намеренный стресс не блокируется общей валидацией.</w:t>
            </w:r>
          </w:p>
        </w:tc>
        <w:tc>
          <w:tcPr>
            <w:tcW w:type="dxa" w:w="1020"/>
            <w:tcMar>
              <w:top w:w="60" w:type="dxa"/>
              <w:start w:w="60" w:type="dxa"/>
              <w:bottom w:w="60" w:type="dxa"/>
              <w:end w:w="60" w:type="dxa"/>
            </w:tcMar>
            <w:vAlign w:val="center"/>
          </w:tcPr>
          <w:p>
            <w:pPr>
              <w:spacing w:after="0" w:before="0"/>
              <w:jc w:val="center"/>
            </w:pPr>
            <w:r>
              <w:rPr>
                <w:rFonts w:ascii="Times New Roman" w:hAnsi="Times New Roman" w:eastAsia="Times New Roman"/>
                <w:sz w:val="16"/>
              </w:rPr>
              <w:t>PASS</w:t>
            </w:r>
          </w:p>
        </w:tc>
      </w:tr>
      <w:tr>
        <w:trPr>
          <w:cantSplit/>
        </w:trPr>
        <w:tc>
          <w:tcPr>
            <w:tcW w:type="dxa" w:w="2154"/>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6"/>
              </w:rPr>
              <w:t>ZERO_TIME_DENOMINATOR</w:t>
            </w:r>
          </w:p>
        </w:tc>
        <w:tc>
          <w:tcPr>
            <w:tcW w:type="dxa" w:w="2835"/>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Нулевой временной знаменатель.</w:t>
            </w:r>
          </w:p>
        </w:tc>
        <w:tc>
          <w:tcPr>
            <w:tcW w:type="dxa" w:w="3912"/>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Некорректное деление не приводит к скрытому числовому результату.</w:t>
            </w:r>
          </w:p>
        </w:tc>
        <w:tc>
          <w:tcPr>
            <w:tcW w:type="dxa" w:w="1020"/>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PASS</w:t>
            </w:r>
          </w:p>
        </w:tc>
      </w:tr>
      <w:tr>
        <w:trPr>
          <w:cantSplit/>
        </w:trPr>
        <w:tc>
          <w:tcPr>
            <w:tcW w:type="dxa" w:w="2154"/>
            <w:tcMar>
              <w:top w:w="60" w:type="dxa"/>
              <w:start w:w="60" w:type="dxa"/>
              <w:bottom w:w="60" w:type="dxa"/>
              <w:end w:w="60" w:type="dxa"/>
            </w:tcMar>
            <w:vAlign w:val="center"/>
          </w:tcPr>
          <w:p>
            <w:pPr>
              <w:spacing w:after="0" w:before="0"/>
              <w:jc w:val="left"/>
            </w:pPr>
            <w:r>
              <w:rPr>
                <w:rFonts w:ascii="Times New Roman" w:hAnsi="Times New Roman" w:eastAsia="Times New Roman"/>
                <w:sz w:val="16"/>
              </w:rPr>
              <w:t>TTM_DELAY_ZERO</w:t>
            </w:r>
          </w:p>
        </w:tc>
        <w:tc>
          <w:tcPr>
            <w:tcW w:type="dxa" w:w="2835"/>
            <w:tcMar>
              <w:top w:w="60" w:type="dxa"/>
              <w:start w:w="60" w:type="dxa"/>
              <w:bottom w:w="60" w:type="dxa"/>
              <w:end w:w="60" w:type="dxa"/>
            </w:tcMar>
            <w:vAlign w:val="center"/>
          </w:tcPr>
          <w:p>
            <w:pPr>
              <w:spacing w:after="0" w:before="0"/>
              <w:jc w:val="center"/>
            </w:pPr>
            <w:r>
              <w:rPr>
                <w:rFonts w:ascii="Times New Roman" w:hAnsi="Times New Roman" w:eastAsia="Times New Roman"/>
                <w:sz w:val="16"/>
              </w:rPr>
              <w:t>Задержка Δt = 0.</w:t>
            </w:r>
          </w:p>
        </w:tc>
        <w:tc>
          <w:tcPr>
            <w:tcW w:type="dxa" w:w="3912"/>
            <w:tcMar>
              <w:top w:w="60" w:type="dxa"/>
              <w:start w:w="60" w:type="dxa"/>
              <w:bottom w:w="60" w:type="dxa"/>
              <w:end w:w="60" w:type="dxa"/>
            </w:tcMar>
            <w:vAlign w:val="center"/>
          </w:tcPr>
          <w:p>
            <w:pPr>
              <w:spacing w:after="0" w:before="0"/>
              <w:jc w:val="center"/>
            </w:pPr>
            <w:r>
              <w:rPr>
                <w:rFonts w:ascii="Times New Roman" w:hAnsi="Times New Roman" w:eastAsia="Times New Roman"/>
                <w:sz w:val="16"/>
              </w:rPr>
              <w:t>Штраф TTM равен 0.</w:t>
            </w:r>
          </w:p>
        </w:tc>
        <w:tc>
          <w:tcPr>
            <w:tcW w:type="dxa" w:w="1020"/>
            <w:tcMar>
              <w:top w:w="60" w:type="dxa"/>
              <w:start w:w="60" w:type="dxa"/>
              <w:bottom w:w="60" w:type="dxa"/>
              <w:end w:w="60" w:type="dxa"/>
            </w:tcMar>
            <w:vAlign w:val="center"/>
          </w:tcPr>
          <w:p>
            <w:pPr>
              <w:spacing w:after="0" w:before="0"/>
              <w:jc w:val="center"/>
            </w:pPr>
            <w:r>
              <w:rPr>
                <w:rFonts w:ascii="Times New Roman" w:hAnsi="Times New Roman" w:eastAsia="Times New Roman"/>
                <w:sz w:val="16"/>
              </w:rPr>
              <w:t>PASS</w:t>
            </w:r>
          </w:p>
        </w:tc>
      </w:tr>
      <w:tr>
        <w:trPr>
          <w:cantSplit/>
        </w:trPr>
        <w:tc>
          <w:tcPr>
            <w:tcW w:type="dxa" w:w="2154"/>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6"/>
              </w:rPr>
              <w:t>TTM_DELAY_AT_HORIZON</w:t>
            </w:r>
          </w:p>
        </w:tc>
        <w:tc>
          <w:tcPr>
            <w:tcW w:type="dxa" w:w="2835"/>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Задержка достигает T.</w:t>
            </w:r>
          </w:p>
        </w:tc>
        <w:tc>
          <w:tcPr>
            <w:tcW w:type="dxa" w:w="3912"/>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Модель корректно фиксирует полную потерю доступного горизонта.</w:t>
            </w:r>
          </w:p>
        </w:tc>
        <w:tc>
          <w:tcPr>
            <w:tcW w:type="dxa" w:w="1020"/>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PASS</w:t>
            </w:r>
          </w:p>
        </w:tc>
      </w:tr>
      <w:tr>
        <w:trPr>
          <w:cantSplit/>
        </w:trPr>
        <w:tc>
          <w:tcPr>
            <w:tcW w:type="dxa" w:w="2154"/>
            <w:tcMar>
              <w:top w:w="60" w:type="dxa"/>
              <w:start w:w="60" w:type="dxa"/>
              <w:bottom w:w="60" w:type="dxa"/>
              <w:end w:w="60" w:type="dxa"/>
            </w:tcMar>
            <w:vAlign w:val="center"/>
          </w:tcPr>
          <w:p>
            <w:pPr>
              <w:spacing w:after="0" w:before="0"/>
              <w:jc w:val="left"/>
            </w:pPr>
            <w:r>
              <w:rPr>
                <w:rFonts w:ascii="Times New Roman" w:hAnsi="Times New Roman" w:eastAsia="Times New Roman"/>
                <w:sz w:val="16"/>
              </w:rPr>
              <w:t>TTM_DELAY_AFTER_HORIZON</w:t>
            </w:r>
          </w:p>
        </w:tc>
        <w:tc>
          <w:tcPr>
            <w:tcW w:type="dxa" w:w="2835"/>
            <w:tcMar>
              <w:top w:w="60" w:type="dxa"/>
              <w:start w:w="60" w:type="dxa"/>
              <w:bottom w:w="60" w:type="dxa"/>
              <w:end w:w="60" w:type="dxa"/>
            </w:tcMar>
            <w:vAlign w:val="center"/>
          </w:tcPr>
          <w:p>
            <w:pPr>
              <w:spacing w:after="0" w:before="0"/>
              <w:jc w:val="center"/>
            </w:pPr>
            <w:r>
              <w:rPr>
                <w:rFonts w:ascii="Times New Roman" w:hAnsi="Times New Roman" w:eastAsia="Times New Roman"/>
                <w:sz w:val="16"/>
              </w:rPr>
              <w:t>Задержка превышает T.</w:t>
            </w:r>
          </w:p>
        </w:tc>
        <w:tc>
          <w:tcPr>
            <w:tcW w:type="dxa" w:w="3912"/>
            <w:tcMar>
              <w:top w:w="60" w:type="dxa"/>
              <w:start w:w="60" w:type="dxa"/>
              <w:bottom w:w="60" w:type="dxa"/>
              <w:end w:w="60" w:type="dxa"/>
            </w:tcMar>
            <w:vAlign w:val="center"/>
          </w:tcPr>
          <w:p>
            <w:pPr>
              <w:spacing w:after="0" w:before="0"/>
              <w:jc w:val="center"/>
            </w:pPr>
            <w:r>
              <w:rPr>
                <w:rFonts w:ascii="Times New Roman" w:hAnsi="Times New Roman" w:eastAsia="Times New Roman"/>
                <w:sz w:val="16"/>
              </w:rPr>
              <w:t>Граничная логика TTM корректно обрабатывает выход за рыночный горизонт.</w:t>
            </w:r>
          </w:p>
        </w:tc>
        <w:tc>
          <w:tcPr>
            <w:tcW w:type="dxa" w:w="1020"/>
            <w:tcMar>
              <w:top w:w="60" w:type="dxa"/>
              <w:start w:w="60" w:type="dxa"/>
              <w:bottom w:w="60" w:type="dxa"/>
              <w:end w:w="60" w:type="dxa"/>
            </w:tcMar>
            <w:vAlign w:val="center"/>
          </w:tcPr>
          <w:p>
            <w:pPr>
              <w:spacing w:after="0" w:before="0"/>
              <w:jc w:val="center"/>
            </w:pPr>
            <w:r>
              <w:rPr>
                <w:rFonts w:ascii="Times New Roman" w:hAnsi="Times New Roman" w:eastAsia="Times New Roman"/>
                <w:sz w:val="16"/>
              </w:rPr>
              <w:t>PASS</w:t>
            </w:r>
          </w:p>
        </w:tc>
      </w:tr>
    </w:tbl>
    <w:p>
      <w:pPr>
        <w:spacing w:after="20"/>
      </w:pPr>
    </w:p>
    <w:p>
      <w:pPr>
        <w:pStyle w:val="Heading1"/>
        <w:spacing w:before="160" w:after="80"/>
        <w:keepNext w:val="1"/>
      </w:pPr>
      <w:r>
        <w:rPr>
          <w:rFonts w:ascii="Times New Roman" w:hAnsi="Times New Roman" w:eastAsia="Times New Roman"/>
          <w:b/>
          <w:color w:val="1F4E78"/>
          <w:sz w:val="30"/>
        </w:rPr>
        <w:t>11. Стресс-тест</w:t>
      </w:r>
    </w:p>
    <w:p>
      <w:pPr>
        <w:spacing w:line="276" w:lineRule="auto" w:after="80" w:before="0"/>
        <w:ind w:firstLine="709"/>
        <w:jc w:val="both"/>
      </w:pPr>
      <w:r>
        <w:rPr>
          <w:rFonts w:ascii="Times New Roman" w:hAnsi="Times New Roman" w:eastAsia="Times New Roman"/>
          <w:b w:val="0"/>
          <w:i w:val="0"/>
          <w:sz w:val="24"/>
        </w:rPr>
        <w:t>Экспресс-стресс-тест реализует три воздействия методического задания: тариф электроэнергии увеличивается с 0,22 до 0,66 долл. США/кВт·ч, годный объём первого прохода снижается с 71,25 до 38 л, что соответствует FPY 75 % → 40 %, а в сравнительном сценарии Delay_Years изменяется с 0 до 0,5 года.</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1701"/>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5"/>
              </w:rPr>
              <w:t>Метрика</w:t>
            </w:r>
          </w:p>
        </w:tc>
        <w:tc>
          <w:tcPr>
            <w:tcW w:type="dxa" w:w="1304"/>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5"/>
              </w:rPr>
              <w:t>Базовый</w:t>
            </w:r>
          </w:p>
        </w:tc>
        <w:tc>
          <w:tcPr>
            <w:tcW w:type="dxa" w:w="1304"/>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5"/>
              </w:rPr>
              <w:t>Стрессовый</w:t>
            </w:r>
          </w:p>
        </w:tc>
        <w:tc>
          <w:tcPr>
            <w:tcW w:type="dxa" w:w="1417"/>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5"/>
              </w:rPr>
              <w:t>Абс. изменение</w:t>
            </w:r>
          </w:p>
        </w:tc>
        <w:tc>
          <w:tcPr>
            <w:tcW w:type="dxa" w:w="1361"/>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5"/>
              </w:rPr>
              <w:t>Отн. изменение</w:t>
            </w:r>
          </w:p>
        </w:tc>
        <w:tc>
          <w:tcPr>
            <w:tcW w:type="dxa" w:w="3005"/>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5"/>
              </w:rPr>
              <w:t>Интерпретация</w:t>
            </w:r>
          </w:p>
        </w:tc>
      </w:tr>
      <w:tr>
        <w:trPr>
          <w:cantSplit/>
        </w:trPr>
        <w:tc>
          <w:tcPr>
            <w:tcW w:type="dxa" w:w="1701"/>
            <w:tcMar>
              <w:top w:w="60" w:type="dxa"/>
              <w:start w:w="60" w:type="dxa"/>
              <w:bottom w:w="60" w:type="dxa"/>
              <w:end w:w="60" w:type="dxa"/>
            </w:tcMar>
            <w:vAlign w:val="center"/>
          </w:tcPr>
          <w:p>
            <w:pPr>
              <w:spacing w:after="0" w:before="0"/>
              <w:jc w:val="left"/>
            </w:pPr>
            <w:r>
              <w:rPr>
                <w:rFonts w:ascii="Times New Roman" w:hAnsi="Times New Roman" w:eastAsia="Times New Roman"/>
                <w:sz w:val="15"/>
              </w:rPr>
              <w:t>FPY</w:t>
            </w:r>
          </w:p>
        </w:tc>
        <w:tc>
          <w:tcPr>
            <w:tcW w:type="dxa" w:w="1304"/>
            <w:tcMar>
              <w:top w:w="60" w:type="dxa"/>
              <w:start w:w="60" w:type="dxa"/>
              <w:bottom w:w="60" w:type="dxa"/>
              <w:end w:w="60" w:type="dxa"/>
            </w:tcMar>
            <w:vAlign w:val="center"/>
          </w:tcPr>
          <w:p>
            <w:pPr>
              <w:spacing w:after="0" w:before="0"/>
              <w:jc w:val="center"/>
            </w:pPr>
            <w:r>
              <w:rPr>
                <w:rFonts w:ascii="Times New Roman" w:hAnsi="Times New Roman" w:eastAsia="Times New Roman"/>
                <w:sz w:val="15"/>
              </w:rPr>
              <w:t>75,00 %</w:t>
            </w:r>
          </w:p>
        </w:tc>
        <w:tc>
          <w:tcPr>
            <w:tcW w:type="dxa" w:w="1304"/>
            <w:tcMar>
              <w:top w:w="60" w:type="dxa"/>
              <w:start w:w="60" w:type="dxa"/>
              <w:bottom w:w="60" w:type="dxa"/>
              <w:end w:w="60" w:type="dxa"/>
            </w:tcMar>
            <w:vAlign w:val="center"/>
          </w:tcPr>
          <w:p>
            <w:pPr>
              <w:spacing w:after="0" w:before="0"/>
              <w:jc w:val="center"/>
            </w:pPr>
            <w:r>
              <w:rPr>
                <w:rFonts w:ascii="Times New Roman" w:hAnsi="Times New Roman" w:eastAsia="Times New Roman"/>
                <w:sz w:val="15"/>
              </w:rPr>
              <w:t>40,00 %</w:t>
            </w:r>
          </w:p>
        </w:tc>
        <w:tc>
          <w:tcPr>
            <w:tcW w:type="dxa" w:w="1417"/>
            <w:tcMar>
              <w:top w:w="60" w:type="dxa"/>
              <w:start w:w="60" w:type="dxa"/>
              <w:bottom w:w="60" w:type="dxa"/>
              <w:end w:w="60" w:type="dxa"/>
            </w:tcMar>
            <w:vAlign w:val="center"/>
          </w:tcPr>
          <w:p>
            <w:pPr>
              <w:spacing w:after="0" w:before="0"/>
              <w:jc w:val="center"/>
            </w:pPr>
            <w:r>
              <w:rPr>
                <w:rFonts w:ascii="Times New Roman" w:hAnsi="Times New Roman" w:eastAsia="Times New Roman"/>
                <w:sz w:val="15"/>
              </w:rPr>
              <w:t>-35,00 %</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-46,67 %</w:t>
            </w:r>
          </w:p>
        </w:tc>
        <w:tc>
          <w:tcPr>
            <w:tcW w:type="dxa" w:w="3005"/>
            <w:tcMar>
              <w:top w:w="60" w:type="dxa"/>
              <w:start w:w="60" w:type="dxa"/>
              <w:bottom w:w="60" w:type="dxa"/>
              <w:end w:w="60" w:type="dxa"/>
            </w:tcMar>
            <w:vAlign w:val="center"/>
          </w:tcPr>
          <w:p>
            <w:pPr>
              <w:spacing w:after="0" w:before="0"/>
              <w:jc w:val="center"/>
            </w:pPr>
            <w:r>
              <w:rPr>
                <w:rFonts w:ascii="Times New Roman" w:hAnsi="Times New Roman" w:eastAsia="Times New Roman"/>
                <w:sz w:val="15"/>
              </w:rPr>
              <w:t>Падение FPY отражает рост переделок и потерь первого прохода.</w:t>
            </w:r>
          </w:p>
        </w:tc>
      </w:tr>
      <w:tr>
        <w:trPr>
          <w:cantSplit/>
        </w:trPr>
        <w:tc>
          <w:tcPr>
            <w:tcW w:type="dxa" w:w="1701"/>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5"/>
              </w:rPr>
              <w:t>OEE</w:t>
            </w:r>
          </w:p>
        </w:tc>
        <w:tc>
          <w:tcPr>
            <w:tcW w:type="dxa" w:w="1304"/>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59,38 %</w:t>
            </w:r>
          </w:p>
        </w:tc>
        <w:tc>
          <w:tcPr>
            <w:tcW w:type="dxa" w:w="1304"/>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31,67 %</w:t>
            </w:r>
          </w:p>
        </w:tc>
        <w:tc>
          <w:tcPr>
            <w:tcW w:type="dxa" w:w="141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-27,71 %</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-46,67 %</w:t>
            </w:r>
          </w:p>
        </w:tc>
        <w:tc>
          <w:tcPr>
            <w:tcW w:type="dxa" w:w="3005"/>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Снижение Quality напрямую уменьшает OEE.</w:t>
            </w:r>
          </w:p>
        </w:tc>
      </w:tr>
      <w:tr>
        <w:trPr>
          <w:cantSplit/>
        </w:trPr>
        <w:tc>
          <w:tcPr>
            <w:tcW w:type="dxa" w:w="1701"/>
            <w:tcMar>
              <w:top w:w="60" w:type="dxa"/>
              <w:start w:w="60" w:type="dxa"/>
              <w:bottom w:w="60" w:type="dxa"/>
              <w:end w:w="60" w:type="dxa"/>
            </w:tcMar>
            <w:vAlign w:val="center"/>
          </w:tcPr>
          <w:p>
            <w:pPr>
              <w:spacing w:after="0" w:before="0"/>
              <w:jc w:val="left"/>
            </w:pPr>
            <w:r>
              <w:rPr>
                <w:rFonts w:ascii="Times New Roman" w:hAnsi="Times New Roman" w:eastAsia="Times New Roman"/>
                <w:sz w:val="15"/>
              </w:rPr>
              <w:t>TEEP</w:t>
            </w:r>
          </w:p>
        </w:tc>
        <w:tc>
          <w:tcPr>
            <w:tcW w:type="dxa" w:w="1304"/>
            <w:tcMar>
              <w:top w:w="60" w:type="dxa"/>
              <w:start w:w="60" w:type="dxa"/>
              <w:bottom w:w="60" w:type="dxa"/>
              <w:end w:w="60" w:type="dxa"/>
            </w:tcMar>
            <w:vAlign w:val="center"/>
          </w:tcPr>
          <w:p>
            <w:pPr>
              <w:spacing w:after="0" w:before="0"/>
              <w:jc w:val="center"/>
            </w:pPr>
            <w:r>
              <w:rPr>
                <w:rFonts w:ascii="Times New Roman" w:hAnsi="Times New Roman" w:eastAsia="Times New Roman"/>
                <w:sz w:val="15"/>
              </w:rPr>
              <w:t>39,58 %</w:t>
            </w:r>
          </w:p>
        </w:tc>
        <w:tc>
          <w:tcPr>
            <w:tcW w:type="dxa" w:w="1304"/>
            <w:tcMar>
              <w:top w:w="60" w:type="dxa"/>
              <w:start w:w="60" w:type="dxa"/>
              <w:bottom w:w="60" w:type="dxa"/>
              <w:end w:w="60" w:type="dxa"/>
            </w:tcMar>
            <w:vAlign w:val="center"/>
          </w:tcPr>
          <w:p>
            <w:pPr>
              <w:spacing w:after="0" w:before="0"/>
              <w:jc w:val="center"/>
            </w:pPr>
            <w:r>
              <w:rPr>
                <w:rFonts w:ascii="Times New Roman" w:hAnsi="Times New Roman" w:eastAsia="Times New Roman"/>
                <w:sz w:val="15"/>
              </w:rPr>
              <w:t>21,11 %</w:t>
            </w:r>
          </w:p>
        </w:tc>
        <w:tc>
          <w:tcPr>
            <w:tcW w:type="dxa" w:w="1417"/>
            <w:tcMar>
              <w:top w:w="60" w:type="dxa"/>
              <w:start w:w="60" w:type="dxa"/>
              <w:bottom w:w="60" w:type="dxa"/>
              <w:end w:w="60" w:type="dxa"/>
            </w:tcMar>
            <w:vAlign w:val="center"/>
          </w:tcPr>
          <w:p>
            <w:pPr>
              <w:spacing w:after="0" w:before="0"/>
              <w:jc w:val="center"/>
            </w:pPr>
            <w:r>
              <w:rPr>
                <w:rFonts w:ascii="Times New Roman" w:hAnsi="Times New Roman" w:eastAsia="Times New Roman"/>
                <w:sz w:val="15"/>
              </w:rPr>
              <w:t>-18,47 %</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-46,67 %</w:t>
            </w:r>
          </w:p>
        </w:tc>
        <w:tc>
          <w:tcPr>
            <w:tcW w:type="dxa" w:w="3005"/>
            <w:tcMar>
              <w:top w:w="60" w:type="dxa"/>
              <w:start w:w="60" w:type="dxa"/>
              <w:bottom w:w="60" w:type="dxa"/>
              <w:end w:w="60" w:type="dxa"/>
            </w:tcMar>
            <w:vAlign w:val="center"/>
          </w:tcPr>
          <w:p>
            <w:pPr>
              <w:spacing w:after="0" w:before="0"/>
              <w:jc w:val="center"/>
            </w:pPr>
            <w:r>
              <w:rPr>
                <w:rFonts w:ascii="Times New Roman" w:hAnsi="Times New Roman" w:eastAsia="Times New Roman"/>
                <w:sz w:val="15"/>
              </w:rPr>
              <w:t>TEEP снижается вместе с OEE при неизменной календарной загрузке.</w:t>
            </w:r>
          </w:p>
        </w:tc>
      </w:tr>
      <w:tr>
        <w:trPr>
          <w:cantSplit/>
        </w:trPr>
        <w:tc>
          <w:tcPr>
            <w:tcW w:type="dxa" w:w="1701"/>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5"/>
              </w:rPr>
              <w:t>Energy Cost</w:t>
            </w:r>
          </w:p>
        </w:tc>
        <w:tc>
          <w:tcPr>
            <w:tcW w:type="dxa" w:w="1304"/>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25 300,00</w:t>
            </w:r>
          </w:p>
        </w:tc>
        <w:tc>
          <w:tcPr>
            <w:tcW w:type="dxa" w:w="1304"/>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75 900,00</w:t>
            </w:r>
          </w:p>
        </w:tc>
        <w:tc>
          <w:tcPr>
            <w:tcW w:type="dxa" w:w="141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50 600,00</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200,00 %</w:t>
            </w:r>
          </w:p>
        </w:tc>
        <w:tc>
          <w:tcPr>
            <w:tcW w:type="dxa" w:w="3005"/>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Трёхкратный тариф увеличивает затраты на электроэнергию.</w:t>
            </w:r>
          </w:p>
        </w:tc>
      </w:tr>
      <w:tr>
        <w:trPr>
          <w:cantSplit/>
        </w:trPr>
        <w:tc>
          <w:tcPr>
            <w:tcW w:type="dxa" w:w="1701"/>
            <w:tcMar>
              <w:top w:w="60" w:type="dxa"/>
              <w:start w:w="60" w:type="dxa"/>
              <w:bottom w:w="60" w:type="dxa"/>
              <w:end w:w="60" w:type="dxa"/>
            </w:tcMar>
            <w:vAlign w:val="center"/>
          </w:tcPr>
          <w:p>
            <w:pPr>
              <w:spacing w:after="0" w:before="0"/>
              <w:jc w:val="left"/>
            </w:pPr>
            <w:r>
              <w:rPr>
                <w:rFonts w:ascii="Times New Roman" w:hAnsi="Times New Roman" w:eastAsia="Times New Roman"/>
                <w:sz w:val="15"/>
              </w:rPr>
              <w:t>Economic Intensity</w:t>
            </w:r>
          </w:p>
        </w:tc>
        <w:tc>
          <w:tcPr>
            <w:tcW w:type="dxa" w:w="1304"/>
            <w:tcMar>
              <w:top w:w="60" w:type="dxa"/>
              <w:start w:w="60" w:type="dxa"/>
              <w:bottom w:w="60" w:type="dxa"/>
              <w:end w:w="60" w:type="dxa"/>
            </w:tcMar>
            <w:vAlign w:val="center"/>
          </w:tcPr>
          <w:p>
            <w:pPr>
              <w:spacing w:after="0" w:before="0"/>
              <w:jc w:val="center"/>
            </w:pPr>
            <w:r>
              <w:rPr>
                <w:rFonts w:ascii="Times New Roman" w:hAnsi="Times New Roman" w:eastAsia="Times New Roman"/>
                <w:sz w:val="15"/>
              </w:rPr>
              <w:t>14 713,04</w:t>
            </w:r>
          </w:p>
        </w:tc>
        <w:tc>
          <w:tcPr>
            <w:tcW w:type="dxa" w:w="1304"/>
            <w:tcMar>
              <w:top w:w="60" w:type="dxa"/>
              <w:start w:w="60" w:type="dxa"/>
              <w:bottom w:w="60" w:type="dxa"/>
              <w:end w:w="60" w:type="dxa"/>
            </w:tcMar>
            <w:vAlign w:val="center"/>
          </w:tcPr>
          <w:p>
            <w:pPr>
              <w:spacing w:after="0" w:before="0"/>
              <w:jc w:val="center"/>
            </w:pPr>
            <w:r>
              <w:rPr>
                <w:rFonts w:ascii="Times New Roman" w:hAnsi="Times New Roman" w:eastAsia="Times New Roman"/>
                <w:sz w:val="15"/>
              </w:rPr>
              <w:t>15 339,66</w:t>
            </w:r>
          </w:p>
        </w:tc>
        <w:tc>
          <w:tcPr>
            <w:tcW w:type="dxa" w:w="1417"/>
            <w:tcMar>
              <w:top w:w="60" w:type="dxa"/>
              <w:start w:w="60" w:type="dxa"/>
              <w:bottom w:w="60" w:type="dxa"/>
              <w:end w:w="60" w:type="dxa"/>
            </w:tcMar>
            <w:vAlign w:val="center"/>
          </w:tcPr>
          <w:p>
            <w:pPr>
              <w:spacing w:after="0" w:before="0"/>
              <w:jc w:val="center"/>
            </w:pPr>
            <w:r>
              <w:rPr>
                <w:rFonts w:ascii="Times New Roman" w:hAnsi="Times New Roman" w:eastAsia="Times New Roman"/>
                <w:sz w:val="15"/>
              </w:rPr>
              <w:t>626,63</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4,26 %</w:t>
            </w:r>
          </w:p>
        </w:tc>
        <w:tc>
          <w:tcPr>
            <w:tcW w:type="dxa" w:w="3005"/>
            <w:tcMar>
              <w:top w:w="60" w:type="dxa"/>
              <w:start w:w="60" w:type="dxa"/>
              <w:bottom w:w="60" w:type="dxa"/>
              <w:end w:w="60" w:type="dxa"/>
            </w:tcMar>
            <w:vAlign w:val="center"/>
          </w:tcPr>
          <w:p>
            <w:pPr>
              <w:spacing w:after="0" w:before="0"/>
              <w:jc w:val="center"/>
            </w:pPr>
            <w:r>
              <w:rPr>
                <w:rFonts w:ascii="Times New Roman" w:hAnsi="Times New Roman" w:eastAsia="Times New Roman"/>
                <w:sz w:val="15"/>
              </w:rPr>
              <w:t>Рост затрат увеличивает стоимость ресурсов на литр годной продукции.</w:t>
            </w:r>
          </w:p>
        </w:tc>
      </w:tr>
      <w:tr>
        <w:trPr>
          <w:cantSplit/>
        </w:trPr>
        <w:tc>
          <w:tcPr>
            <w:tcW w:type="dxa" w:w="1701"/>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5"/>
              </w:rPr>
              <w:t>CPU</w:t>
            </w:r>
          </w:p>
        </w:tc>
        <w:tc>
          <w:tcPr>
            <w:tcW w:type="dxa" w:w="1304"/>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14 713,04</w:t>
            </w:r>
          </w:p>
        </w:tc>
        <w:tc>
          <w:tcPr>
            <w:tcW w:type="dxa" w:w="1304"/>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15 339,66</w:t>
            </w:r>
          </w:p>
        </w:tc>
        <w:tc>
          <w:tcPr>
            <w:tcW w:type="dxa" w:w="141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626,63</w:t>
            </w:r>
          </w:p>
        </w:tc>
        <w:tc>
          <w:tcPr>
            <w:tcW w:type="dxa" w:w="136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4,26 %</w:t>
            </w:r>
          </w:p>
        </w:tc>
        <w:tc>
          <w:tcPr>
            <w:tcW w:type="dxa" w:w="3005"/>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5"/>
              </w:rPr>
              <w:t>Рост полной стоимости повышает себестоимость итогового годного литра.</w:t>
            </w:r>
          </w:p>
        </w:tc>
      </w:tr>
      <w:tr>
        <w:trPr>
          <w:cantSplit/>
        </w:trPr>
        <w:tc>
          <w:tcPr>
            <w:tcW w:type="dxa" w:w="1701"/>
            <w:tcMar>
              <w:top w:w="60" w:type="dxa"/>
              <w:start w:w="60" w:type="dxa"/>
              <w:bottom w:w="60" w:type="dxa"/>
              <w:end w:w="60" w:type="dxa"/>
            </w:tcMar>
            <w:vAlign w:val="center"/>
          </w:tcPr>
          <w:p>
            <w:pPr>
              <w:spacing w:after="0" w:before="0"/>
              <w:jc w:val="left"/>
            </w:pPr>
            <w:r>
              <w:rPr>
                <w:rFonts w:ascii="Times New Roman" w:hAnsi="Times New Roman" w:eastAsia="Times New Roman"/>
                <w:sz w:val="15"/>
              </w:rPr>
              <w:t>TTM Penalty</w:t>
            </w:r>
          </w:p>
        </w:tc>
        <w:tc>
          <w:tcPr>
            <w:tcW w:type="dxa" w:w="1304"/>
            <w:tcMar>
              <w:top w:w="60" w:type="dxa"/>
              <w:start w:w="60" w:type="dxa"/>
              <w:bottom w:w="60" w:type="dxa"/>
              <w:end w:w="60" w:type="dxa"/>
            </w:tcMar>
            <w:vAlign w:val="center"/>
          </w:tcPr>
          <w:p>
            <w:pPr>
              <w:spacing w:after="0" w:before="0"/>
              <w:jc w:val="center"/>
            </w:pPr>
            <w:r>
              <w:rPr>
                <w:rFonts w:ascii="Times New Roman" w:hAnsi="Times New Roman" w:eastAsia="Times New Roman"/>
                <w:sz w:val="15"/>
              </w:rPr>
              <w:t>0,00 %</w:t>
            </w:r>
          </w:p>
        </w:tc>
        <w:tc>
          <w:tcPr>
            <w:tcW w:type="dxa" w:w="1304"/>
            <w:tcMar>
              <w:top w:w="60" w:type="dxa"/>
              <w:start w:w="60" w:type="dxa"/>
              <w:bottom w:w="60" w:type="dxa"/>
              <w:end w:w="60" w:type="dxa"/>
            </w:tcMar>
            <w:vAlign w:val="center"/>
          </w:tcPr>
          <w:p>
            <w:pPr>
              <w:spacing w:after="0" w:before="0"/>
              <w:jc w:val="center"/>
            </w:pPr>
            <w:r>
              <w:rPr>
                <w:rFonts w:ascii="Times New Roman" w:hAnsi="Times New Roman" w:eastAsia="Times New Roman"/>
                <w:sz w:val="15"/>
              </w:rPr>
              <w:t>26,29 %</w:t>
            </w:r>
          </w:p>
        </w:tc>
        <w:tc>
          <w:tcPr>
            <w:tcW w:type="dxa" w:w="1417"/>
            <w:tcMar>
              <w:top w:w="60" w:type="dxa"/>
              <w:start w:w="60" w:type="dxa"/>
              <w:bottom w:w="60" w:type="dxa"/>
              <w:end w:w="60" w:type="dxa"/>
            </w:tcMar>
            <w:vAlign w:val="center"/>
          </w:tcPr>
          <w:p>
            <w:pPr>
              <w:spacing w:after="0" w:before="0"/>
              <w:jc w:val="center"/>
            </w:pPr>
            <w:r>
              <w:rPr>
                <w:rFonts w:ascii="Times New Roman" w:hAnsi="Times New Roman" w:eastAsia="Times New Roman"/>
                <w:sz w:val="15"/>
              </w:rPr>
              <w:t>26,29 %</w:t>
            </w:r>
          </w:p>
        </w:tc>
        <w:tc>
          <w:tcPr>
            <w:tcW w:type="dxa" w:w="1361"/>
            <w:tcMar>
              <w:top w:w="60" w:type="dxa"/>
              <w:start w:w="60" w:type="dxa"/>
              <w:bottom w:w="60" w:type="dxa"/>
              <w:end w:w="60" w:type="dxa"/>
            </w:tcMar>
            <w:vAlign w:val="center"/>
          </w:tcPr>
          <w:p>
            <w:pPr>
              <w:spacing w:after="0" w:before="0"/>
              <w:jc w:val="center"/>
            </w:pPr>
            <w:r>
              <w:rPr>
                <w:rFonts w:ascii="Times New Roman" w:hAnsi="Times New Roman" w:eastAsia="Times New Roman"/>
                <w:sz w:val="15"/>
              </w:rPr>
              <w:t>НЕ ОПРЕДЕЛЯЕТСЯ</w:t>
            </w:r>
          </w:p>
        </w:tc>
        <w:tc>
          <w:tcPr>
            <w:tcW w:type="dxa" w:w="3005"/>
            <w:tcMar>
              <w:top w:w="60" w:type="dxa"/>
              <w:start w:w="60" w:type="dxa"/>
              <w:bottom w:w="60" w:type="dxa"/>
              <w:end w:w="60" w:type="dxa"/>
            </w:tcMar>
            <w:vAlign w:val="center"/>
          </w:tcPr>
          <w:p>
            <w:pPr>
              <w:spacing w:after="0" w:before="0"/>
              <w:jc w:val="center"/>
            </w:pPr>
            <w:r>
              <w:rPr>
                <w:rFonts w:ascii="Times New Roman" w:hAnsi="Times New Roman" w:eastAsia="Times New Roman"/>
                <w:sz w:val="15"/>
              </w:rPr>
              <w:t>Задержка одновременно дисконтирует деньги, снижает цену и сокращает рынок.</w:t>
            </w:r>
          </w:p>
        </w:tc>
      </w:tr>
    </w:tbl>
    <w:p>
      <w:pPr>
        <w:spacing w:after="20"/>
      </w:pPr>
    </w:p>
    <w:p>
      <w:pPr>
        <w:spacing w:line="276" w:lineRule="auto" w:after="80" w:before="0"/>
        <w:ind w:firstLine="709"/>
        <w:jc w:val="both"/>
      </w:pPr>
      <w:r>
        <w:rPr>
          <w:rFonts w:ascii="Times New Roman" w:hAnsi="Times New Roman" w:eastAsia="Times New Roman"/>
          <w:b w:val="0"/>
          <w:i w:val="0"/>
          <w:sz w:val="24"/>
        </w:rPr>
        <w:t>Падение FPY приводит к пропорциональному снижению Quality и, при неизменных Availability и Performance, уменьшает OEE с 59,38 % до 31,67 % и TEEP с 39,58 % до 21,11 %. Трёхкратный тариф увеличивает Energy Cost с 25 300,00 до 75 900,00 долл. США/месяц, то есть на 50 600,00 долл. США.</w:t>
      </w:r>
    </w:p>
    <w:p>
      <w:pPr>
        <w:spacing w:line="276" w:lineRule="auto" w:after="80" w:before="0"/>
        <w:ind w:firstLine="709"/>
        <w:jc w:val="both"/>
      </w:pPr>
      <w:r>
        <w:rPr>
          <w:rFonts w:ascii="Times New Roman" w:hAnsi="Times New Roman" w:eastAsia="Times New Roman"/>
          <w:b w:val="0"/>
          <w:i w:val="0"/>
          <w:sz w:val="24"/>
        </w:rPr>
        <w:t>Экономическая ресурсоёмкость и CPU растут с 14 713,04 до 15 339,66 долл. США/л, увеличение составляет 626,63 долл. США/л, или 4,26 %. В текущем stress CSV Final_Good_Units остаётся равным 80,75 л, а отдельная стоимость переделки отсутствует. Поэтому само снижение FPY не монетизируется через CPU напрямую: наблюдаемый рост CPU обусловлен увеличением Energy Cost. Для отдельной оценки потерь переделки потребовался бы параметр rework cost, которого в исходных данных нет.</w:t>
      </w:r>
    </w:p>
    <w:p>
      <w:pPr>
        <w:pStyle w:val="Heading1"/>
        <w:spacing w:before="160" w:after="80"/>
        <w:keepNext w:val="1"/>
      </w:pPr>
      <w:r>
        <w:rPr>
          <w:rFonts w:ascii="Times New Roman" w:hAnsi="Times New Roman" w:eastAsia="Times New Roman"/>
          <w:b/>
          <w:color w:val="1F4E78"/>
          <w:sz w:val="30"/>
        </w:rPr>
        <w:t>12. Time-to-Market</w:t>
      </w:r>
    </w:p>
    <w:p>
      <w:pPr>
        <w:spacing w:line="276" w:lineRule="auto" w:after="80" w:before="0"/>
        <w:ind w:firstLine="709"/>
        <w:jc w:val="both"/>
      </w:pPr>
      <w:r>
        <w:rPr>
          <w:rFonts w:ascii="Times New Roman" w:hAnsi="Times New Roman" w:eastAsia="Times New Roman"/>
          <w:b w:val="0"/>
          <w:i w:val="0"/>
          <w:sz w:val="24"/>
        </w:rPr>
        <w:t>Временной фактор анализируется отдельно, поскольку в материалах присутствуют два набора исходных предпосылок. Методическое задание задаёт r = 10 %, α = 15 %, T = 3 года и Δt = 0,5 года. CSV пилотного сценария содержит r = 12 %, α = 18 %, T = 3 года и Δt = 0,5 года. Эти сценарии не смешиваются.</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2381"/>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7"/>
              </w:rPr>
              <w:t>Сценарий</w:t>
            </w:r>
          </w:p>
        </w:tc>
        <w:tc>
          <w:tcPr>
            <w:tcW w:type="dxa" w:w="1701"/>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7"/>
              </w:rPr>
              <w:t>Ставка дисконтирования</w:t>
            </w:r>
          </w:p>
        </w:tc>
        <w:tc>
          <w:tcPr>
            <w:tcW w:type="dxa" w:w="1587"/>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7"/>
              </w:rPr>
              <w:t>Ценовая эрозия</w:t>
            </w:r>
          </w:p>
        </w:tc>
        <w:tc>
          <w:tcPr>
            <w:tcW w:type="dxa" w:w="1247"/>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7"/>
              </w:rPr>
              <w:t>Горизонт</w:t>
            </w:r>
          </w:p>
        </w:tc>
        <w:tc>
          <w:tcPr>
            <w:tcW w:type="dxa" w:w="1474"/>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7"/>
              </w:rPr>
              <w:t>Задержка</w:t>
            </w:r>
          </w:p>
        </w:tc>
        <w:tc>
          <w:tcPr>
            <w:tcW w:type="dxa" w:w="1474"/>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7"/>
              </w:rPr>
              <w:t>Штраф TTM</w:t>
            </w:r>
          </w:p>
        </w:tc>
      </w:tr>
      <w:tr>
        <w:trPr>
          <w:cantSplit/>
        </w:trPr>
        <w:tc>
          <w:tcPr>
            <w:tcW w:type="dxa" w:w="2381"/>
            <w:tcMar>
              <w:top w:w="60" w:type="dxa"/>
              <w:start w:w="60" w:type="dxa"/>
              <w:bottom w:w="60" w:type="dxa"/>
              <w:end w:w="60" w:type="dxa"/>
            </w:tcMar>
            <w:vAlign w:val="center"/>
          </w:tcPr>
          <w:p>
            <w:pPr>
              <w:spacing w:after="0" w:before="0"/>
              <w:jc w:val="left"/>
            </w:pPr>
            <w:r>
              <w:rPr>
                <w:rFonts w:ascii="Times New Roman" w:hAnsi="Times New Roman" w:eastAsia="Times New Roman"/>
                <w:sz w:val="17"/>
              </w:rPr>
              <w:t>Параметры задания</w:t>
            </w:r>
          </w:p>
        </w:tc>
        <w:tc>
          <w:tcPr>
            <w:tcW w:type="dxa" w:w="1701"/>
            <w:tcMar>
              <w:top w:w="60" w:type="dxa"/>
              <w:start w:w="60" w:type="dxa"/>
              <w:bottom w:w="60" w:type="dxa"/>
              <w:end w:w="60" w:type="dxa"/>
            </w:tcMar>
            <w:vAlign w:val="center"/>
          </w:tcPr>
          <w:p>
            <w:pPr>
              <w:spacing w:after="0" w:before="0"/>
              <w:jc w:val="center"/>
            </w:pPr>
            <w:r>
              <w:rPr>
                <w:rFonts w:ascii="Times New Roman" w:hAnsi="Times New Roman" w:eastAsia="Times New Roman"/>
                <w:sz w:val="17"/>
              </w:rPr>
              <w:t>10,00 %</w:t>
            </w:r>
          </w:p>
        </w:tc>
        <w:tc>
          <w:tcPr>
            <w:tcW w:type="dxa" w:w="1587"/>
            <w:tcMar>
              <w:top w:w="60" w:type="dxa"/>
              <w:start w:w="60" w:type="dxa"/>
              <w:bottom w:w="60" w:type="dxa"/>
              <w:end w:w="60" w:type="dxa"/>
            </w:tcMar>
            <w:vAlign w:val="center"/>
          </w:tcPr>
          <w:p>
            <w:pPr>
              <w:spacing w:after="0" w:before="0"/>
              <w:jc w:val="center"/>
            </w:pPr>
            <w:r>
              <w:rPr>
                <w:rFonts w:ascii="Times New Roman" w:hAnsi="Times New Roman" w:eastAsia="Times New Roman"/>
                <w:sz w:val="17"/>
              </w:rPr>
              <w:t>15,00 %</w:t>
            </w:r>
          </w:p>
        </w:tc>
        <w:tc>
          <w:tcPr>
            <w:tcW w:type="dxa" w:w="1247"/>
            <w:tcMar>
              <w:top w:w="60" w:type="dxa"/>
              <w:start w:w="60" w:type="dxa"/>
              <w:bottom w:w="60" w:type="dxa"/>
              <w:end w:w="60" w:type="dxa"/>
            </w:tcMar>
            <w:vAlign w:val="center"/>
          </w:tcPr>
          <w:p>
            <w:pPr>
              <w:spacing w:after="0" w:before="0"/>
              <w:jc w:val="center"/>
            </w:pPr>
            <w:r>
              <w:rPr>
                <w:rFonts w:ascii="Times New Roman" w:hAnsi="Times New Roman" w:eastAsia="Times New Roman"/>
                <w:sz w:val="17"/>
              </w:rPr>
              <w:t>3 года</w:t>
            </w:r>
          </w:p>
        </w:tc>
        <w:tc>
          <w:tcPr>
            <w:tcW w:type="dxa" w:w="1474"/>
            <w:tcMar>
              <w:top w:w="60" w:type="dxa"/>
              <w:start w:w="60" w:type="dxa"/>
              <w:bottom w:w="60" w:type="dxa"/>
              <w:end w:w="60" w:type="dxa"/>
            </w:tcMar>
            <w:vAlign w:val="center"/>
          </w:tcPr>
          <w:p>
            <w:pPr>
              <w:spacing w:after="0" w:before="0"/>
              <w:jc w:val="center"/>
            </w:pPr>
            <w:r>
              <w:rPr>
                <w:rFonts w:ascii="Times New Roman" w:hAnsi="Times New Roman" w:eastAsia="Times New Roman"/>
                <w:sz w:val="17"/>
              </w:rPr>
              <w:t>0,5 года</w:t>
            </w:r>
          </w:p>
        </w:tc>
        <w:tc>
          <w:tcPr>
            <w:tcW w:type="dxa" w:w="1474"/>
            <w:tcMar>
              <w:top w:w="60" w:type="dxa"/>
              <w:start w:w="60" w:type="dxa"/>
              <w:bottom w:w="60" w:type="dxa"/>
              <w:end w:w="60" w:type="dxa"/>
            </w:tcMar>
            <w:vAlign w:val="center"/>
          </w:tcPr>
          <w:p>
            <w:pPr>
              <w:spacing w:after="0" w:before="0"/>
              <w:jc w:val="center"/>
            </w:pPr>
            <w:r>
              <w:rPr>
                <w:rFonts w:ascii="Times New Roman" w:hAnsi="Times New Roman" w:eastAsia="Times New Roman"/>
                <w:sz w:val="17"/>
              </w:rPr>
              <w:t>26,2859 %</w:t>
            </w:r>
          </w:p>
        </w:tc>
      </w:tr>
      <w:tr>
        <w:trPr>
          <w:cantSplit/>
        </w:trPr>
        <w:tc>
          <w:tcPr>
            <w:tcW w:type="dxa" w:w="2381"/>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7"/>
              </w:rPr>
              <w:t>Параметры CSV</w:t>
            </w:r>
          </w:p>
        </w:tc>
        <w:tc>
          <w:tcPr>
            <w:tcW w:type="dxa" w:w="170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7"/>
              </w:rPr>
              <w:t>12,00 %</w:t>
            </w:r>
          </w:p>
        </w:tc>
        <w:tc>
          <w:tcPr>
            <w:tcW w:type="dxa" w:w="158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7"/>
              </w:rPr>
              <w:t>18,00 %</w:t>
            </w:r>
          </w:p>
        </w:tc>
        <w:tc>
          <w:tcPr>
            <w:tcW w:type="dxa" w:w="124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7"/>
              </w:rPr>
              <w:t>3 года</w:t>
            </w:r>
          </w:p>
        </w:tc>
        <w:tc>
          <w:tcPr>
            <w:tcW w:type="dxa" w:w="1474"/>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7"/>
              </w:rPr>
              <w:t>0,5 года</w:t>
            </w:r>
          </w:p>
        </w:tc>
        <w:tc>
          <w:tcPr>
            <w:tcW w:type="dxa" w:w="1474"/>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7"/>
              </w:rPr>
              <w:t>28,0347 %</w:t>
            </w:r>
          </w:p>
        </w:tc>
      </w:tr>
      <w:tr>
        <w:trPr>
          <w:cantSplit/>
        </w:trPr>
        <w:tc>
          <w:tcPr>
            <w:tcW w:type="dxa" w:w="2381"/>
            <w:tcMar>
              <w:top w:w="60" w:type="dxa"/>
              <w:start w:w="60" w:type="dxa"/>
              <w:bottom w:w="60" w:type="dxa"/>
              <w:end w:w="60" w:type="dxa"/>
            </w:tcMar>
            <w:vAlign w:val="center"/>
          </w:tcPr>
          <w:p>
            <w:pPr>
              <w:spacing w:after="0" w:before="0"/>
              <w:jc w:val="left"/>
            </w:pPr>
            <w:r>
              <w:rPr>
                <w:rFonts w:ascii="Times New Roman" w:hAnsi="Times New Roman" w:eastAsia="Times New Roman"/>
                <w:sz w:val="17"/>
              </w:rPr>
              <w:t>Стресс относительно базового comparison</w:t>
            </w:r>
          </w:p>
        </w:tc>
        <w:tc>
          <w:tcPr>
            <w:tcW w:type="dxa" w:w="1701"/>
            <w:tcMar>
              <w:top w:w="60" w:type="dxa"/>
              <w:start w:w="60" w:type="dxa"/>
              <w:bottom w:w="60" w:type="dxa"/>
              <w:end w:w="60" w:type="dxa"/>
            </w:tcMar>
            <w:vAlign w:val="center"/>
          </w:tcPr>
          <w:p>
            <w:pPr>
              <w:spacing w:after="0" w:before="0"/>
              <w:jc w:val="center"/>
            </w:pPr>
            <w:r>
              <w:rPr>
                <w:rFonts w:ascii="Times New Roman" w:hAnsi="Times New Roman" w:eastAsia="Times New Roman"/>
                <w:sz w:val="17"/>
              </w:rPr>
              <w:t>10,00 %</w:t>
            </w:r>
          </w:p>
        </w:tc>
        <w:tc>
          <w:tcPr>
            <w:tcW w:type="dxa" w:w="1587"/>
            <w:tcMar>
              <w:top w:w="60" w:type="dxa"/>
              <w:start w:w="60" w:type="dxa"/>
              <w:bottom w:w="60" w:type="dxa"/>
              <w:end w:w="60" w:type="dxa"/>
            </w:tcMar>
            <w:vAlign w:val="center"/>
          </w:tcPr>
          <w:p>
            <w:pPr>
              <w:spacing w:after="0" w:before="0"/>
              <w:jc w:val="center"/>
            </w:pPr>
            <w:r>
              <w:rPr>
                <w:rFonts w:ascii="Times New Roman" w:hAnsi="Times New Roman" w:eastAsia="Times New Roman"/>
                <w:sz w:val="17"/>
              </w:rPr>
              <w:t>15,00 %</w:t>
            </w:r>
          </w:p>
        </w:tc>
        <w:tc>
          <w:tcPr>
            <w:tcW w:type="dxa" w:w="1247"/>
            <w:tcMar>
              <w:top w:w="60" w:type="dxa"/>
              <w:start w:w="60" w:type="dxa"/>
              <w:bottom w:w="60" w:type="dxa"/>
              <w:end w:w="60" w:type="dxa"/>
            </w:tcMar>
            <w:vAlign w:val="center"/>
          </w:tcPr>
          <w:p>
            <w:pPr>
              <w:spacing w:after="0" w:before="0"/>
              <w:jc w:val="center"/>
            </w:pPr>
            <w:r>
              <w:rPr>
                <w:rFonts w:ascii="Times New Roman" w:hAnsi="Times New Roman" w:eastAsia="Times New Roman"/>
                <w:sz w:val="17"/>
              </w:rPr>
              <w:t>3 года</w:t>
            </w:r>
          </w:p>
        </w:tc>
        <w:tc>
          <w:tcPr>
            <w:tcW w:type="dxa" w:w="1474"/>
            <w:tcMar>
              <w:top w:w="60" w:type="dxa"/>
              <w:start w:w="60" w:type="dxa"/>
              <w:bottom w:w="60" w:type="dxa"/>
              <w:end w:w="60" w:type="dxa"/>
            </w:tcMar>
            <w:vAlign w:val="center"/>
          </w:tcPr>
          <w:p>
            <w:pPr>
              <w:spacing w:after="0" w:before="0"/>
              <w:jc w:val="center"/>
            </w:pPr>
            <w:r>
              <w:rPr>
                <w:rFonts w:ascii="Times New Roman" w:hAnsi="Times New Roman" w:eastAsia="Times New Roman"/>
                <w:sz w:val="17"/>
              </w:rPr>
              <w:t>0 → 0,5 года</w:t>
            </w:r>
          </w:p>
        </w:tc>
        <w:tc>
          <w:tcPr>
            <w:tcW w:type="dxa" w:w="1474"/>
            <w:tcMar>
              <w:top w:w="60" w:type="dxa"/>
              <w:start w:w="60" w:type="dxa"/>
              <w:bottom w:w="60" w:type="dxa"/>
              <w:end w:w="60" w:type="dxa"/>
            </w:tcMar>
            <w:vAlign w:val="center"/>
          </w:tcPr>
          <w:p>
            <w:pPr>
              <w:spacing w:after="0" w:before="0"/>
              <w:jc w:val="center"/>
            </w:pPr>
            <w:r>
              <w:rPr>
                <w:rFonts w:ascii="Times New Roman" w:hAnsi="Times New Roman" w:eastAsia="Times New Roman"/>
                <w:sz w:val="17"/>
              </w:rPr>
              <w:t>26,2859 %</w:t>
            </w:r>
          </w:p>
        </w:tc>
      </w:tr>
    </w:tbl>
    <w:p>
      <w:pPr>
        <w:spacing w:after="20"/>
      </w:pPr>
    </w:p>
    <w:p>
      <w:pPr>
        <w:spacing w:line="276" w:lineRule="auto" w:after="80" w:before="0"/>
        <w:ind w:firstLine="709"/>
        <w:jc w:val="both"/>
      </w:pPr>
      <w:r>
        <w:rPr>
          <w:rFonts w:ascii="Times New Roman" w:hAnsi="Times New Roman" w:eastAsia="Times New Roman"/>
          <w:b w:val="0"/>
          <w:i w:val="0"/>
          <w:sz w:val="24"/>
        </w:rPr>
        <w:t>По параметрам задания штраф составляет 26,2859 %, а по параметрам CSV — 28,0347 %. Разница обусловлена более высокими ставкой дисконтирования и темпом ценовой эрозии в CSV. Экономический смысл мультипликативной модели состоит в том, что задержка одновременно откладывает денежный поток, уменьшает рыночную цену, сокращает время продаж и может привести к потере рыночного окна. Поэтому совокупный штраф существенно превышает эффект одного только дисконтирования.</w:t>
      </w:r>
    </w:p>
    <w:p>
      <w:pPr>
        <w:pStyle w:val="Heading1"/>
        <w:spacing w:before="160" w:after="80"/>
        <w:keepNext w:val="1"/>
      </w:pPr>
      <w:r>
        <w:rPr>
          <w:rFonts w:ascii="Times New Roman" w:hAnsi="Times New Roman" w:eastAsia="Times New Roman"/>
          <w:b/>
          <w:color w:val="1F4E78"/>
          <w:sz w:val="30"/>
        </w:rPr>
        <w:t>13. Визуализация структуры OPEX</w:t>
      </w:r>
    </w:p>
    <w:p>
      <w:pPr>
        <w:spacing w:line="276" w:lineRule="auto" w:after="80" w:before="0"/>
        <w:ind w:firstLine="709"/>
        <w:jc w:val="both"/>
      </w:pPr>
      <w:r>
        <w:rPr>
          <w:rFonts w:ascii="Times New Roman" w:hAnsi="Times New Roman" w:eastAsia="Times New Roman"/>
          <w:b w:val="0"/>
          <w:i w:val="0"/>
          <w:sz w:val="24"/>
        </w:rPr>
        <w:t>В соответствии с заданием используется учебная структура OPEX для высокотехнологичного производства: сырьё и прекурсоры — 25 %, утилиты — 20 %, персонал — 30 %, техническое обслуживание и ремонт — 15 %, compliance / качество / метрология — 10 %. Сумма долей равна 100 %. Эта структура применяется как методический пример и не интерпретируется как фактическая бухгалтерская структура исследуемой пилотной установки.</w:t>
      </w:r>
    </w:p>
    <w:p>
      <w:pPr>
        <w:jc w:val="center"/>
      </w:pPr>
      <w:r>
        <w:drawing>
          <wp:inline xmlns:a="http://schemas.openxmlformats.org/drawingml/2006/main" xmlns:pic="http://schemas.openxmlformats.org/drawingml/2006/picture">
            <wp:extent cx="5580000" cy="3073232"/>
            <wp:docPr id="1" name="Picture 1"/>
            <wp:cNvGraphicFramePr>
              <a:graphicFrameLocks noChangeAspect="1"/>
            </wp:cNvGraphicFramePr>
            <a:graphic>
              <a:graphicData uri="http://schemas.openxmlformats.org/drawingml/2006/picture">
                <pic:pic>
                  <pic:nvPicPr>
                    <pic:cNvPr id="0" name="opex_structure.png"/>
                    <pic:cNvPicPr/>
                  </pic:nvPicPr>
                  <pic:blipFill>
                    <a:blip r:embed="rId10"/>
                    <a:stretch>
                      <a:fillRect/>
                    </a:stretch>
                  </pic:blipFill>
                  <pic:spPr>
                    <a:xfrm>
                      <a:off x="0" y="0"/>
                      <a:ext cx="5580000" cy="3073232"/>
                    </a:xfrm>
                    <a:prstGeom prst="rect"/>
                  </pic:spPr>
                </pic:pic>
              </a:graphicData>
            </a:graphic>
          </wp:inline>
        </w:drawing>
      </w:r>
    </w:p>
    <w:p>
      <w:pPr>
        <w:spacing w:before="40" w:after="140"/>
        <w:jc w:val="center"/>
      </w:pPr>
      <w:r>
        <w:rPr>
          <w:rFonts w:ascii="Times New Roman" w:hAnsi="Times New Roman" w:eastAsia="Times New Roman"/>
          <w:i w:val="0"/>
          <w:sz w:val="22"/>
        </w:rPr>
        <w:t>Рисунок 1 — Структура операционных расходов высокотехнологичного производства</w:t>
      </w:r>
    </w:p>
    <w:p>
      <w:pPr>
        <w:pStyle w:val="Heading1"/>
        <w:spacing w:before="160" w:after="80"/>
        <w:keepNext w:val="1"/>
      </w:pPr>
      <w:r>
        <w:rPr>
          <w:rFonts w:ascii="Times New Roman" w:hAnsi="Times New Roman" w:eastAsia="Times New Roman"/>
          <w:b/>
          <w:color w:val="1F4E78"/>
          <w:sz w:val="30"/>
        </w:rPr>
        <w:t>14. Сравнение эффективности базового и стрессового сценариев</w:t>
      </w:r>
    </w:p>
    <w:p>
      <w:pPr>
        <w:spacing w:line="276" w:lineRule="auto" w:after="80" w:before="0"/>
        <w:ind w:firstLine="709"/>
        <w:jc w:val="both"/>
      </w:pPr>
      <w:r>
        <w:rPr>
          <w:rFonts w:ascii="Times New Roman" w:hAnsi="Times New Roman" w:eastAsia="Times New Roman"/>
          <w:b w:val="0"/>
          <w:i w:val="0"/>
          <w:sz w:val="24"/>
        </w:rPr>
        <w:t>На рисунке 2 сопоставлены ключевые показатели качества и эффективности оборудования. Наиболее сильное изменение связано со снижением FPY: при неизменных временных параметрах и производительности оно напрямую снижает Quality, затем OEE и TEEP.</w:t>
      </w:r>
    </w:p>
    <w:p>
      <w:pPr>
        <w:jc w:val="center"/>
      </w:pPr>
      <w:r>
        <w:drawing>
          <wp:inline xmlns:a="http://schemas.openxmlformats.org/drawingml/2006/main" xmlns:pic="http://schemas.openxmlformats.org/drawingml/2006/picture">
            <wp:extent cx="5580000" cy="3385618"/>
            <wp:docPr id="2" name="Picture 2"/>
            <wp:cNvGraphicFramePr>
              <a:graphicFrameLocks noChangeAspect="1"/>
            </wp:cNvGraphicFramePr>
            <a:graphic>
              <a:graphicData uri="http://schemas.openxmlformats.org/drawingml/2006/picture">
                <pic:pic>
                  <pic:nvPicPr>
                    <pic:cNvPr id="0" name="сравнение_эффективности.png"/>
                    <pic:cNvPicPr/>
                  </pic:nvPicPr>
                  <pic:blipFill>
                    <a:blip r:embed="rId11"/>
                    <a:stretch>
                      <a:fillRect/>
                    </a:stretch>
                  </pic:blipFill>
                  <pic:spPr>
                    <a:xfrm>
                      <a:off x="0" y="0"/>
                      <a:ext cx="5580000" cy="3385618"/>
                    </a:xfrm>
                    <a:prstGeom prst="rect"/>
                  </pic:spPr>
                </pic:pic>
              </a:graphicData>
            </a:graphic>
          </wp:inline>
        </w:drawing>
      </w:r>
    </w:p>
    <w:p>
      <w:pPr>
        <w:spacing w:before="40" w:after="140"/>
        <w:jc w:val="center"/>
      </w:pPr>
      <w:r>
        <w:rPr>
          <w:rFonts w:ascii="Times New Roman" w:hAnsi="Times New Roman" w:eastAsia="Times New Roman"/>
          <w:i w:val="0"/>
          <w:sz w:val="22"/>
        </w:rPr>
        <w:t>Рисунок 2 — Сравнение FPY, OEE и TEEP базового и стрессового сценариев</w:t>
      </w:r>
    </w:p>
    <w:p>
      <w:pPr>
        <w:spacing w:line="276" w:lineRule="auto" w:after="80" w:before="0"/>
        <w:ind w:firstLine="709"/>
        <w:jc w:val="both"/>
      </w:pPr>
      <w:r>
        <w:rPr>
          <w:rFonts w:ascii="Times New Roman" w:hAnsi="Times New Roman" w:eastAsia="Times New Roman"/>
          <w:b w:val="0"/>
          <w:i w:val="0"/>
          <w:sz w:val="24"/>
        </w:rPr>
        <w:t>График подчёркивает причинную связь: FPY уменьшается с 75,0 % до 40,0 %, OEE — с 59,4 % до 31,7 %, TEEP — с 39,6 % до 21,1 %. При сохранении Availability, Performance и Utilization относительное снижение OEE и TEEP совпадает с относительным снижением FPY.</w:t>
      </w:r>
    </w:p>
    <w:p>
      <w:pPr>
        <w:pStyle w:val="Heading1"/>
        <w:spacing w:before="160" w:after="80"/>
        <w:keepNext w:val="1"/>
      </w:pPr>
      <w:r>
        <w:rPr>
          <w:rFonts w:ascii="Times New Roman" w:hAnsi="Times New Roman" w:eastAsia="Times New Roman"/>
          <w:b/>
          <w:color w:val="1F4E78"/>
          <w:sz w:val="30"/>
        </w:rPr>
        <w:t>15. Допущения модели</w:t>
      </w:r>
    </w:p>
    <w:tbl>
      <w:tblPr>
        <w:tblStyle w:val="TableGrid"/>
        <w:tblW w:type="auto" w:w="0"/>
        <w:jc w:val="center"/>
        <w:tblLayout w:type="fixed"/>
        <w:tblLook w:firstColumn="1" w:firstRow="1" w:lastColumn="0" w:lastRow="0" w:noHBand="0" w:noVBand="1" w:val="04A0"/>
      </w:tblPr>
      <w:tblGrid>
        <w:gridCol w:w="2410"/>
        <w:gridCol w:w="2410"/>
        <w:gridCol w:w="2410"/>
        <w:gridCol w:w="2410"/>
      </w:tblGrid>
      <w:tr>
        <w:trPr>
          <w:tblHeader w:val="true"/>
          <w:cantSplit/>
        </w:trPr>
        <w:tc>
          <w:tcPr>
            <w:tcW w:type="dxa" w:w="850"/>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7"/>
              </w:rPr>
              <w:t>Код</w:t>
            </w:r>
          </w:p>
        </w:tc>
        <w:tc>
          <w:tcPr>
            <w:tcW w:type="dxa" w:w="3118"/>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7"/>
              </w:rPr>
              <w:t>Допущение</w:t>
            </w:r>
          </w:p>
        </w:tc>
        <w:tc>
          <w:tcPr>
            <w:tcW w:type="dxa" w:w="3402"/>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7"/>
              </w:rPr>
              <w:t>Обоснование</w:t>
            </w:r>
          </w:p>
        </w:tc>
        <w:tc>
          <w:tcPr>
            <w:tcW w:type="dxa" w:w="2438"/>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7"/>
              </w:rPr>
              <w:t>Влияние</w:t>
            </w:r>
          </w:p>
        </w:tc>
      </w:tr>
      <w:tr>
        <w:trPr>
          <w:cantSplit/>
        </w:trPr>
        <w:tc>
          <w:tcPr>
            <w:tcW w:type="dxa" w:w="850"/>
            <w:tcMar>
              <w:top w:w="60" w:type="dxa"/>
              <w:start w:w="60" w:type="dxa"/>
              <w:bottom w:w="60" w:type="dxa"/>
              <w:end w:w="60" w:type="dxa"/>
            </w:tcMar>
            <w:vAlign w:val="center"/>
          </w:tcPr>
          <w:p>
            <w:pPr>
              <w:spacing w:after="0" w:before="0"/>
              <w:jc w:val="left"/>
            </w:pPr>
            <w:r>
              <w:rPr>
                <w:rFonts w:ascii="Times New Roman" w:hAnsi="Times New Roman" w:eastAsia="Times New Roman"/>
                <w:sz w:val="17"/>
              </w:rPr>
              <w:t>A01</w:t>
            </w:r>
          </w:p>
        </w:tc>
        <w:tc>
          <w:tcPr>
            <w:tcW w:type="dxa" w:w="3118"/>
            <w:tcMar>
              <w:top w:w="60" w:type="dxa"/>
              <w:start w:w="60" w:type="dxa"/>
              <w:bottom w:w="60" w:type="dxa"/>
              <w:end w:w="60" w:type="dxa"/>
            </w:tcMar>
            <w:vAlign w:val="center"/>
          </w:tcPr>
          <w:p>
            <w:pPr>
              <w:spacing w:after="0" w:before="0"/>
              <w:jc w:val="center"/>
            </w:pPr>
            <w:r>
              <w:rPr>
                <w:rFonts w:ascii="Times New Roman" w:hAnsi="Times New Roman" w:eastAsia="Times New Roman"/>
                <w:sz w:val="17"/>
              </w:rPr>
              <w:t>Расчётный период — один месяц.</w:t>
            </w:r>
          </w:p>
        </w:tc>
        <w:tc>
          <w:tcPr>
            <w:tcW w:type="dxa" w:w="3402"/>
            <w:tcMar>
              <w:top w:w="60" w:type="dxa"/>
              <w:start w:w="60" w:type="dxa"/>
              <w:bottom w:w="60" w:type="dxa"/>
              <w:end w:w="60" w:type="dxa"/>
            </w:tcMar>
            <w:vAlign w:val="center"/>
          </w:tcPr>
          <w:p>
            <w:pPr>
              <w:spacing w:after="0" w:before="0"/>
              <w:jc w:val="center"/>
            </w:pPr>
            <w:r>
              <w:rPr>
                <w:rFonts w:ascii="Times New Roman" w:hAnsi="Times New Roman" w:eastAsia="Times New Roman"/>
                <w:sz w:val="17"/>
              </w:rPr>
              <w:t>Calendar_Hours = 720 = 30 × 24.</w:t>
            </w:r>
          </w:p>
        </w:tc>
        <w:tc>
          <w:tcPr>
            <w:tcW w:type="dxa" w:w="2438"/>
            <w:tcMar>
              <w:top w:w="60" w:type="dxa"/>
              <w:start w:w="60" w:type="dxa"/>
              <w:bottom w:w="60" w:type="dxa"/>
              <w:end w:w="60" w:type="dxa"/>
            </w:tcMar>
            <w:vAlign w:val="center"/>
          </w:tcPr>
          <w:p>
            <w:pPr>
              <w:spacing w:after="0" w:before="0"/>
              <w:jc w:val="center"/>
            </w:pPr>
            <w:r>
              <w:rPr>
                <w:rFonts w:ascii="Times New Roman" w:hAnsi="Times New Roman" w:eastAsia="Times New Roman"/>
                <w:sz w:val="17"/>
              </w:rPr>
              <w:t>Месячная амортизация и период затрат.</w:t>
            </w:r>
          </w:p>
        </w:tc>
      </w:tr>
      <w:tr>
        <w:trPr>
          <w:cantSplit/>
        </w:trPr>
        <w:tc>
          <w:tcPr>
            <w:tcW w:type="dxa" w:w="850"/>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7"/>
              </w:rPr>
              <w:t>A02</w:t>
            </w:r>
          </w:p>
        </w:tc>
        <w:tc>
          <w:tcPr>
            <w:tcW w:type="dxa" w:w="311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7"/>
              </w:rPr>
              <w:t>Normative Cycle Time = Planned_Hours / Target_Output.</w:t>
            </w:r>
          </w:p>
        </w:tc>
        <w:tc>
          <w:tcPr>
            <w:tcW w:type="dxa" w:w="3402"/>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7"/>
              </w:rPr>
              <w:t>Отдельного поля нормативного времени цикла в CSV нет.</w:t>
            </w:r>
          </w:p>
        </w:tc>
        <w:tc>
          <w:tcPr>
            <w:tcW w:type="dxa" w:w="243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7"/>
              </w:rPr>
              <w:t>Performance и OEE.</w:t>
            </w:r>
          </w:p>
        </w:tc>
      </w:tr>
      <w:tr>
        <w:trPr>
          <w:cantSplit/>
        </w:trPr>
        <w:tc>
          <w:tcPr>
            <w:tcW w:type="dxa" w:w="850"/>
            <w:tcMar>
              <w:top w:w="60" w:type="dxa"/>
              <w:start w:w="60" w:type="dxa"/>
              <w:bottom w:w="60" w:type="dxa"/>
              <w:end w:w="60" w:type="dxa"/>
            </w:tcMar>
            <w:vAlign w:val="center"/>
          </w:tcPr>
          <w:p>
            <w:pPr>
              <w:spacing w:after="0" w:before="0"/>
              <w:jc w:val="left"/>
            </w:pPr>
            <w:r>
              <w:rPr>
                <w:rFonts w:ascii="Times New Roman" w:hAnsi="Times New Roman" w:eastAsia="Times New Roman"/>
                <w:sz w:val="17"/>
              </w:rPr>
              <w:t>A03</w:t>
            </w:r>
          </w:p>
        </w:tc>
        <w:tc>
          <w:tcPr>
            <w:tcW w:type="dxa" w:w="3118"/>
            <w:tcMar>
              <w:top w:w="60" w:type="dxa"/>
              <w:start w:w="60" w:type="dxa"/>
              <w:bottom w:w="60" w:type="dxa"/>
              <w:end w:w="60" w:type="dxa"/>
            </w:tcMar>
            <w:vAlign w:val="center"/>
          </w:tcPr>
          <w:p>
            <w:pPr>
              <w:spacing w:after="0" w:before="0"/>
              <w:jc w:val="center"/>
            </w:pPr>
            <w:r>
              <w:rPr>
                <w:rFonts w:ascii="Times New Roman" w:hAnsi="Times New Roman" w:eastAsia="Times New Roman"/>
                <w:sz w:val="17"/>
              </w:rPr>
              <w:t>Знаменатель CPU — Final_Good_Units.</w:t>
            </w:r>
          </w:p>
        </w:tc>
        <w:tc>
          <w:tcPr>
            <w:tcW w:type="dxa" w:w="3402"/>
            <w:tcMar>
              <w:top w:w="60" w:type="dxa"/>
              <w:start w:w="60" w:type="dxa"/>
              <w:bottom w:w="60" w:type="dxa"/>
              <w:end w:w="60" w:type="dxa"/>
            </w:tcMar>
            <w:vAlign w:val="center"/>
          </w:tcPr>
          <w:p>
            <w:pPr>
              <w:spacing w:after="0" w:before="0"/>
              <w:jc w:val="center"/>
            </w:pPr>
            <w:r>
              <w:rPr>
                <w:rFonts w:ascii="Times New Roman" w:hAnsi="Times New Roman" w:eastAsia="Times New Roman"/>
                <w:sz w:val="17"/>
              </w:rPr>
              <w:t>Это объём после итогового контроля.</w:t>
            </w:r>
          </w:p>
        </w:tc>
        <w:tc>
          <w:tcPr>
            <w:tcW w:type="dxa" w:w="2438"/>
            <w:tcMar>
              <w:top w:w="60" w:type="dxa"/>
              <w:start w:w="60" w:type="dxa"/>
              <w:bottom w:w="60" w:type="dxa"/>
              <w:end w:w="60" w:type="dxa"/>
            </w:tcMar>
            <w:vAlign w:val="center"/>
          </w:tcPr>
          <w:p>
            <w:pPr>
              <w:spacing w:after="0" w:before="0"/>
              <w:jc w:val="center"/>
            </w:pPr>
            <w:r>
              <w:rPr>
                <w:rFonts w:ascii="Times New Roman" w:hAnsi="Times New Roman" w:eastAsia="Times New Roman"/>
                <w:sz w:val="17"/>
              </w:rPr>
              <w:t>CPU и экономическая ресурсоёмкость.</w:t>
            </w:r>
          </w:p>
        </w:tc>
      </w:tr>
      <w:tr>
        <w:trPr>
          <w:cantSplit/>
        </w:trPr>
        <w:tc>
          <w:tcPr>
            <w:tcW w:type="dxa" w:w="850"/>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7"/>
              </w:rPr>
              <w:t>A04</w:t>
            </w:r>
          </w:p>
        </w:tc>
        <w:tc>
          <w:tcPr>
            <w:tcW w:type="dxa" w:w="311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7"/>
              </w:rPr>
              <w:t>Actual_Output интерпретируется как обработанный/запущенный объём.</w:t>
            </w:r>
          </w:p>
        </w:tc>
        <w:tc>
          <w:tcPr>
            <w:tcW w:type="dxa" w:w="3402"/>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7"/>
              </w:rPr>
              <w:t>Такое назначение следует из описания CSV и формул FPY/Final Yield.</w:t>
            </w:r>
          </w:p>
        </w:tc>
        <w:tc>
          <w:tcPr>
            <w:tcW w:type="dxa" w:w="243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7"/>
              </w:rPr>
              <w:t>FPY и Final Yield.</w:t>
            </w:r>
          </w:p>
        </w:tc>
      </w:tr>
    </w:tbl>
    <w:p>
      <w:pPr>
        <w:spacing w:after="20"/>
      </w:pPr>
    </w:p>
    <w:p>
      <w:pPr>
        <w:pStyle w:val="Heading1"/>
        <w:spacing w:before="160" w:after="80"/>
        <w:keepNext w:val="1"/>
      </w:pPr>
      <w:r>
        <w:rPr>
          <w:rFonts w:ascii="Times New Roman" w:hAnsi="Times New Roman" w:eastAsia="Times New Roman"/>
          <w:b/>
          <w:color w:val="1F4E78"/>
          <w:sz w:val="30"/>
        </w:rPr>
        <w:t>16. Data Quality Report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rPr>
        <w:tc>
          <w:tcPr>
            <w:tcW w:type="dxa" w:w="2268"/>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6"/>
              </w:rPr>
              <w:t>Проблема</w:t>
            </w:r>
          </w:p>
        </w:tc>
        <w:tc>
          <w:tcPr>
            <w:tcW w:type="dxa" w:w="2268"/>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6"/>
              </w:rPr>
              <w:t>Параметр</w:t>
            </w:r>
          </w:p>
        </w:tc>
        <w:tc>
          <w:tcPr>
            <w:tcW w:type="dxa" w:w="1247"/>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6"/>
              </w:rPr>
              <w:t>Критичность</w:t>
            </w:r>
          </w:p>
        </w:tc>
        <w:tc>
          <w:tcPr>
            <w:tcW w:type="dxa" w:w="2268"/>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6"/>
              </w:rPr>
              <w:t>Влияние</w:t>
            </w:r>
          </w:p>
        </w:tc>
        <w:tc>
          <w:tcPr>
            <w:tcW w:type="dxa" w:w="2381"/>
            <w:shd w:fill="1F4E78"/>
            <w:tcMar>
              <w:top w:w="70" w:type="dxa"/>
              <w:start w:w="70" w:type="dxa"/>
              <w:bottom w:w="70" w:type="dxa"/>
              <w:end w:w="70" w:type="dxa"/>
            </w:tcMar>
            <w:vAlign w:val="center"/>
          </w:tcPr>
          <w:p>
            <w:pPr>
              <w:jc w:val="center"/>
            </w:pPr>
            <w:r>
              <w:rPr>
                <w:rFonts w:ascii="Times New Roman" w:hAnsi="Times New Roman" w:eastAsia="Times New Roman"/>
                <w:b/>
                <w:color w:val="FFFFFF"/>
                <w:sz w:val="16"/>
              </w:rPr>
              <w:t>Действие</w:t>
            </w:r>
          </w:p>
        </w:tc>
      </w:tr>
      <w:tr>
        <w:trPr>
          <w:cantSplit/>
        </w:trPr>
        <w:tc>
          <w:tcPr>
            <w:tcW w:type="dxa" w:w="2268"/>
            <w:tcMar>
              <w:top w:w="60" w:type="dxa"/>
              <w:start w:w="60" w:type="dxa"/>
              <w:bottom w:w="60" w:type="dxa"/>
              <w:end w:w="60" w:type="dxa"/>
            </w:tcMar>
            <w:vAlign w:val="center"/>
          </w:tcPr>
          <w:p>
            <w:pPr>
              <w:spacing w:after="0" w:before="0"/>
              <w:jc w:val="left"/>
            </w:pPr>
            <w:r>
              <w:rPr>
                <w:rFonts w:ascii="Times New Roman" w:hAnsi="Times New Roman" w:eastAsia="Times New Roman"/>
                <w:sz w:val="16"/>
              </w:rPr>
              <w:t>Отсутствует масса сырья</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6"/>
              </w:rPr>
              <w:t>Raw_Material_Mass_kg</w:t>
            </w:r>
          </w:p>
        </w:tc>
        <w:tc>
          <w:tcPr>
            <w:tcW w:type="dxa" w:w="1247"/>
            <w:tcMar>
              <w:top w:w="60" w:type="dxa"/>
              <w:start w:w="60" w:type="dxa"/>
              <w:bottom w:w="60" w:type="dxa"/>
              <w:end w:w="60" w:type="dxa"/>
            </w:tcMar>
            <w:vAlign w:val="center"/>
          </w:tcPr>
          <w:p>
            <w:pPr>
              <w:spacing w:after="0" w:before="0"/>
              <w:jc w:val="center"/>
            </w:pPr>
            <w:r>
              <w:rPr>
                <w:rFonts w:ascii="Times New Roman" w:hAnsi="Times New Roman" w:eastAsia="Times New Roman"/>
                <w:sz w:val="16"/>
              </w:rPr>
              <w:t>ВЫСОКАЯ</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6"/>
              </w:rPr>
              <w:t>Mass Intensity не рассчитывается.</w:t>
            </w:r>
          </w:p>
        </w:tc>
        <w:tc>
          <w:tcPr>
            <w:tcW w:type="dxa" w:w="2381"/>
            <w:tcMar>
              <w:top w:w="60" w:type="dxa"/>
              <w:start w:w="60" w:type="dxa"/>
              <w:bottom w:w="60" w:type="dxa"/>
              <w:end w:w="60" w:type="dxa"/>
            </w:tcMar>
            <w:vAlign w:val="center"/>
          </w:tcPr>
          <w:p>
            <w:pPr>
              <w:spacing w:after="0" w:before="0"/>
              <w:jc w:val="center"/>
            </w:pPr>
            <w:r>
              <w:rPr>
                <w:rFonts w:ascii="Times New Roman" w:hAnsi="Times New Roman" w:eastAsia="Times New Roman"/>
                <w:sz w:val="16"/>
              </w:rPr>
              <w:t>Добавить физическую массу потреблённого сырья, кг.</w:t>
            </w:r>
          </w:p>
        </w:tc>
      </w:tr>
      <w:tr>
        <w:trPr>
          <w:cantSplit/>
        </w:trPr>
        <w:tc>
          <w:tcPr>
            <w:tcW w:type="dxa" w:w="2268"/>
            <w:shd w:fill="F7F9FB"/>
            <w:tcMar>
              <w:top w:w="60" w:type="dxa"/>
              <w:start w:w="60" w:type="dxa"/>
              <w:bottom w:w="60" w:type="dxa"/>
              <w:end w:w="60" w:type="dxa"/>
            </w:tcMar>
            <w:vAlign w:val="center"/>
          </w:tcPr>
          <w:p>
            <w:pPr>
              <w:spacing w:after="0" w:before="0"/>
              <w:jc w:val="left"/>
            </w:pPr>
            <w:r>
              <w:rPr>
                <w:rFonts w:ascii="Times New Roman" w:hAnsi="Times New Roman" w:eastAsia="Times New Roman"/>
                <w:sz w:val="16"/>
              </w:rPr>
              <w:t>Параметры TTM расходятся</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Discount_Rate; Price_Erosion_Rate</w:t>
            </w:r>
          </w:p>
        </w:tc>
        <w:tc>
          <w:tcPr>
            <w:tcW w:type="dxa" w:w="1247"/>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СРЕДНЯЯ</w:t>
            </w:r>
          </w:p>
        </w:tc>
        <w:tc>
          <w:tcPr>
            <w:tcW w:type="dxa" w:w="2268"/>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Получаются разные значения TTM Penalty.</w:t>
            </w:r>
          </w:p>
        </w:tc>
        <w:tc>
          <w:tcPr>
            <w:tcW w:type="dxa" w:w="2381"/>
            <w:shd w:fill="F7F9FB"/>
            <w:tcMar>
              <w:top w:w="60" w:type="dxa"/>
              <w:start w:w="60" w:type="dxa"/>
              <w:bottom w:w="60" w:type="dxa"/>
              <w:end w:w="60" w:type="dxa"/>
            </w:tcMar>
            <w:vAlign w:val="center"/>
          </w:tcPr>
          <w:p>
            <w:pPr>
              <w:spacing w:after="0" w:before="0"/>
              <w:jc w:val="center"/>
            </w:pPr>
            <w:r>
              <w:rPr>
                <w:rFonts w:ascii="Times New Roman" w:hAnsi="Times New Roman" w:eastAsia="Times New Roman"/>
                <w:sz w:val="16"/>
              </w:rPr>
              <w:t>Показывать сценарий задания и сценарий CSV отдельно.</w:t>
            </w:r>
          </w:p>
        </w:tc>
      </w:tr>
      <w:tr>
        <w:trPr>
          <w:cantSplit/>
        </w:trPr>
        <w:tc>
          <w:tcPr>
            <w:tcW w:type="dxa" w:w="2268"/>
            <w:tcMar>
              <w:top w:w="60" w:type="dxa"/>
              <w:start w:w="60" w:type="dxa"/>
              <w:bottom w:w="60" w:type="dxa"/>
              <w:end w:w="60" w:type="dxa"/>
            </w:tcMar>
            <w:vAlign w:val="center"/>
          </w:tcPr>
          <w:p>
            <w:pPr>
              <w:spacing w:after="0" w:before="0"/>
              <w:jc w:val="left"/>
            </w:pPr>
            <w:r>
              <w:rPr>
                <w:rFonts w:ascii="Times New Roman" w:hAnsi="Times New Roman" w:eastAsia="Times New Roman"/>
                <w:sz w:val="16"/>
              </w:rPr>
              <w:t>Задержка pilot и baseline comparison различается</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6"/>
              </w:rPr>
              <w:t>Delay_Years</w:t>
            </w:r>
          </w:p>
        </w:tc>
        <w:tc>
          <w:tcPr>
            <w:tcW w:type="dxa" w:w="1247"/>
            <w:tcMar>
              <w:top w:w="60" w:type="dxa"/>
              <w:start w:w="60" w:type="dxa"/>
              <w:bottom w:w="60" w:type="dxa"/>
              <w:end w:w="60" w:type="dxa"/>
            </w:tcMar>
            <w:vAlign w:val="center"/>
          </w:tcPr>
          <w:p>
            <w:pPr>
              <w:spacing w:after="0" w:before="0"/>
              <w:jc w:val="center"/>
            </w:pPr>
            <w:r>
              <w:rPr>
                <w:rFonts w:ascii="Times New Roman" w:hAnsi="Times New Roman" w:eastAsia="Times New Roman"/>
                <w:sz w:val="16"/>
              </w:rPr>
              <w:t>СРЕДНЯЯ</w:t>
            </w:r>
          </w:p>
        </w:tc>
        <w:tc>
          <w:tcPr>
            <w:tcW w:type="dxa" w:w="2268"/>
            <w:tcMar>
              <w:top w:w="60" w:type="dxa"/>
              <w:start w:w="60" w:type="dxa"/>
              <w:bottom w:w="60" w:type="dxa"/>
              <w:end w:w="60" w:type="dxa"/>
            </w:tcMar>
            <w:vAlign w:val="center"/>
          </w:tcPr>
          <w:p>
            <w:pPr>
              <w:spacing w:after="0" w:before="0"/>
              <w:jc w:val="center"/>
            </w:pPr>
            <w:r>
              <w:rPr>
                <w:rFonts w:ascii="Times New Roman" w:hAnsi="Times New Roman" w:eastAsia="Times New Roman"/>
                <w:sz w:val="16"/>
              </w:rPr>
              <w:t>Pilot CSV не является no-delay baseline для TTM stress.</w:t>
            </w:r>
          </w:p>
        </w:tc>
        <w:tc>
          <w:tcPr>
            <w:tcW w:type="dxa" w:w="2381"/>
            <w:tcMar>
              <w:top w:w="60" w:type="dxa"/>
              <w:start w:w="60" w:type="dxa"/>
              <w:bottom w:w="60" w:type="dxa"/>
              <w:end w:w="60" w:type="dxa"/>
            </w:tcMar>
            <w:vAlign w:val="center"/>
          </w:tcPr>
          <w:p>
            <w:pPr>
              <w:spacing w:after="0" w:before="0"/>
              <w:jc w:val="center"/>
            </w:pPr>
            <w:r>
              <w:rPr>
                <w:rFonts w:ascii="Times New Roman" w:hAnsi="Times New Roman" w:eastAsia="Times New Roman"/>
                <w:sz w:val="16"/>
              </w:rPr>
              <w:t>Для стресс-сравнения использовать comparison CSV.</w:t>
            </w:r>
          </w:p>
        </w:tc>
      </w:tr>
    </w:tbl>
    <w:p>
      <w:pPr>
        <w:spacing w:after="20"/>
      </w:pPr>
    </w:p>
    <w:p>
      <w:pPr>
        <w:spacing w:line="276" w:lineRule="auto" w:after="80" w:before="0"/>
        <w:ind w:firstLine="709"/>
        <w:jc w:val="both"/>
      </w:pPr>
      <w:r>
        <w:rPr>
          <w:rFonts w:ascii="Times New Roman" w:hAnsi="Times New Roman" w:eastAsia="Times New Roman"/>
          <w:b w:val="0"/>
          <w:i w:val="0"/>
          <w:sz w:val="24"/>
        </w:rPr>
        <w:t>Критическая проблема качества данных — отсутствие Raw_Material_Mass_kg. Она не устраняется расчётным допущением: стоимостной показатель сырья имеет размерность долл. США/л и не может использоваться вместо кг/л. В результате массовая ресурсоёмкость корректно получает статус «НЕ РАССЧИТЫВАЕТСЯ».</w:t>
      </w:r>
    </w:p>
    <w:p>
      <w:pPr>
        <w:pStyle w:val="Heading1"/>
        <w:spacing w:before="160" w:after="80"/>
        <w:keepNext w:val="1"/>
      </w:pPr>
      <w:r>
        <w:rPr>
          <w:rFonts w:ascii="Times New Roman" w:hAnsi="Times New Roman" w:eastAsia="Times New Roman"/>
          <w:b/>
          <w:color w:val="1F4E78"/>
          <w:sz w:val="30"/>
        </w:rPr>
        <w:t>17. Анализ результатов</w:t>
      </w:r>
    </w:p>
    <w:p>
      <w:pPr>
        <w:pStyle w:val="Heading2"/>
        <w:spacing w:before="100" w:after="80"/>
        <w:keepNext w:val="1"/>
      </w:pPr>
      <w:r>
        <w:rPr>
          <w:rFonts w:ascii="Times New Roman" w:hAnsi="Times New Roman" w:eastAsia="Times New Roman"/>
          <w:b/>
          <w:color w:val="1F4E78"/>
          <w:sz w:val="26"/>
        </w:rPr>
        <w:t>17.1. Качество</w:t>
      </w:r>
    </w:p>
    <w:p>
      <w:pPr>
        <w:spacing w:line="276" w:lineRule="auto" w:after="80" w:before="0"/>
        <w:ind w:firstLine="709"/>
        <w:jc w:val="both"/>
      </w:pPr>
      <w:r>
        <w:rPr>
          <w:rFonts w:ascii="Times New Roman" w:hAnsi="Times New Roman" w:eastAsia="Times New Roman"/>
          <w:b w:val="0"/>
          <w:i w:val="0"/>
          <w:sz w:val="24"/>
        </w:rPr>
        <w:t>FPY 75 % является наименьшим из трёх множителей OEE и, следовательно, главным текущим ограничением операционной эффективности. Final Yield 85 % показывает, что часть объёма возвращается в годный выпуск после переделки, однако этот итоговый показатель скрывает внутренние потери первого прохода. Для управления производством поэтому более информативен FPY.</w:t>
      </w:r>
    </w:p>
    <w:p>
      <w:pPr>
        <w:pStyle w:val="Heading2"/>
        <w:spacing w:before="100" w:after="80"/>
        <w:keepNext w:val="1"/>
      </w:pPr>
      <w:r>
        <w:rPr>
          <w:rFonts w:ascii="Times New Roman" w:hAnsi="Times New Roman" w:eastAsia="Times New Roman"/>
          <w:b/>
          <w:color w:val="1F4E78"/>
          <w:sz w:val="26"/>
        </w:rPr>
        <w:t>17.2. Производительность и доступность</w:t>
      </w:r>
    </w:p>
    <w:p>
      <w:pPr>
        <w:spacing w:line="276" w:lineRule="auto" w:after="80" w:before="0"/>
        <w:ind w:firstLine="709"/>
        <w:jc w:val="both"/>
      </w:pPr>
      <w:r>
        <w:rPr>
          <w:rFonts w:ascii="Times New Roman" w:hAnsi="Times New Roman" w:eastAsia="Times New Roman"/>
          <w:b w:val="0"/>
          <w:i w:val="0"/>
          <w:sz w:val="24"/>
        </w:rPr>
        <w:t>Performance 97,44 % свидетельствует о работе близко к расчётной нормативной скорости в фактическое время эксплуатации. Availability 81,25 % показывает, что часть планового фонда теряется из-за остановок. Сочетание высокой скорости с более низкой доступностью означает, что приоритет улучшений следует искать не только в темпе процесса, но и в сокращении потерь времени и повышении качества.</w:t>
      </w:r>
    </w:p>
    <w:p>
      <w:pPr>
        <w:pStyle w:val="Heading2"/>
        <w:spacing w:before="100" w:after="80"/>
        <w:keepNext w:val="1"/>
      </w:pPr>
      <w:r>
        <w:rPr>
          <w:rFonts w:ascii="Times New Roman" w:hAnsi="Times New Roman" w:eastAsia="Times New Roman"/>
          <w:b/>
          <w:color w:val="1F4E78"/>
          <w:sz w:val="26"/>
        </w:rPr>
        <w:t>17.3. Календарная загрузка и CAPEX</w:t>
      </w:r>
    </w:p>
    <w:p>
      <w:pPr>
        <w:spacing w:line="276" w:lineRule="auto" w:after="80" w:before="0"/>
        <w:ind w:firstLine="709"/>
        <w:jc w:val="both"/>
      </w:pPr>
      <w:r>
        <w:rPr>
          <w:rFonts w:ascii="Times New Roman" w:hAnsi="Times New Roman" w:eastAsia="Times New Roman"/>
          <w:b w:val="0"/>
          <w:i w:val="0"/>
          <w:sz w:val="24"/>
        </w:rPr>
        <w:t>Utilization 66,67 % дополнительно снижает TEEP относительно OEE. Для капиталоёмкого оборудования это означает, что амортизационная нагрузка распределяется на ограниченный годный объём при неполном использовании календарного фонда. Следовательно, рост TEEP может иметь прямой эффект на стоимость единицы даже без изменения номинального CAPEX.</w:t>
      </w:r>
    </w:p>
    <w:p>
      <w:pPr>
        <w:pStyle w:val="Heading2"/>
        <w:spacing w:before="100" w:after="80"/>
        <w:keepNext w:val="1"/>
      </w:pPr>
      <w:r>
        <w:rPr>
          <w:rFonts w:ascii="Times New Roman" w:hAnsi="Times New Roman" w:eastAsia="Times New Roman"/>
          <w:b/>
          <w:color w:val="1F4E78"/>
          <w:sz w:val="26"/>
        </w:rPr>
        <w:t>17.4. Себестоимость</w:t>
      </w:r>
    </w:p>
    <w:p>
      <w:pPr>
        <w:spacing w:line="276" w:lineRule="auto" w:after="80" w:before="0"/>
        <w:ind w:firstLine="709"/>
        <w:jc w:val="both"/>
      </w:pPr>
      <w:r>
        <w:rPr>
          <w:rFonts w:ascii="Times New Roman" w:hAnsi="Times New Roman" w:eastAsia="Times New Roman"/>
          <w:b w:val="0"/>
          <w:i w:val="0"/>
          <w:sz w:val="24"/>
        </w:rPr>
        <w:t>В полной стоимости месяца наибольший отдельный компонент — экономическая амортизация 777 777,78 долл. США. Затраты на сырьё составляют 240 000,00 долл. США, накладные расходы — 145 000,00 долл. США, а электроэнергия — 25 300,00 долл. США. Такая структура объясняет высокую чувствительность CPU к объёму итоговой годной продукции и эффективность использования капиталоёмкого оборудования.</w:t>
      </w:r>
    </w:p>
    <w:p>
      <w:pPr>
        <w:pStyle w:val="Heading2"/>
        <w:spacing w:before="100" w:after="80"/>
        <w:keepNext w:val="1"/>
      </w:pPr>
      <w:r>
        <w:rPr>
          <w:rFonts w:ascii="Times New Roman" w:hAnsi="Times New Roman" w:eastAsia="Times New Roman"/>
          <w:b/>
          <w:color w:val="1F4E78"/>
          <w:sz w:val="26"/>
        </w:rPr>
        <w:t>17.5. Стрессовый сценарий</w:t>
      </w:r>
    </w:p>
    <w:p>
      <w:pPr>
        <w:spacing w:line="276" w:lineRule="auto" w:after="80" w:before="0"/>
        <w:ind w:firstLine="709"/>
        <w:jc w:val="both"/>
      </w:pPr>
      <w:r>
        <w:rPr>
          <w:rFonts w:ascii="Times New Roman" w:hAnsi="Times New Roman" w:eastAsia="Times New Roman"/>
          <w:b w:val="0"/>
          <w:i w:val="0"/>
          <w:sz w:val="24"/>
        </w:rPr>
        <w:t>Снижение FPY резко ухудшает OEE и TEEP, но в предоставленной модели не увеличивает CPU через переделку, поскольку Final_Good_Units сохранён, а отдельная стоимость rework не задана. Трёхкратное повышение тарифа, напротив, непосредственно увеличивает Energy Cost и через Total Manufacturing Cost повышает Economic Intensity и CPU. Это разделение важно для причинной интерпретации результатов: операционный стресс качества и стоимостной стресс энергии проявляются в разных группах метрик.</w:t>
      </w:r>
    </w:p>
    <w:p>
      <w:pPr>
        <w:pStyle w:val="Heading2"/>
        <w:spacing w:before="100" w:after="80"/>
        <w:keepNext w:val="1"/>
      </w:pPr>
      <w:r>
        <w:rPr>
          <w:rFonts w:ascii="Times New Roman" w:hAnsi="Times New Roman" w:eastAsia="Times New Roman"/>
          <w:b/>
          <w:color w:val="1F4E78"/>
          <w:sz w:val="26"/>
        </w:rPr>
        <w:t>17.6. TTM</w:t>
      </w:r>
    </w:p>
    <w:p>
      <w:pPr>
        <w:spacing w:line="276" w:lineRule="auto" w:after="80" w:before="0"/>
        <w:ind w:firstLine="709"/>
        <w:jc w:val="both"/>
      </w:pPr>
      <w:r>
        <w:rPr>
          <w:rFonts w:ascii="Times New Roman" w:hAnsi="Times New Roman" w:eastAsia="Times New Roman"/>
          <w:b w:val="0"/>
          <w:i w:val="0"/>
          <w:sz w:val="24"/>
        </w:rPr>
        <w:t>Штраф за задержку на полгода достигает 26–28 % в зависимости от набора исходных предпосылок. Он существенно выше эффекта одного дисконтирования, поскольку объединяет четыре канала потери стоимости. Для наукоёмкого продукта с коротким рыночным окном это делает TTM самостоятельным экономическим фактором наряду с себестоимостью и загрузкой оборудования.</w:t>
      </w:r>
    </w:p>
    <w:p>
      <w:pPr>
        <w:pStyle w:val="Heading1"/>
        <w:spacing w:before="160" w:after="80"/>
        <w:keepNext w:val="1"/>
      </w:pPr>
      <w:r>
        <w:rPr>
          <w:rFonts w:ascii="Times New Roman" w:hAnsi="Times New Roman" w:eastAsia="Times New Roman"/>
          <w:b/>
          <w:color w:val="1F4E78"/>
          <w:sz w:val="30"/>
        </w:rPr>
        <w:t>18. Ограничения модели</w:t>
      </w:r>
    </w:p>
    <w:p>
      <w:pPr>
        <w:pStyle w:val="ListBullet"/>
        <w:spacing w:after="40" w:line="264" w:lineRule="auto"/>
      </w:pPr>
      <w:r>
        <w:rPr>
          <w:rFonts w:ascii="Times New Roman" w:hAnsi="Times New Roman" w:eastAsia="Times New Roman"/>
          <w:sz w:val="24"/>
        </w:rPr>
        <w:t>физическая масса сырья отсутствует, поэтому Mass Intensity не определяется;</w:t>
      </w:r>
    </w:p>
    <w:p>
      <w:pPr>
        <w:pStyle w:val="ListBullet"/>
        <w:spacing w:after="40" w:line="264" w:lineRule="auto"/>
      </w:pPr>
      <w:r>
        <w:rPr>
          <w:rFonts w:ascii="Times New Roman" w:hAnsi="Times New Roman" w:eastAsia="Times New Roman"/>
          <w:sz w:val="24"/>
        </w:rPr>
        <w:t>отдельная стоимость переделки не задана, поэтому снижение FPY не может быть полностью монетизировано;</w:t>
      </w:r>
    </w:p>
    <w:p>
      <w:pPr>
        <w:pStyle w:val="ListBullet"/>
        <w:spacing w:after="40" w:line="264" w:lineRule="auto"/>
      </w:pPr>
      <w:r>
        <w:rPr>
          <w:rFonts w:ascii="Times New Roman" w:hAnsi="Times New Roman" w:eastAsia="Times New Roman"/>
          <w:sz w:val="24"/>
        </w:rPr>
        <w:t>в stress CSV Final_Good_Units остаётся неизменным, что ограничивает связь между качеством первого прохода и CPU;</w:t>
      </w:r>
    </w:p>
    <w:p>
      <w:pPr>
        <w:pStyle w:val="ListBullet"/>
        <w:spacing w:after="40" w:line="264" w:lineRule="auto"/>
      </w:pPr>
      <w:r>
        <w:rPr>
          <w:rFonts w:ascii="Times New Roman" w:hAnsi="Times New Roman" w:eastAsia="Times New Roman"/>
          <w:sz w:val="24"/>
        </w:rPr>
        <w:t>параметры TTM в методическом задании и CSV различаются и требуют раздельного представления;</w:t>
      </w:r>
    </w:p>
    <w:p>
      <w:pPr>
        <w:pStyle w:val="ListBullet"/>
        <w:spacing w:after="40" w:line="264" w:lineRule="auto"/>
      </w:pPr>
      <w:r>
        <w:rPr>
          <w:rFonts w:ascii="Times New Roman" w:hAnsi="Times New Roman" w:eastAsia="Times New Roman"/>
          <w:sz w:val="24"/>
        </w:rPr>
        <w:t>расчёт выполняется на месячном агрегированном периоде и не описывает внутримесячную динамику;</w:t>
      </w:r>
    </w:p>
    <w:p>
      <w:pPr>
        <w:pStyle w:val="ListBullet"/>
        <w:spacing w:after="40" w:line="264" w:lineRule="auto"/>
      </w:pPr>
      <w:r>
        <w:rPr>
          <w:rFonts w:ascii="Times New Roman" w:hAnsi="Times New Roman" w:eastAsia="Times New Roman"/>
          <w:sz w:val="24"/>
        </w:rPr>
        <w:t>структура OPEX 25/20/30/15/10 является учебной структурой, а не бухгалтерской детализацией объекта;</w:t>
      </w:r>
    </w:p>
    <w:p>
      <w:pPr>
        <w:pStyle w:val="ListBullet"/>
        <w:spacing w:after="40" w:line="264" w:lineRule="auto"/>
      </w:pPr>
      <w:r>
        <w:rPr>
          <w:rFonts w:ascii="Times New Roman" w:hAnsi="Times New Roman" w:eastAsia="Times New Roman"/>
          <w:sz w:val="24"/>
        </w:rPr>
        <w:t>модель не является полным LCA и не включает upstream/downstream воздействия;</w:t>
      </w:r>
    </w:p>
    <w:p>
      <w:pPr>
        <w:pStyle w:val="ListBullet"/>
        <w:spacing w:after="40" w:line="264" w:lineRule="auto"/>
      </w:pPr>
      <w:r>
        <w:rPr>
          <w:rFonts w:ascii="Times New Roman" w:hAnsi="Times New Roman" w:eastAsia="Times New Roman"/>
          <w:sz w:val="24"/>
        </w:rPr>
        <w:t>полная себестоимость зависит от принятой структуры Total Manufacturing Cost и доступного набора исходных статей;</w:t>
      </w:r>
    </w:p>
    <w:p>
      <w:pPr>
        <w:pStyle w:val="ListBullet"/>
        <w:spacing w:after="40" w:line="264" w:lineRule="auto"/>
      </w:pPr>
      <w:r>
        <w:rPr>
          <w:rFonts w:ascii="Times New Roman" w:hAnsi="Times New Roman" w:eastAsia="Times New Roman"/>
          <w:sz w:val="24"/>
        </w:rPr>
        <w:t>без параметра rework cost невозможно отдельно оценить денежный эффект переделок, скрытых разницей FPY и Final Yield.</w:t>
      </w:r>
    </w:p>
    <w:p>
      <w:pPr>
        <w:spacing w:line="276" w:lineRule="auto" w:after="80" w:before="0"/>
        <w:ind w:firstLine="709"/>
        <w:jc w:val="both"/>
      </w:pPr>
      <w:r>
        <w:rPr>
          <w:rFonts w:ascii="Times New Roman" w:hAnsi="Times New Roman" w:eastAsia="Times New Roman"/>
          <w:b w:val="0"/>
          <w:i w:val="0"/>
          <w:sz w:val="24"/>
        </w:rPr>
        <w:t>Перечисленные ограничения задают границы применимости результатов и не являются ошибками расчётного пайплайна. Они показывают, какие дополнительные данные необходимы для расширения модели.</w:t>
      </w:r>
    </w:p>
    <w:p>
      <w:pPr>
        <w:pStyle w:val="Heading1"/>
        <w:spacing w:before="160" w:after="80"/>
        <w:keepNext w:val="1"/>
      </w:pPr>
      <w:r>
        <w:rPr>
          <w:rFonts w:ascii="Times New Roman" w:hAnsi="Times New Roman" w:eastAsia="Times New Roman"/>
          <w:b/>
          <w:color w:val="1F4E78"/>
          <w:sz w:val="30"/>
        </w:rPr>
        <w:t>19. Итоговые выводы</w:t>
      </w:r>
    </w:p>
    <w:p>
      <w:pPr>
        <w:spacing w:after="60" w:line="264" w:lineRule="auto"/>
        <w:ind w:firstLine="0" w:left="283"/>
      </w:pPr>
      <w:r>
        <w:rPr>
          <w:rFonts w:ascii="Times New Roman" w:hAnsi="Times New Roman" w:eastAsia="Times New Roman"/>
          <w:sz w:val="24"/>
        </w:rPr>
        <w:t>1. В базовом сценарии FPY составляет 75,00 %, а Final Yield — 85,00 %, что указывает на наличие объёма, возвращаемого в годный выпуск после первого прохода.</w:t>
      </w:r>
    </w:p>
    <w:p>
      <w:pPr>
        <w:spacing w:after="60" w:line="264" w:lineRule="auto"/>
        <w:ind w:firstLine="0" w:left="283"/>
      </w:pPr>
      <w:r>
        <w:rPr>
          <w:rFonts w:ascii="Times New Roman" w:hAnsi="Times New Roman" w:eastAsia="Times New Roman"/>
          <w:sz w:val="24"/>
        </w:rPr>
        <w:t>2. Availability составляет 81,25 %, Performance — 97,44 %; оборудование в фактическое время работает близко к нормативной скорости, но имеет потери планового времени.</w:t>
      </w:r>
    </w:p>
    <w:p>
      <w:pPr>
        <w:spacing w:after="60" w:line="264" w:lineRule="auto"/>
        <w:ind w:firstLine="0" w:left="283"/>
      </w:pPr>
      <w:r>
        <w:rPr>
          <w:rFonts w:ascii="Times New Roman" w:hAnsi="Times New Roman" w:eastAsia="Times New Roman"/>
          <w:sz w:val="24"/>
        </w:rPr>
        <w:t>3. OEE равен 59,38 %. Главным ограничивающим множителем OEE является Quality, принятый равным FPY = 75,00 %.</w:t>
      </w:r>
    </w:p>
    <w:p>
      <w:pPr>
        <w:spacing w:after="60" w:line="264" w:lineRule="auto"/>
        <w:ind w:firstLine="0" w:left="283"/>
      </w:pPr>
      <w:r>
        <w:rPr>
          <w:rFonts w:ascii="Times New Roman" w:hAnsi="Times New Roman" w:eastAsia="Times New Roman"/>
          <w:sz w:val="24"/>
        </w:rPr>
        <w:t>4. Utilization составляет 66,67 %, поэтому TEEP снижается до 39,58 %. Неполная календарная загрузка ухудшает эффективность использования капиталоёмкого оборудования.</w:t>
      </w:r>
    </w:p>
    <w:p>
      <w:pPr>
        <w:spacing w:after="60" w:line="264" w:lineRule="auto"/>
        <w:ind w:firstLine="0" w:left="283"/>
      </w:pPr>
      <w:r>
        <w:rPr>
          <w:rFonts w:ascii="Times New Roman" w:hAnsi="Times New Roman" w:eastAsia="Times New Roman"/>
          <w:sz w:val="24"/>
        </w:rPr>
        <w:t>5. Полные производственные затраты базового месяца составляют 1 188 077,78 долл. США, а CPU — 14 713,04 долл. США/л.</w:t>
      </w:r>
    </w:p>
    <w:p>
      <w:pPr>
        <w:spacing w:after="60" w:line="264" w:lineRule="auto"/>
        <w:ind w:firstLine="0" w:left="283"/>
      </w:pPr>
      <w:r>
        <w:rPr>
          <w:rFonts w:ascii="Times New Roman" w:hAnsi="Times New Roman" w:eastAsia="Times New Roman"/>
          <w:sz w:val="24"/>
        </w:rPr>
        <w:t>6. Энергетическая ресурсоёмкость составляет 1 424,15 кВт·ч/л; массовая ресурсоёмкость не может быть определена из-за отсутствия физической массы сырья.</w:t>
      </w:r>
    </w:p>
    <w:p>
      <w:pPr>
        <w:spacing w:after="60" w:line="264" w:lineRule="auto"/>
        <w:ind w:firstLine="0" w:left="283"/>
      </w:pPr>
      <w:r>
        <w:rPr>
          <w:rFonts w:ascii="Times New Roman" w:hAnsi="Times New Roman" w:eastAsia="Times New Roman"/>
          <w:sz w:val="24"/>
        </w:rPr>
        <w:t>7. Python и Excel Ground Truth полностью согласованы по всем вычисляемым показателям: зафиксированные абсолютные и относительные отклонения равны нулю; необъяснённых FAIL в Harness Log нет.</w:t>
      </w:r>
    </w:p>
    <w:p>
      <w:pPr>
        <w:spacing w:after="60" w:line="264" w:lineRule="auto"/>
        <w:ind w:firstLine="0" w:left="283"/>
      </w:pPr>
      <w:r>
        <w:rPr>
          <w:rFonts w:ascii="Times New Roman" w:hAnsi="Times New Roman" w:eastAsia="Times New Roman"/>
          <w:sz w:val="24"/>
        </w:rPr>
        <w:t>8. Все зафиксированные граничные тесты, включая полный брак, идеальный завод, отрицательную стоимость сырья и проверки TTM, имеют статус PASS.</w:t>
      </w:r>
    </w:p>
    <w:p>
      <w:pPr>
        <w:spacing w:after="60" w:line="264" w:lineRule="auto"/>
        <w:ind w:firstLine="0" w:left="283"/>
      </w:pPr>
      <w:r>
        <w:rPr>
          <w:rFonts w:ascii="Times New Roman" w:hAnsi="Times New Roman" w:eastAsia="Times New Roman"/>
          <w:sz w:val="24"/>
        </w:rPr>
        <w:t>9. В стрессовом сценарии FPY снижается до 40,00 %, OEE — до 31,67 %, TEEP — до 21,11 %.</w:t>
      </w:r>
    </w:p>
    <w:p>
      <w:pPr>
        <w:spacing w:after="60" w:line="264" w:lineRule="auto"/>
        <w:ind w:firstLine="0" w:left="283"/>
      </w:pPr>
      <w:r>
        <w:rPr>
          <w:rFonts w:ascii="Times New Roman" w:hAnsi="Times New Roman" w:eastAsia="Times New Roman"/>
          <w:sz w:val="24"/>
        </w:rPr>
        <w:t>10. Трёхкратное повышение тарифа электроэнергии увеличивает Energy Cost на 50 600,00 долл. США/месяц и повышает CPU на 626,63 долл. США/л, до 15 339,66 долл. США/л.</w:t>
      </w:r>
    </w:p>
    <w:p>
      <w:pPr>
        <w:spacing w:after="60" w:line="264" w:lineRule="auto"/>
        <w:ind w:firstLine="0" w:left="283"/>
      </w:pPr>
      <w:r>
        <w:rPr>
          <w:rFonts w:ascii="Times New Roman" w:hAnsi="Times New Roman" w:eastAsia="Times New Roman"/>
          <w:sz w:val="24"/>
        </w:rPr>
        <w:t>11. В текущем stress CSV снижение FPY не увеличивает CPU напрямую, поскольку Final_Good_Units не изменяется, а стоимость переделки не задана отдельным параметром.</w:t>
      </w:r>
    </w:p>
    <w:p>
      <w:pPr>
        <w:spacing w:after="60" w:line="264" w:lineRule="auto"/>
        <w:ind w:firstLine="0" w:left="283"/>
      </w:pPr>
      <w:r>
        <w:rPr>
          <w:rFonts w:ascii="Times New Roman" w:hAnsi="Times New Roman" w:eastAsia="Times New Roman"/>
          <w:sz w:val="24"/>
        </w:rPr>
        <w:t>12. Задержка 0,5 года создаёт TTM-штраф 26,2859 % по параметрам задания и 28,0347 % по параметрам CSV; различие связано с исходными ставками дисконтирования и ценовой эрозии.</w:t>
      </w:r>
    </w:p>
    <w:p>
      <w:pPr>
        <w:spacing w:after="60" w:line="264" w:lineRule="auto"/>
        <w:ind w:firstLine="0" w:left="283"/>
      </w:pPr>
      <w:r>
        <w:rPr>
          <w:rFonts w:ascii="Times New Roman" w:hAnsi="Times New Roman" w:eastAsia="Times New Roman"/>
          <w:sz w:val="24"/>
        </w:rPr>
        <w:t>13. Для дальнейшего развития модели приоритетными данными являются физическая масса сырья и стоимость переделки, а также более детализированная фактическая структура OPEX.</w:t>
      </w:r>
    </w:p>
    <w:sectPr w:rsidR="00FC693F" w:rsidRPr="0006063C" w:rsidSect="00034616">
      <w:footerReference w:type="default" r:id="rId9"/>
      <w:pgSz w:w="11906" w:h="16838"/>
      <w:pgMar w:top="1134" w:right="850"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практической работе № 1 — Базовая операционная модель и ресурсоёмкость High-Tech производства</dc:title>
  <dc:subject>Экономический анализ наукоёмких производств — пилотное производство EUV-фоторезиста</dc:subject>
  <dc:creator/>
  <cp:keywords>EUV, FPY, OEE, TEEP, CPU, TTM, Excel Ground Truth, Harness Log</cp:keywords>
  <dc:description>generated by python-docx</dc:description>
  <cp:lastModifiedBy/>
  <cp:revision>1</cp:revision>
  <dcterms:created xsi:type="dcterms:W3CDTF">2013-12-23T23:15:00Z</dcterms:created>
  <dcterms:modified xsi:type="dcterms:W3CDTF">2013-12-23T23:15:00Z</dcterms:modified>
  <cp:category/>
</cp:coreProperties>
</file>