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МИНИСТЕРСТВО НАУКИ И ВЫСШЕГО ОБРАЗОВАНИЯ РОССИЙСКОЙ ФЕДЕРАЦИИ</w:t>
      </w:r>
    </w:p>
    <w:p>
      <w:pPr>
        <w:jc w:val="both"/>
      </w:pPr>
      <w:r>
        <w:t>РХТУ имени Д.И. Менделеева · Экономический анализ наукоёмких производств</w:t>
      </w:r>
    </w:p>
    <w:p>
      <w:pPr>
        <w:pStyle w:val="Title"/>
      </w:pPr>
      <w:r>
        <w:t>ОТЧЁТ ПО ПРАКТИЧЕСКОЙ РАБОТЕ № 3</w:t>
      </w:r>
    </w:p>
    <w:p>
      <w:pPr>
        <w:jc w:val="both"/>
      </w:pPr>
      <w:r>
        <w:t>Расчёт надёжности и рисков цепи поставок катализаторов полимеризации. Вариант Б</w:t>
      </w:r>
    </w:p>
    <w:p>
      <w:pPr>
        <w:jc w:val="both"/>
      </w:pPr>
      <w:r>
        <w:t>Студент: ____________________    Группа: ____________________</w:t>
      </w:r>
    </w:p>
    <w:p>
      <w:pPr>
        <w:jc w:val="both"/>
      </w:pPr>
      <w:r>
        <w:t>Дата расчёта: 2026-10-11</w:t>
      </w:r>
    </w:p>
    <w:p>
      <w:r>
        <w:br w:type="page"/>
      </w:r>
    </w:p>
    <w:p>
      <w:pPr>
        <w:pStyle w:val="Heading1"/>
      </w:pPr>
      <w:r>
        <w:t>1. Цель и задачи работы</w:t>
      </w:r>
    </w:p>
    <w:p>
      <w:pPr>
        <w:jc w:val="both"/>
      </w:pPr>
      <w:r>
        <w:t>Оценить годовую надёжность пятистадийной цепи, ожидаемый ущерб и хвостовой риск, проверить окупаемость резервного поставщика HF при независимости и общих шоках.</w:t>
      </w:r>
    </w:p>
    <w:p>
      <w:pPr>
        <w:pStyle w:val="Heading1"/>
      </w:pPr>
      <w:r>
        <w:t>2. Объект исследования</w:t>
      </w:r>
    </w:p>
    <w:p>
      <w:pPr>
        <w:jc w:val="both"/>
      </w:pPr>
      <w:r>
        <w:t>Цепь производства катализаторов: PGM → HF → мономер → жидкий азот → мембранный реактор. Резерв HF включается параллельно только на второй стадии; PGM остаётся единой точкой отказа.</w:t>
      </w:r>
    </w:p>
    <w:p>
      <w:pPr>
        <w:pStyle w:val="Heading1"/>
      </w:pPr>
      <w:r>
        <w:t>3. Исходные данные и контроль качества входа</w:t>
      </w:r>
    </w:p>
    <w:p>
      <w:pPr>
        <w:jc w:val="both"/>
      </w:pPr>
      <w:r>
        <w:t>Первичные параметры получены из JSON и семи CSV файлами варианта Б. Обе оси корреляционных матриц нормализованы по явной карте алиасов. Проверены диапазоны, размерности, TCO, спектр матриц, границы Фреше и 50 записей журнала.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7365D"/>
          </w:tcPr>
          <w:p>
            <w:r>
              <w:rPr>
                <w:b/>
                <w:color w:val="FFFFFF"/>
              </w:rPr>
              <w:t>Показатель</w:t>
            </w:r>
          </w:p>
        </w:tc>
        <w:tc>
          <w:tcPr>
            <w:tcW w:type="dxa" w:w="4819"/>
            <w:shd w:fill="17365D"/>
          </w:tcPr>
          <w:p>
            <w:r>
              <w:rPr>
                <w:b/>
                <w:color w:val="FFFFFF"/>
              </w:rPr>
              <w:t>Значение</w:t>
            </w:r>
          </w:p>
        </w:tc>
      </w:tr>
      <w:tr>
        <w:tc>
          <w:tcPr>
            <w:tcW w:type="dxa" w:w="4819"/>
          </w:tcPr>
          <w:p>
            <w:r>
              <w:t>Число обязательных стадий</w:t>
            </w:r>
          </w:p>
        </w:tc>
        <w:tc>
          <w:tcPr>
            <w:tcW w:type="dxa" w:w="4819"/>
          </w:tcPr>
          <w:p>
            <w:r>
              <w:t>5</w:t>
            </w:r>
          </w:p>
        </w:tc>
      </w:tr>
      <w:tr>
        <w:tc>
          <w:tcPr>
            <w:tcW w:type="dxa" w:w="4819"/>
          </w:tcPr>
          <w:p>
            <w:r>
              <w:t>Число источников HF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  <w:tr>
        <w:tc>
          <w:tcPr>
            <w:tcW w:type="dxa" w:w="4819"/>
          </w:tcPr>
          <w:p>
            <w:r>
              <w:t>Исторические инциденты</w:t>
            </w:r>
          </w:p>
        </w:tc>
        <w:tc>
          <w:tcPr>
            <w:tcW w:type="dxa" w:w="4819"/>
          </w:tcPr>
          <w:p>
            <w:r>
              <w:t>50</w:t>
            </w:r>
          </w:p>
        </w:tc>
      </w:tr>
      <w:tr>
        <w:tc>
          <w:tcPr>
            <w:tcW w:type="dxa" w:w="4819"/>
          </w:tcPr>
          <w:p>
            <w:r>
              <w:t>Блокирующие проблемы входа</w:t>
            </w:r>
          </w:p>
        </w:tc>
        <w:tc>
          <w:tcPr>
            <w:tcW w:type="dxa" w:w="4819"/>
          </w:tcPr>
          <w:p>
            <w:r>
              <w:t>0</w:t>
            </w:r>
          </w:p>
        </w:tc>
      </w:tr>
    </w:tbl>
    <w:p>
      <w:pPr>
        <w:pStyle w:val="Heading1"/>
      </w:pPr>
      <w:r>
        <w:t>4. Архитектура расчётного решения</w:t>
      </w:r>
    </w:p>
    <w:p>
      <w:pPr>
        <w:jc w:val="both"/>
      </w:pPr>
      <w:r>
        <w:t>InputDataLoader формирует типизированный SupplyChainData. DataValidator проверяет данные. Аналитический модуль и SupplyChainRiskAnalyzer считают независимые и зависимые сценарии. Отдельные модули строят Excel, журнал, графики и отчёт. Состояния каждого опыта сохраняются в CSV.</w:t>
      </w:r>
    </w:p>
    <w:p>
      <w:pPr>
        <w:pStyle w:val="Heading1"/>
      </w:pPr>
      <w:r>
        <w:t>5. Методика расчёта</w:t>
      </w:r>
    </w:p>
    <w:p>
      <w:pPr>
        <w:pStyle w:val="Heading2"/>
      </w:pPr>
      <w:r>
        <w:t>5.1. Основные показатели</w:t>
      </w:r>
    </w:p>
    <w:p>
      <w:pPr>
        <w:jc w:val="center"/>
      </w:pPr>
      <w:r>
        <w:rPr>
          <w:rFonts w:ascii="Cambria Math" w:hAnsi="Cambria Math"/>
          <w:sz w:val="24"/>
        </w:rPr>
        <w:t>R_sys = ∏R_i;    P_fail = 1 − R_sys</w:t>
      </w:r>
    </w:p>
    <w:p>
      <w:pPr>
        <w:jc w:val="center"/>
      </w:pPr>
      <w:r>
        <w:rPr>
          <w:rFonts w:ascii="Cambria Math" w:hAnsi="Cambria Math"/>
          <w:sz w:val="24"/>
        </w:rPr>
        <w:t>R_HF = 1 − Q_aQ_b − ρ√(R_aQ_aR_bQ_b)</w:t>
      </w:r>
    </w:p>
    <w:p>
      <w:pPr>
        <w:jc w:val="both"/>
      </w:pPr>
      <w:r>
        <w:t>R_i — годовая вероятность работоспособности обязательной стадии; Q_i=1−R_i. Для HF с резервом ρ — бинарная корреляция Пирсона, допустимая в границах Фреше. Источник: лекция 5, слайды 7–10, 17–23; задание 3, с. 2–4.</w:t>
      </w:r>
    </w:p>
    <w:p>
      <w:pPr>
        <w:jc w:val="both"/>
      </w:pPr>
      <w:r>
        <w:t>Средняя длительность логнормального простоя E[T]=exp(μ+σ²/2), медиана=exp(μ). Монте-Карло моделирует один годовой сценарий и один ущерб при останове. VaR — эмпирический квантиль, CVaR — среднее худшей доли выборки с дробным весом граничного атома. Источник: лекция 5, слайды 29–34; задание 3, с. 3–4.</w:t>
      </w:r>
    </w:p>
    <w:p>
      <w:pPr>
        <w:pStyle w:val="Heading2"/>
      </w:pPr>
      <w:r>
        <w:t>5.2. Стоимостные и ресурсные показатели</w:t>
      </w:r>
    </w:p>
    <w:p>
      <w:pPr>
        <w:jc w:val="center"/>
      </w:pPr>
      <w:r>
        <w:rPr>
          <w:rFonts w:ascii="Cambria Math" w:hAnsi="Cambria Math"/>
          <w:sz w:val="24"/>
        </w:rPr>
        <w:t>EL = P_fail · (C_day · E[T] + C_scrap)</w:t>
      </w:r>
    </w:p>
    <w:p>
      <w:pPr>
        <w:jc w:val="center"/>
      </w:pPr>
      <w:r>
        <w:rPr>
          <w:rFonts w:ascii="Cambria Math" w:hAnsi="Cambria Math"/>
          <w:sz w:val="24"/>
        </w:rPr>
        <w:t>TCO = CAPEX · r_amor + OPEX_audit + ΔC_proc</w:t>
      </w:r>
    </w:p>
    <w:p>
      <w:pPr>
        <w:jc w:val="center"/>
      </w:pPr>
      <w:r>
        <w:rPr>
          <w:rFonts w:ascii="Cambria Math" w:hAnsi="Cambria Math"/>
          <w:sz w:val="24"/>
        </w:rPr>
        <w:t>ROI = (ΔEL − TCO) / TCO</w:t>
      </w:r>
    </w:p>
    <w:p>
      <w:pPr>
        <w:jc w:val="both"/>
      </w:pPr>
      <w:r>
        <w:t>EL измеряется в млн USD/год, C_day — млн USD/сутки, C_scrap — млн USD/инцидент. EL_med использует медиану вместо E[T] и служит отдельным фиксированным сценарием. Ставка C_day уже включает упущенную маржу. Источник: лекция 5, слайды 24–25, 29–34; задание 3, с. 2–4.</w:t>
      </w:r>
    </w:p>
    <w:p>
      <w:pPr>
        <w:pStyle w:val="Heading1"/>
      </w:pPr>
      <w:r>
        <w:t>6. Результаты расчёта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17365D"/>
          </w:tcPr>
          <w:p>
            <w:r>
              <w:rPr>
                <w:b/>
                <w:color w:val="FFFFFF"/>
              </w:rPr>
              <w:t>Сценарий</w:t>
            </w:r>
          </w:p>
        </w:tc>
        <w:tc>
          <w:tcPr>
            <w:tcW w:type="dxa" w:w="1606"/>
            <w:shd w:fill="17365D"/>
          </w:tcPr>
          <w:p>
            <w:r>
              <w:rPr>
                <w:b/>
                <w:color w:val="FFFFFF"/>
              </w:rPr>
              <w:t>R_sys</w:t>
            </w:r>
          </w:p>
        </w:tc>
        <w:tc>
          <w:tcPr>
            <w:tcW w:type="dxa" w:w="1606"/>
            <w:shd w:fill="17365D"/>
          </w:tcPr>
          <w:p>
            <w:r>
              <w:rPr>
                <w:b/>
                <w:color w:val="FFFFFF"/>
              </w:rPr>
              <w:t>P_fail</w:t>
            </w:r>
          </w:p>
        </w:tc>
        <w:tc>
          <w:tcPr>
            <w:tcW w:type="dxa" w:w="1606"/>
            <w:shd w:fill="17365D"/>
          </w:tcPr>
          <w:p>
            <w:r>
              <w:rPr>
                <w:b/>
                <w:color w:val="FFFFFF"/>
              </w:rPr>
              <w:t>EL, млн USD/год</w:t>
            </w:r>
          </w:p>
        </w:tc>
        <w:tc>
          <w:tcPr>
            <w:tcW w:type="dxa" w:w="1606"/>
            <w:shd w:fill="17365D"/>
          </w:tcPr>
          <w:p>
            <w:r>
              <w:rPr>
                <w:b/>
                <w:color w:val="FFFFFF"/>
              </w:rPr>
              <w:t>ROI</w:t>
            </w:r>
          </w:p>
        </w:tc>
        <w:tc>
          <w:tcPr>
            <w:tcW w:type="dxa" w:w="1606"/>
            <w:shd w:fill="17365D"/>
          </w:tcPr>
          <w:p>
            <w:r>
              <w:rPr>
                <w:b/>
                <w:color w:val="FFFFFF"/>
              </w:rPr>
              <w:t>Статус</w:t>
            </w:r>
          </w:p>
        </w:tc>
      </w:tr>
      <w:tr>
        <w:tc>
          <w:tcPr>
            <w:tcW w:type="dxa" w:w="1606"/>
          </w:tcPr>
          <w:p>
            <w:r>
              <w:t>S0</w:t>
            </w:r>
          </w:p>
        </w:tc>
        <w:tc>
          <w:tcPr>
            <w:tcW w:type="dxa" w:w="1606"/>
          </w:tcPr>
          <w:p>
            <w:r>
              <w:t>0.7729</w:t>
            </w:r>
          </w:p>
        </w:tc>
        <w:tc>
          <w:tcPr>
            <w:tcW w:type="dxa" w:w="1606"/>
          </w:tcPr>
          <w:p>
            <w:r>
              <w:t>0.2271</w:t>
            </w:r>
          </w:p>
        </w:tc>
        <w:tc>
          <w:tcPr>
            <w:tcW w:type="dxa" w:w="1606"/>
          </w:tcPr>
          <w:p>
            <w:r>
              <w:t>17.8135</w:t>
            </w:r>
          </w:p>
        </w:tc>
        <w:tc>
          <w:tcPr>
            <w:tcW w:type="dxa" w:w="1606"/>
          </w:tcPr>
          <w:p>
            <w:r>
              <w:t>—</w:t>
            </w:r>
          </w:p>
        </w:tc>
        <w:tc>
          <w:tcPr>
            <w:tcW w:type="dxa" w:w="1606"/>
          </w:tcPr>
          <w:p>
            <w:r>
              <w:t>PASS</w:t>
            </w:r>
          </w:p>
        </w:tc>
      </w:tr>
      <w:tr>
        <w:tc>
          <w:tcPr>
            <w:tcW w:type="dxa" w:w="1606"/>
          </w:tcPr>
          <w:p>
            <w:r>
              <w:t>S1</w:t>
            </w:r>
          </w:p>
        </w:tc>
        <w:tc>
          <w:tcPr>
            <w:tcW w:type="dxa" w:w="1606"/>
          </w:tcPr>
          <w:p>
            <w:r>
              <w:t>0.8334</w:t>
            </w:r>
          </w:p>
        </w:tc>
        <w:tc>
          <w:tcPr>
            <w:tcW w:type="dxa" w:w="1606"/>
          </w:tcPr>
          <w:p>
            <w:r>
              <w:t>0.1666</w:t>
            </w:r>
          </w:p>
        </w:tc>
        <w:tc>
          <w:tcPr>
            <w:tcW w:type="dxa" w:w="1606"/>
          </w:tcPr>
          <w:p>
            <w:r>
              <w:t>13.0683</w:t>
            </w:r>
          </w:p>
        </w:tc>
        <w:tc>
          <w:tcPr>
            <w:tcW w:type="dxa" w:w="1606"/>
          </w:tcPr>
          <w:p>
            <w:r>
              <w:t>0.5819</w:t>
            </w:r>
          </w:p>
        </w:tc>
        <w:tc>
          <w:tcPr>
            <w:tcW w:type="dxa" w:w="1606"/>
          </w:tcPr>
          <w:p>
            <w:r>
              <w:t>PASS</w:t>
            </w:r>
          </w:p>
        </w:tc>
      </w:tr>
      <w:tr>
        <w:tc>
          <w:tcPr>
            <w:tcW w:type="dxa" w:w="1606"/>
          </w:tcPr>
          <w:p>
            <w:r>
              <w:t>S2</w:t>
            </w:r>
          </w:p>
        </w:tc>
        <w:tc>
          <w:tcPr>
            <w:tcW w:type="dxa" w:w="1606"/>
          </w:tcPr>
          <w:p>
            <w:r>
              <w:t>0.8197</w:t>
            </w:r>
          </w:p>
        </w:tc>
        <w:tc>
          <w:tcPr>
            <w:tcW w:type="dxa" w:w="1606"/>
          </w:tcPr>
          <w:p>
            <w:r>
              <w:t>0.1803</w:t>
            </w:r>
          </w:p>
        </w:tc>
        <w:tc>
          <w:tcPr>
            <w:tcW w:type="dxa" w:w="1606"/>
          </w:tcPr>
          <w:p>
            <w:r>
              <w:t>14.1411</w:t>
            </w:r>
          </w:p>
        </w:tc>
        <w:tc>
          <w:tcPr>
            <w:tcW w:type="dxa" w:w="1606"/>
          </w:tcPr>
          <w:p>
            <w:r>
              <w:t>0.2242</w:t>
            </w:r>
          </w:p>
        </w:tc>
        <w:tc>
          <w:tcPr>
            <w:tcW w:type="dxa" w:w="1606"/>
          </w:tcPr>
          <w:p>
            <w:r>
              <w:t>PASS</w:t>
            </w:r>
          </w:p>
        </w:tc>
      </w:tr>
      <w:tr>
        <w:tc>
          <w:tcPr>
            <w:tcW w:type="dxa" w:w="1606"/>
          </w:tcPr>
          <w:p>
            <w:r>
              <w:t>S0_full</w:t>
            </w:r>
          </w:p>
        </w:tc>
        <w:tc>
          <w:tcPr>
            <w:tcW w:type="dxa" w:w="1606"/>
          </w:tcPr>
          <w:p>
            <w:r>
              <w:t>0.7889</w:t>
            </w:r>
          </w:p>
        </w:tc>
        <w:tc>
          <w:tcPr>
            <w:tcW w:type="dxa" w:w="1606"/>
          </w:tcPr>
          <w:p>
            <w:r>
              <w:t>0.2111</w:t>
            </w:r>
          </w:p>
        </w:tc>
        <w:tc>
          <w:tcPr>
            <w:tcW w:type="dxa" w:w="1606"/>
          </w:tcPr>
          <w:p>
            <w:r>
              <w:t>16.7023</w:t>
            </w:r>
          </w:p>
        </w:tc>
        <w:tc>
          <w:tcPr>
            <w:tcW w:type="dxa" w:w="1606"/>
          </w:tcPr>
          <w:p>
            <w:r>
              <w:t>—</w:t>
            </w:r>
          </w:p>
        </w:tc>
        <w:tc>
          <w:tcPr>
            <w:tcW w:type="dxa" w:w="1606"/>
          </w:tcPr>
          <w:p>
            <w:r>
              <w:t>PASS</w:t>
            </w:r>
          </w:p>
        </w:tc>
      </w:tr>
      <w:tr>
        <w:tc>
          <w:tcPr>
            <w:tcW w:type="dxa" w:w="1606"/>
          </w:tcPr>
          <w:p>
            <w:r>
              <w:t>S2_full</w:t>
            </w:r>
          </w:p>
        </w:tc>
        <w:tc>
          <w:tcPr>
            <w:tcW w:type="dxa" w:w="1606"/>
          </w:tcPr>
          <w:p>
            <w:r>
              <w:t>0.8294</w:t>
            </w:r>
          </w:p>
        </w:tc>
        <w:tc>
          <w:tcPr>
            <w:tcW w:type="dxa" w:w="1606"/>
          </w:tcPr>
          <w:p>
            <w:r>
              <w:t>0.1706</w:t>
            </w:r>
          </w:p>
        </w:tc>
        <w:tc>
          <w:tcPr>
            <w:tcW w:type="dxa" w:w="1606"/>
          </w:tcPr>
          <w:p>
            <w:r>
              <w:t>13.5507</w:t>
            </w:r>
          </w:p>
        </w:tc>
        <w:tc>
          <w:tcPr>
            <w:tcW w:type="dxa" w:w="1606"/>
          </w:tcPr>
          <w:p>
            <w:r>
              <w:t>0.0506</w:t>
            </w:r>
          </w:p>
        </w:tc>
        <w:tc>
          <w:tcPr>
            <w:tcW w:type="dxa" w:w="1606"/>
          </w:tcPr>
          <w:p>
            <w:r>
              <w:t>PASS</w:t>
            </w:r>
          </w:p>
        </w:tc>
      </w:tr>
      <w:tr>
        <w:tc>
          <w:tcPr>
            <w:tcW w:type="dxa" w:w="1606"/>
          </w:tcPr>
          <w:p>
            <w:r>
              <w:t>S3</w:t>
            </w:r>
          </w:p>
        </w:tc>
        <w:tc>
          <w:tcPr>
            <w:tcW w:type="dxa" w:w="1606"/>
          </w:tcPr>
          <w:p>
            <w:r>
              <w:t>0.7052</w:t>
            </w:r>
          </w:p>
        </w:tc>
        <w:tc>
          <w:tcPr>
            <w:tcW w:type="dxa" w:w="1606"/>
          </w:tcPr>
          <w:p>
            <w:r>
              <w:t>0.2948</w:t>
            </w:r>
          </w:p>
        </w:tc>
        <w:tc>
          <w:tcPr>
            <w:tcW w:type="dxa" w:w="1606"/>
          </w:tcPr>
          <w:p>
            <w:r>
              <w:t>23.0145</w:t>
            </w:r>
          </w:p>
        </w:tc>
        <w:tc>
          <w:tcPr>
            <w:tcW w:type="dxa" w:w="1606"/>
          </w:tcPr>
          <w:p>
            <w:r>
              <w:t>—</w:t>
            </w:r>
          </w:p>
        </w:tc>
        <w:tc>
          <w:tcPr>
            <w:tcW w:type="dxa" w:w="1606"/>
          </w:tcPr>
          <w:p>
            <w:r>
              <w:t>PASS</w:t>
            </w:r>
          </w:p>
        </w:tc>
      </w:tr>
      <w:tr>
        <w:tc>
          <w:tcPr>
            <w:tcW w:type="dxa" w:w="1606"/>
          </w:tcPr>
          <w:p>
            <w:r>
              <w:t>S4</w:t>
            </w:r>
          </w:p>
        </w:tc>
        <w:tc>
          <w:tcPr>
            <w:tcW w:type="dxa" w:w="1606"/>
          </w:tcPr>
          <w:p>
            <w:r>
              <w:t>0.7108</w:t>
            </w:r>
          </w:p>
        </w:tc>
        <w:tc>
          <w:tcPr>
            <w:tcW w:type="dxa" w:w="1606"/>
          </w:tcPr>
          <w:p>
            <w:r>
              <w:t>0.2892</w:t>
            </w:r>
          </w:p>
        </w:tc>
        <w:tc>
          <w:tcPr>
            <w:tcW w:type="dxa" w:w="1606"/>
          </w:tcPr>
          <w:p>
            <w:r>
              <w:t>22.5804</w:t>
            </w:r>
          </w:p>
        </w:tc>
        <w:tc>
          <w:tcPr>
            <w:tcW w:type="dxa" w:w="1606"/>
          </w:tcPr>
          <w:p>
            <w:r>
              <w:t>-0.8553</w:t>
            </w:r>
          </w:p>
        </w:tc>
        <w:tc>
          <w:tcPr>
            <w:tcW w:type="dxa" w:w="1606"/>
          </w:tcPr>
          <w:p>
            <w:r>
              <w:t>PASS</w:t>
            </w:r>
          </w:p>
        </w:tc>
      </w:tr>
      <w:tr>
        <w:tc>
          <w:tcPr>
            <w:tcW w:type="dxa" w:w="1606"/>
          </w:tcPr>
          <w:p>
            <w:r>
              <w:t>S5</w:t>
            </w:r>
          </w:p>
        </w:tc>
        <w:tc>
          <w:tcPr>
            <w:tcW w:type="dxa" w:w="1606"/>
          </w:tcPr>
          <w:p>
            <w:r>
              <w:t>0.7729</w:t>
            </w:r>
          </w:p>
        </w:tc>
        <w:tc>
          <w:tcPr>
            <w:tcW w:type="dxa" w:w="1606"/>
          </w:tcPr>
          <w:p>
            <w:r>
              <w:t>0.2271</w:t>
            </w:r>
          </w:p>
        </w:tc>
        <w:tc>
          <w:tcPr>
            <w:tcW w:type="dxa" w:w="1606"/>
          </w:tcPr>
          <w:p>
            <w:r>
              <w:t>16.6523</w:t>
            </w:r>
          </w:p>
        </w:tc>
        <w:tc>
          <w:tcPr>
            <w:tcW w:type="dxa" w:w="1606"/>
          </w:tcPr>
          <w:p>
            <w:r>
              <w:t>—</w:t>
            </w:r>
          </w:p>
        </w:tc>
        <w:tc>
          <w:tcPr>
            <w:tcW w:type="dxa" w:w="1606"/>
          </w:tcPr>
          <w:p>
            <w:r>
              <w:t>WARNING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7365D"/>
          </w:tcPr>
          <w:p>
            <w:r>
              <w:rPr>
                <w:b/>
                <w:color w:val="FFFFFF"/>
              </w:rPr>
              <w:t>Сценарий</w:t>
            </w:r>
          </w:p>
        </w:tc>
        <w:tc>
          <w:tcPr>
            <w:tcW w:type="dxa" w:w="1928"/>
            <w:shd w:fill="17365D"/>
          </w:tcPr>
          <w:p>
            <w:r>
              <w:rPr>
                <w:b/>
                <w:color w:val="FFFFFF"/>
              </w:rPr>
              <w:t>VaR95</w:t>
            </w:r>
          </w:p>
        </w:tc>
        <w:tc>
          <w:tcPr>
            <w:tcW w:type="dxa" w:w="1928"/>
            <w:shd w:fill="17365D"/>
          </w:tcPr>
          <w:p>
            <w:r>
              <w:rPr>
                <w:b/>
                <w:color w:val="FFFFFF"/>
              </w:rPr>
              <w:t>CVaR95</w:t>
            </w:r>
          </w:p>
        </w:tc>
        <w:tc>
          <w:tcPr>
            <w:tcW w:type="dxa" w:w="1928"/>
            <w:shd w:fill="17365D"/>
          </w:tcPr>
          <w:p>
            <w:r>
              <w:rPr>
                <w:b/>
                <w:color w:val="FFFFFF"/>
              </w:rPr>
              <w:t>VaR99</w:t>
            </w:r>
          </w:p>
        </w:tc>
        <w:tc>
          <w:tcPr>
            <w:tcW w:type="dxa" w:w="1928"/>
            <w:shd w:fill="17365D"/>
          </w:tcPr>
          <w:p>
            <w:r>
              <w:rPr>
                <w:b/>
                <w:color w:val="FFFFFF"/>
              </w:rPr>
              <w:t>CVaR99</w:t>
            </w:r>
          </w:p>
        </w:tc>
      </w:tr>
      <w:tr>
        <w:tc>
          <w:tcPr>
            <w:tcW w:type="dxa" w:w="1928"/>
          </w:tcPr>
          <w:p>
            <w:r>
              <w:t>S0</w:t>
            </w:r>
          </w:p>
        </w:tc>
        <w:tc>
          <w:tcPr>
            <w:tcW w:type="dxa" w:w="1928"/>
          </w:tcPr>
          <w:p>
            <w:r>
              <w:t>100.0811</w:t>
            </w:r>
          </w:p>
        </w:tc>
        <w:tc>
          <w:tcPr>
            <w:tcW w:type="dxa" w:w="1928"/>
          </w:tcPr>
          <w:p>
            <w:r>
              <w:t>144.8137</w:t>
            </w:r>
          </w:p>
        </w:tc>
        <w:tc>
          <w:tcPr>
            <w:tcW w:type="dxa" w:w="1928"/>
          </w:tcPr>
          <w:p>
            <w:r>
              <w:t>169.2658</w:t>
            </w:r>
          </w:p>
        </w:tc>
        <w:tc>
          <w:tcPr>
            <w:tcW w:type="dxa" w:w="1928"/>
          </w:tcPr>
          <w:p>
            <w:r>
              <w:t>228.4391</w:t>
            </w:r>
          </w:p>
        </w:tc>
      </w:tr>
      <w:tr>
        <w:tc>
          <w:tcPr>
            <w:tcW w:type="dxa" w:w="1928"/>
          </w:tcPr>
          <w:p>
            <w:r>
              <w:t>S1</w:t>
            </w:r>
          </w:p>
        </w:tc>
        <w:tc>
          <w:tcPr>
            <w:tcW w:type="dxa" w:w="1928"/>
          </w:tcPr>
          <w:p>
            <w:r>
              <w:t>87.6025</w:t>
            </w:r>
          </w:p>
        </w:tc>
        <w:tc>
          <w:tcPr>
            <w:tcW w:type="dxa" w:w="1928"/>
          </w:tcPr>
          <w:p>
            <w:r>
              <w:t>127.2344</w:t>
            </w:r>
          </w:p>
        </w:tc>
        <w:tc>
          <w:tcPr>
            <w:tcW w:type="dxa" w:w="1928"/>
          </w:tcPr>
          <w:p>
            <w:r>
              <w:t>151.2639</w:t>
            </w:r>
          </w:p>
        </w:tc>
        <w:tc>
          <w:tcPr>
            <w:tcW w:type="dxa" w:w="1928"/>
          </w:tcPr>
          <w:p>
            <w:r>
              <w:t>191.7632</w:t>
            </w:r>
          </w:p>
        </w:tc>
      </w:tr>
      <w:tr>
        <w:tc>
          <w:tcPr>
            <w:tcW w:type="dxa" w:w="1928"/>
          </w:tcPr>
          <w:p>
            <w:r>
              <w:t>S2</w:t>
            </w:r>
          </w:p>
        </w:tc>
        <w:tc>
          <w:tcPr>
            <w:tcW w:type="dxa" w:w="1928"/>
          </w:tcPr>
          <w:p>
            <w:r>
              <w:t>90.7217</w:t>
            </w:r>
          </w:p>
        </w:tc>
        <w:tc>
          <w:tcPr>
            <w:tcW w:type="dxa" w:w="1928"/>
          </w:tcPr>
          <w:p>
            <w:r>
              <w:t>133.7804</w:t>
            </w:r>
          </w:p>
        </w:tc>
        <w:tc>
          <w:tcPr>
            <w:tcW w:type="dxa" w:w="1928"/>
          </w:tcPr>
          <w:p>
            <w:r>
              <w:t>157.0690</w:t>
            </w:r>
          </w:p>
        </w:tc>
        <w:tc>
          <w:tcPr>
            <w:tcW w:type="dxa" w:w="1928"/>
          </w:tcPr>
          <w:p>
            <w:r>
              <w:t>206.5319</w:t>
            </w:r>
          </w:p>
        </w:tc>
      </w:tr>
      <w:tr>
        <w:tc>
          <w:tcPr>
            <w:tcW w:type="dxa" w:w="1928"/>
          </w:tcPr>
          <w:p>
            <w:r>
              <w:t>S0_full</w:t>
            </w:r>
          </w:p>
        </w:tc>
        <w:tc>
          <w:tcPr>
            <w:tcW w:type="dxa" w:w="1928"/>
          </w:tcPr>
          <w:p>
            <w:r>
              <w:t>97.8440</w:t>
            </w:r>
          </w:p>
        </w:tc>
        <w:tc>
          <w:tcPr>
            <w:tcW w:type="dxa" w:w="1928"/>
          </w:tcPr>
          <w:p>
            <w:r>
              <w:t>143.3695</w:t>
            </w:r>
          </w:p>
        </w:tc>
        <w:tc>
          <w:tcPr>
            <w:tcW w:type="dxa" w:w="1928"/>
          </w:tcPr>
          <w:p>
            <w:r>
              <w:t>167.5874</w:t>
            </w:r>
          </w:p>
        </w:tc>
        <w:tc>
          <w:tcPr>
            <w:tcW w:type="dxa" w:w="1928"/>
          </w:tcPr>
          <w:p>
            <w:r>
              <w:t>221.1510</w:t>
            </w:r>
          </w:p>
        </w:tc>
      </w:tr>
      <w:tr>
        <w:tc>
          <w:tcPr>
            <w:tcW w:type="dxa" w:w="1928"/>
          </w:tcPr>
          <w:p>
            <w:r>
              <w:t>S2_full</w:t>
            </w:r>
          </w:p>
        </w:tc>
        <w:tc>
          <w:tcPr>
            <w:tcW w:type="dxa" w:w="1928"/>
          </w:tcPr>
          <w:p>
            <w:r>
              <w:t>88.9773</w:t>
            </w:r>
          </w:p>
        </w:tc>
        <w:tc>
          <w:tcPr>
            <w:tcW w:type="dxa" w:w="1928"/>
          </w:tcPr>
          <w:p>
            <w:r>
              <w:t>134.3064</w:t>
            </w:r>
          </w:p>
        </w:tc>
        <w:tc>
          <w:tcPr>
            <w:tcW w:type="dxa" w:w="1928"/>
          </w:tcPr>
          <w:p>
            <w:r>
              <w:t>159.3623</w:t>
            </w:r>
          </w:p>
        </w:tc>
        <w:tc>
          <w:tcPr>
            <w:tcW w:type="dxa" w:w="1928"/>
          </w:tcPr>
          <w:p>
            <w:r>
              <w:t>209.9058</w:t>
            </w:r>
          </w:p>
        </w:tc>
      </w:tr>
      <w:tr>
        <w:tc>
          <w:tcPr>
            <w:tcW w:type="dxa" w:w="1928"/>
          </w:tcPr>
          <w:p>
            <w:r>
              <w:t>S3</w:t>
            </w:r>
          </w:p>
        </w:tc>
        <w:tc>
          <w:tcPr>
            <w:tcW w:type="dxa" w:w="1928"/>
          </w:tcPr>
          <w:p>
            <w:r>
              <w:t>112.2029</w:t>
            </w:r>
          </w:p>
        </w:tc>
        <w:tc>
          <w:tcPr>
            <w:tcW w:type="dxa" w:w="1928"/>
          </w:tcPr>
          <w:p>
            <w:r>
              <w:t>154.1281</w:t>
            </w:r>
          </w:p>
        </w:tc>
        <w:tc>
          <w:tcPr>
            <w:tcW w:type="dxa" w:w="1928"/>
          </w:tcPr>
          <w:p>
            <w:r>
              <w:t>178.2346</w:t>
            </w:r>
          </w:p>
        </w:tc>
        <w:tc>
          <w:tcPr>
            <w:tcW w:type="dxa" w:w="1928"/>
          </w:tcPr>
          <w:p>
            <w:r>
              <w:t>223.7786</w:t>
            </w:r>
          </w:p>
        </w:tc>
      </w:tr>
      <w:tr>
        <w:tc>
          <w:tcPr>
            <w:tcW w:type="dxa" w:w="1928"/>
          </w:tcPr>
          <w:p>
            <w:r>
              <w:t>S4</w:t>
            </w:r>
          </w:p>
        </w:tc>
        <w:tc>
          <w:tcPr>
            <w:tcW w:type="dxa" w:w="1928"/>
          </w:tcPr>
          <w:p>
            <w:r>
              <w:t>111.5419</w:t>
            </w:r>
          </w:p>
        </w:tc>
        <w:tc>
          <w:tcPr>
            <w:tcW w:type="dxa" w:w="1928"/>
          </w:tcPr>
          <w:p>
            <w:r>
              <w:t>153.3943</w:t>
            </w:r>
          </w:p>
        </w:tc>
        <w:tc>
          <w:tcPr>
            <w:tcW w:type="dxa" w:w="1928"/>
          </w:tcPr>
          <w:p>
            <w:r>
              <w:t>177.2318</w:t>
            </w:r>
          </w:p>
        </w:tc>
        <w:tc>
          <w:tcPr>
            <w:tcW w:type="dxa" w:w="1928"/>
          </w:tcPr>
          <w:p>
            <w:r>
              <w:t>223.6924</w:t>
            </w:r>
          </w:p>
        </w:tc>
      </w:tr>
      <w:tr>
        <w:tc>
          <w:tcPr>
            <w:tcW w:type="dxa" w:w="1928"/>
          </w:tcPr>
          <w:p>
            <w:r>
              <w:t>S5</w:t>
            </w:r>
          </w:p>
        </w:tc>
        <w:tc>
          <w:tcPr>
            <w:tcW w:type="dxa" w:w="1928"/>
          </w:tcPr>
          <w:p>
            <w:r>
              <w:t>55.4015</w:t>
            </w:r>
          </w:p>
        </w:tc>
        <w:tc>
          <w:tcPr>
            <w:tcW w:type="dxa" w:w="1928"/>
          </w:tcPr>
          <w:p>
            <w:r>
              <w:t>159.2143</w:t>
            </w:r>
          </w:p>
        </w:tc>
        <w:tc>
          <w:tcPr>
            <w:tcW w:type="dxa" w:w="1928"/>
          </w:tcPr>
          <w:p>
            <w:r>
              <w:t>174.5180</w:t>
            </w:r>
          </w:p>
        </w:tc>
        <w:tc>
          <w:tcPr>
            <w:tcW w:type="dxa" w:w="1928"/>
          </w:tcPr>
          <w:p>
            <w:r>
              <w:t>429.3597</w:t>
            </w:r>
          </w:p>
        </w:tc>
      </w:tr>
    </w:tbl>
    <w:p>
      <w:pPr>
        <w:jc w:val="both"/>
      </w:pPr>
      <w:r>
        <w:t>Для независимого моносинга R_sys=0.7729, EL=17.8135 млн USD/год. Независимый HF резерв даёт R_sys=0.8334 и EL=13.0683 млн USD/год.</w:t>
      </w:r>
    </w:p>
    <w:p>
      <w:pPr>
        <w:pStyle w:val="Heading1"/>
      </w:pPr>
      <w:r>
        <w:t>7. Harness Log</w:t>
      </w:r>
    </w:p>
    <w:p>
      <w:pPr>
        <w:jc w:val="both"/>
      </w:pPr>
      <w:r>
        <w:t>Excel-эталон: NOT_VERIFIED. Подробные расхождения, проблемы, тесты и допущения находятся в HARNES_LOG.xlsx. Подтверждённых записей о проблемах: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7365D"/>
          </w:tcPr>
          <w:p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3213"/>
            <w:shd w:fill="17365D"/>
          </w:tcPr>
          <w:p>
            <w:r>
              <w:rPr>
                <w:b/>
                <w:color w:val="FFFFFF"/>
              </w:rPr>
              <w:t>Свидетельство</w:t>
            </w:r>
          </w:p>
        </w:tc>
        <w:tc>
          <w:tcPr>
            <w:tcW w:type="dxa" w:w="3213"/>
            <w:shd w:fill="17365D"/>
          </w:tcPr>
          <w:p>
            <w:r>
              <w:rPr>
                <w:b/>
                <w:color w:val="FFFFFF"/>
              </w:rPr>
              <w:t>Статус</w:t>
            </w:r>
          </w:p>
        </w:tc>
      </w:tr>
      <w:tr>
        <w:tc>
          <w:tcPr>
            <w:tcW w:type="dxa" w:w="3213"/>
          </w:tcPr>
          <w:p>
            <w:r>
              <w:t>DOCUMENT_ERROR</w:t>
            </w:r>
          </w:p>
        </w:tc>
        <w:tc>
          <w:tcPr>
            <w:tcW w:type="dxa" w:w="3213"/>
          </w:tcPr>
          <w:p>
            <w:r>
              <w:t>Independent Excel calculation unavailable: com_error: (-2147023584, 'Указанный сеанс работы не существует.  Во</w:t>
            </w:r>
          </w:p>
        </w:tc>
        <w:tc>
          <w:tcPr>
            <w:tcW w:type="dxa" w:w="3213"/>
          </w:tcPr>
          <w:p>
            <w:r>
              <w:t>UNRESOLVED</w:t>
            </w:r>
          </w:p>
        </w:tc>
      </w:tr>
    </w:tbl>
    <w:p>
      <w:pPr>
        <w:pStyle w:val="Heading1"/>
      </w:pPr>
      <w:r>
        <w:t>8. Тестирование и сценарный анализ</w:t>
      </w:r>
    </w:p>
    <w:p>
      <w:pPr>
        <w:jc w:val="both"/>
      </w:pPr>
      <w:r>
        <w:t>Автоматические тесты проверяют крайние надёжности, параллельный блок, границы Фреше, нормировку четырёх состояний, TCO, CVaR с атомом на VaR, воспроизводимость и загрузку матриц. Сценарии S0–S5 рассчитаны на одном годовом горизонте. ROI S2_full сравнивается с S0_full при той же полной матрице и seed; S4 — с S3. Результаты и статусы представлены в Scenario_Results.xlsx.</w:t>
      </w:r>
    </w:p>
    <w:p>
      <w:pPr>
        <w:pStyle w:val="Heading1"/>
      </w:pPr>
      <w:r>
        <w:t>9. Визуализация результатов</w:t>
      </w:r>
    </w:p>
    <w:p>
      <w:pPr>
        <w:jc w:val="both"/>
      </w:pPr>
      <w:r>
        <w:t>На рисунке 1 показано: Схема пятистадийной цепи.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30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 — Схема пятистадийной цепи</w:t>
      </w:r>
    </w:p>
    <w:p>
      <w:pPr>
        <w:jc w:val="both"/>
      </w:pPr>
      <w:r>
        <w:t>На рисунке 2 показано: Сравнение надёжности, вероятности отказа и ожидаемых потерь.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0290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2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 — Сравнение надёжности, вероятности отказа и ожидаемых потерь</w:t>
      </w:r>
    </w:p>
    <w:p>
      <w:pPr>
        <w:jc w:val="both"/>
      </w:pPr>
      <w:r>
        <w:t>На рисунке 3 показано: Надёжность HF и ROI при изменении корреляции.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0290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2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3 — Надёжность HF и ROI при изменении корреляции</w:t>
      </w:r>
    </w:p>
    <w:p>
      <w:pPr>
        <w:jc w:val="both"/>
      </w:pPr>
      <w:r>
        <w:t>На рисунке 4 показано: Распределение годового ущерба с VaR99/CVaR99.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0290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distribu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2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4 — Распределение годового ущерба с VaR99/CVaR99</w:t>
      </w:r>
    </w:p>
    <w:p>
      <w:pPr>
        <w:jc w:val="both"/>
      </w:pPr>
      <w:r>
        <w:t>На рисунке 5 показано: Исторические простои, Q–Q и эмпирическая CDF.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6310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c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31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5 — Исторические простои, Q–Q и эмпирическая CDF</w:t>
      </w:r>
    </w:p>
    <w:p>
      <w:pPr>
        <w:jc w:val="both"/>
      </w:pPr>
      <w:r>
        <w:t>На рисунке 6 показано: Сопоставление базового и стрессового сценариев.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3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6 — Сопоставление базового и стрессового сценариев</w:t>
      </w:r>
    </w:p>
    <w:p>
      <w:pPr>
        <w:pStyle w:val="Heading1"/>
      </w:pPr>
      <w:r>
        <w:t>10. Допущения и качество данных</w:t>
      </w:r>
    </w:p>
    <w:p>
      <w:pPr>
        <w:pStyle w:val="Heading2"/>
      </w:pPr>
      <w:r>
        <w:t>10.1. Допущения модели</w:t>
      </w:r>
    </w:p>
    <w:p>
      <w:pPr>
        <w:jc w:val="both"/>
      </w:pPr>
      <w:r>
        <w:t>Один годовой сценарий состояния цепи создаёт не более одного инцидента. Корреляции CSV трактуются как целевые бинарные корреляции Пирсона и калибруются в параметры нормальной копулы. При Парето α=1,3 математическое ожидание конечно, дисперсия бесконечна. Исторические 50 событий не дают частоты годовых отказов.</w:t>
      </w:r>
    </w:p>
    <w:p>
      <w:pPr>
        <w:pStyle w:val="Heading2"/>
      </w:pPr>
      <w:r>
        <w:t>10.2. Data Quality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7365D"/>
          </w:tcPr>
          <w:p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3213"/>
            <w:shd w:fill="17365D"/>
          </w:tcPr>
          <w:p>
            <w:r>
              <w:rPr>
                <w:b/>
                <w:color w:val="FFFFFF"/>
              </w:rPr>
              <w:t>Проблема</w:t>
            </w:r>
          </w:p>
        </w:tc>
        <w:tc>
          <w:tcPr>
            <w:tcW w:type="dxa" w:w="3213"/>
            <w:shd w:fill="17365D"/>
          </w:tcPr>
          <w:p>
            <w:r>
              <w:rPr>
                <w:b/>
                <w:color w:val="FFFFFF"/>
              </w:rPr>
              <w:t>Статус</w:t>
            </w:r>
          </w:p>
        </w:tc>
      </w:tr>
      <w:tr>
        <w:tc>
          <w:tcPr>
            <w:tcW w:type="dxa" w:w="3213"/>
          </w:tcPr>
          <w:p>
            <w:r>
              <w:t>Вход</w:t>
            </w:r>
          </w:p>
        </w:tc>
        <w:tc>
          <w:tcPr>
            <w:tcW w:type="dxa" w:w="3213"/>
          </w:tcPr>
          <w:p>
            <w:r>
              <w:t>Критических расхождений не найдено</w:t>
            </w:r>
          </w:p>
        </w:tc>
        <w:tc>
          <w:tcPr>
            <w:tcW w:type="dxa" w:w="3213"/>
          </w:tcPr>
          <w:p>
            <w:r>
              <w:t>PASS</w:t>
            </w:r>
          </w:p>
        </w:tc>
      </w:tr>
    </w:tbl>
    <w:p>
      <w:pPr>
        <w:pStyle w:val="Heading1"/>
      </w:pPr>
      <w:r>
        <w:t>11. Анализ результатов и ограничения</w:t>
      </w:r>
    </w:p>
    <w:p>
      <w:pPr>
        <w:jc w:val="both"/>
      </w:pPr>
      <w:r>
        <w:t>Исторический простой: среднее 10.31 дня, медиана 8.89 дня. Шапиро для log(T): p=0.5656; бутстреп KS подогнанной логнормальной модели: p=0.7605. Парето: порог 2.0 дня, наблюдений выше порога 50, бутстреп KS p=0.0020. AIC условной логнормальной модели 305.5, Парето 358.6. Ни один p-value не доказывает закон распределения. Средний остаток зарегистрированного ущерба относительно C_day·T+C_scrap равен 0.00 млн USD.</w:t>
      </w:r>
    </w:p>
    <w:p>
      <w:pPr>
        <w:jc w:val="both"/>
      </w:pPr>
      <w:r>
        <w:t>Чувствительность CVaR99 при N=10000 и трёх seed: логнормальная модель 206.3–210.0, Парето 514.0–730.3 млн USD. Для N=2000 отдельные оценки приведены в Scenario_Results.xlsx.</w:t>
      </w:r>
    </w:p>
    <w:p>
      <w:pPr>
        <w:jc w:val="both"/>
      </w:pPr>
      <w:r>
        <w:t>Неизвестны частота повторных отказов, причинная структура общих шоков и календарная привязка надёжностей. Оценки CVaR99 основаны лишь на 100 худших из 10 000 опытов; паретовский хвост особенно нестабилен. Надёжность R и эксплуатационная готовность A имеют разные определения и не отождествляются.</w:t>
      </w:r>
    </w:p>
    <w:p>
      <w:pPr>
        <w:pStyle w:val="Heading1"/>
      </w:pPr>
      <w:r>
        <w:t>12. Итоговые выводы</w:t>
      </w:r>
    </w:p>
    <w:p>
      <w:pPr>
        <w:jc w:val="both"/>
      </w:pPr>
      <w:r>
        <w:t>Управленческое решение: условно рекомендовать резервирование HF. Для независимых поставщиков предотвращённый ущерб 4.7453 млн USD/год, TCO 2.9998 млн USD/год, ROI 0.5819. Решение зависит от подтверждения независимости и стоимости резерва.</w:t>
      </w:r>
    </w:p>
    <w:p>
      <w:pPr>
        <w:jc w:val="both"/>
      </w:pPr>
      <w:r>
        <w:t>S2: R_sys=0.8197, EL=14.1411 млн USD/год, ROI=0.2242; статус PASS. Корреляция и стресс PGM ограничивают защитный эффект HF.</w:t>
      </w:r>
    </w:p>
    <w:p>
      <w:pPr>
        <w:jc w:val="both"/>
      </w:pPr>
      <w:r>
        <w:t>S2_full: R_sys=0.8294, EL=13.5507 млн USD/год, ROI=0.0506; статус PASS. Корреляция и стресс PGM ограничивают защитный эффект HF.</w:t>
      </w:r>
    </w:p>
    <w:p>
      <w:pPr>
        <w:jc w:val="both"/>
      </w:pPr>
      <w:r>
        <w:t>S3: R_sys=0.7052, EL=23.0145 млн USD/год, ROI=—; статус PASS. Корреляция и стресс PGM ограничивают защитный эффект HF.</w:t>
      </w:r>
    </w:p>
    <w:p>
      <w:pPr>
        <w:jc w:val="both"/>
      </w:pPr>
      <w:r>
        <w:t>S4: R_sys=0.7108, EL=22.5804 млн USD/год, ROI=-0.8553; статус PASS. Корреляция и стресс PGM ограничивают защитный эффект HF.</w:t>
      </w:r>
    </w:p>
    <w:p>
      <w:pPr>
        <w:jc w:val="both"/>
      </w:pPr>
      <w:r>
        <w:t>Для S2_full выборочный 95% интервал ROI: [-0.067; 0.168]. Он учитывает ошибку Монте-Карло при фиксированных входных параметрах, но не неопределённость самих надёжностей и корреляций.</w:t>
      </w:r>
    </w:p>
    <w:p>
      <w:pPr>
        <w:jc w:val="both"/>
      </w:pPr>
      <w:r>
        <w:t>Хвостовой риск S0: VaR95=100.0811, CVaR95=144.8137, VaR99=169.2658, CVaR99=228.4391 млн USD; разница CVaR99−VaR99=59.1734. Одного среднего ущерба недостаточно для оценки редких тяжёлых потерь.</w:t>
      </w:r>
    </w:p>
    <w:p>
      <w:pPr>
        <w:jc w:val="both"/>
      </w:pPr>
      <w:r>
        <w:t>Источники: задание к практическому занятию 3, с. 1–4; лекция 5 ЭА, слайды 1–35; CSV/JSON варианта Б. Формулы и определения CVaR раскрыты в ARCHITECTURE.md.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Краткий шаблон отчёта по экономическому анализу наукоёмких производств</dc:title>
  <dc:subject>Универсальный шаблон отчёта в стиле итогового отчёта ЭА</dc:subject>
  <dc:creator/>
  <cp:keywords>EUV, FPY, OEE, TEEP, CPU, TTM, Excel Ground Truth, Harness Log</cp:keywords>
  <dc:description>Создан на основе оформления итогового отчёта по практической работе.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