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22"/>
        </w:rPr>
        <w:t>МИНИСТЕРСТВО НАУКИ И ВЫСШЕГО ОБРАЗОВАНИЯ РОССИЙСКОЙ ФЕДЕРАЦИИ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2"/>
        </w:rPr>
        <w:t>ФЕДЕРАЛЬНОЕ ГОСУДАРСТВЕННОЕ БЮДЖЕТНОЕ ОБРАЗОВАТЕЛЬНОЕ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2"/>
        </w:rPr>
        <w:t>УЧРЕЖДЕНИЕ ВЫСШЕГО ОБРАЗОВАНИЯ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2"/>
        </w:rPr>
        <w:t>«РОССИЙСКИЙ ХИМИКО-ТЕХНОЛОГИЧЕСКИЙ УНИВЕРСИТЕТ –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2"/>
        </w:rPr>
        <w:t>имени Д.И. МЕНДЕЛЕЕВА»</w:t>
      </w:r>
    </w:p>
    <w:p>
      <w:pPr>
        <w:spacing w:before="0" w:after="200"/>
        <w:jc w:val="center"/>
      </w:pPr>
      <w:r>
        <w:rPr>
          <w:rFonts w:ascii="Times New Roman" w:hAnsi="Times New Roman"/>
          <w:b/>
          <w:sz w:val="22"/>
        </w:rPr>
        <w:t>(ФГБОУ ВО РХТУ имени Д.И. Менделеева)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sz w:val="24"/>
        </w:rPr>
        <w:t>Факультет цифровых технологий и химического инжиниринга</w:t>
      </w:r>
    </w:p>
    <w:p>
      <w:pPr>
        <w:spacing w:before="0" w:after="240"/>
        <w:jc w:val="center"/>
      </w:pPr>
      <w:r>
        <w:rPr>
          <w:rFonts w:ascii="Times New Roman" w:hAnsi="Times New Roman"/>
          <w:b w:val="0"/>
          <w:sz w:val="24"/>
        </w:rPr>
        <w:t>Кафедра логистики и экономической информатики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Учебная дисциплина</w:t>
      </w:r>
    </w:p>
    <w:p>
      <w:pPr>
        <w:spacing w:before="0" w:after="360"/>
        <w:jc w:val="center"/>
      </w:pPr>
      <w:r>
        <w:rPr>
          <w:rFonts w:ascii="Times New Roman" w:hAnsi="Times New Roman"/>
          <w:b/>
          <w:sz w:val="24"/>
        </w:rPr>
        <w:t>«Экономический анализ наукоёмких производств»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8"/>
        </w:rPr>
        <w:t>ОТЧЁТ ПО ПРАКТИЧЕСКОЙ РАБОТЕ № [N]</w:t>
      </w:r>
    </w:p>
    <w:p>
      <w:pPr>
        <w:spacing w:before="0" w:after="100"/>
        <w:jc w:val="center"/>
      </w:pPr>
      <w:r>
        <w:rPr>
          <w:rFonts w:ascii="Times New Roman" w:hAnsi="Times New Roman"/>
          <w:b/>
          <w:sz w:val="28"/>
        </w:rPr>
        <w:t>«[НАЗВАНИЕ ПРАКТИЧЕСКОЙ РАБОТЫ]»</w:t>
      </w:r>
    </w:p>
    <w:p>
      <w:pPr>
        <w:spacing w:before="0" w:after="360"/>
        <w:jc w:val="center"/>
      </w:pPr>
      <w:r>
        <w:rPr>
          <w:rFonts w:ascii="Times New Roman" w:hAnsi="Times New Roman"/>
          <w:b/>
          <w:sz w:val="24"/>
        </w:rPr>
        <w:t>Объект: [ОБЪЕКТ ИССЛЕДОВАНИЯ]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81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Выполнили: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студенты ____ курса, группа ______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____________________________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____________________________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____________________________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Проверил: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доцент, к.т.н. Потапов Г.Г.</w:t>
            </w:r>
          </w:p>
        </w:tc>
      </w:tr>
    </w:tbl>
    <w:p>
      <w:pPr>
        <w:spacing w:after="1100"/>
      </w:pP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[ГОРОД], [ГОД]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1. Цель и задачи работы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/>
          <w:color w:val="646464"/>
          <w:sz w:val="24"/>
        </w:rPr>
        <w:t>[В 1–2 абзацах сформулировать цель работы: какой объект анализируется, какие показатели рассчитываются и какой управленческий или экономический вопрос решается.]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Рекомендуемая логика выполнения: «исходные данные → расчётная модель → верификация → Harness Log → сценарный анализ → выводы».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i w:val="0"/>
          <w:sz w:val="24"/>
        </w:rPr>
        <w:t>Для достижения цели необходимо:</w:t>
      </w:r>
    </w:p>
    <w:p>
      <w:pPr>
        <w:pStyle w:val="ListBullet"/>
        <w:spacing w:after="40"/>
      </w:pPr>
      <w:r>
        <w:rPr>
          <w:rFonts w:ascii="Times New Roman" w:hAnsi="Times New Roman"/>
          <w:i/>
          <w:color w:val="646464"/>
          <w:sz w:val="24"/>
        </w:rPr>
        <w:t>[проанализировать исходные данные и проверить их качество];</w:t>
      </w:r>
    </w:p>
    <w:p>
      <w:pPr>
        <w:pStyle w:val="ListBullet"/>
        <w:spacing w:after="40"/>
      </w:pPr>
      <w:r>
        <w:rPr>
          <w:rFonts w:ascii="Times New Roman" w:hAnsi="Times New Roman"/>
          <w:i/>
          <w:color w:val="646464"/>
          <w:sz w:val="24"/>
        </w:rPr>
        <w:t>[рассчитать основные технические и экономические показатели];</w:t>
      </w:r>
    </w:p>
    <w:p>
      <w:pPr>
        <w:pStyle w:val="ListBullet"/>
        <w:spacing w:after="40"/>
      </w:pPr>
      <w:r>
        <w:rPr>
          <w:rFonts w:ascii="Times New Roman" w:hAnsi="Times New Roman"/>
          <w:i/>
          <w:color w:val="646464"/>
          <w:sz w:val="24"/>
        </w:rPr>
        <w:t>[выполнить верификацию расчётов, проверить корректность формул и единиц измерения];</w:t>
      </w:r>
    </w:p>
    <w:p>
      <w:pPr>
        <w:pStyle w:val="ListBullet"/>
        <w:spacing w:after="40"/>
      </w:pPr>
      <w:r>
        <w:rPr>
          <w:rFonts w:ascii="Times New Roman" w:hAnsi="Times New Roman"/>
          <w:i/>
          <w:color w:val="646464"/>
          <w:sz w:val="24"/>
        </w:rPr>
        <w:t>[зафиксировать обнаруженные ошибки, корректировки и результаты повторной проверки в Harness Log];</w:t>
      </w:r>
    </w:p>
    <w:p>
      <w:pPr>
        <w:pStyle w:val="ListBullet"/>
        <w:spacing w:after="40"/>
      </w:pPr>
      <w:r>
        <w:rPr>
          <w:rFonts w:ascii="Times New Roman" w:hAnsi="Times New Roman"/>
          <w:i/>
          <w:color w:val="646464"/>
          <w:sz w:val="24"/>
        </w:rPr>
        <w:t>[провести тестирование / сценарный анализ и сформулировать выводы].</w:t>
      </w: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2. Объект исследования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/>
          <w:color w:val="646464"/>
          <w:sz w:val="24"/>
        </w:rPr>
        <w:t>[Кратко описать объект исследования, его назначение, масштаб, особенности производства и экономическую специфику. Использовать только подтверждённые сведения из исходных материалов.]</w:t>
      </w: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3. Исходные данные и контроль качества входа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/>
          <w:color w:val="646464"/>
          <w:sz w:val="24"/>
        </w:rPr>
        <w:t>[Перечислить исходные файлы, таблицы, отчёты или базы данных. Указать, какие из них являются первичными источниками входных параметров.]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8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38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Техническое имя / источник</w:t>
            </w:r>
          </w:p>
        </w:tc>
        <w:tc>
          <w:tcPr>
            <w:tcW w:type="dxa" w:w="170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Базовый сценарий</w:t>
            </w:r>
          </w:p>
        </w:tc>
        <w:tc>
          <w:tcPr>
            <w:tcW w:type="dxa" w:w="170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Сценарий 2</w:t>
            </w:r>
          </w:p>
        </w:tc>
        <w:tc>
          <w:tcPr>
            <w:tcW w:type="dxa" w:w="113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Единица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[Наименование параметра]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[field_name / файл]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[значение]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[значение]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[ед.]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[Наименование параметра]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[field_name / файл]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[значение]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[значение]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[ед.]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[Наименование параметра]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[field_name / файл]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[значение]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[значение]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[ед.]</w:t>
            </w:r>
          </w:p>
        </w:tc>
      </w:tr>
    </w:tbl>
    <w:p>
      <w:pPr>
        <w:spacing w:after="0"/>
      </w:pPr>
    </w:p>
    <w:p>
      <w:pPr>
        <w:spacing w:after="100" w:line="240" w:lineRule="auto"/>
        <w:ind w:left="283"/>
        <w:jc w:val="left"/>
      </w:pPr>
      <w:r>
        <w:rPr>
          <w:rFonts w:ascii="Times New Roman" w:hAnsi="Times New Roman"/>
          <w:i/>
          <w:color w:val="646464"/>
          <w:sz w:val="21"/>
        </w:rPr>
        <w:t>Под таблицей кратко указать результаты входного контроля: полнота данных, диапазоны, единицы измерения и выявленные несоответствия.</w:t>
      </w: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4. Архитектура расчётного решения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/>
          <w:color w:val="646464"/>
          <w:sz w:val="24"/>
        </w:rPr>
        <w:t>[Описать, как данные проходят через расчётный процесс. Разделить входные данные, расчётную логику, контроль корректности и формирование отчётности.]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515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Поток</w:t>
            </w:r>
          </w:p>
        </w:tc>
        <w:tc>
          <w:tcPr>
            <w:tcW w:type="dxa" w:w="510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 w:val="0"/>
                <w:sz w:val="18"/>
              </w:rPr>
              <w:t>1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[Источник → объект данных]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[чтение, типизация, валидация]</w:t>
            </w:r>
          </w:p>
        </w:tc>
      </w:tr>
      <w:t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 w:val="0"/>
                <w:sz w:val="18"/>
              </w:rPr>
              <w:t>2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[Объект данных → расчёт]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[вычисление метрик]</w:t>
            </w:r>
          </w:p>
        </w:tc>
      </w:tr>
      <w:t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 w:val="0"/>
                <w:sz w:val="18"/>
              </w:rPr>
              <w:t>3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[Контроль / верификация]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[проверка формул, единиц и логики расчёта]</w:t>
            </w:r>
          </w:p>
        </w:tc>
      </w:tr>
      <w:tr>
        <w:tc>
          <w:tcPr>
            <w:tcW w:type="dxa" w:w="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 w:val="0"/>
                <w:sz w:val="18"/>
              </w:rPr>
              <w:t>4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[Результаты → отчётность]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[анализ, визуализация, выводы]</w:t>
            </w:r>
          </w:p>
        </w:tc>
      </w:tr>
    </w:tbl>
    <w:p>
      <w:pPr>
        <w:spacing w:after="0"/>
      </w:pP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5. Методика расчёта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/>
          <w:color w:val="646464"/>
          <w:sz w:val="24"/>
        </w:rPr>
        <w:t>[Для каждой метрики привести название, формулу, расшифровку переменных, единицу измерения и экономический/физический смысл.]</w:t>
      </w:r>
    </w:p>
    <w:p>
      <w:pPr>
        <w:pStyle w:val="Heading2"/>
        <w:spacing w:before="180" w:after="60"/>
      </w:pPr>
      <w:r>
        <w:rPr>
          <w:rFonts w:ascii="Times New Roman" w:hAnsi="Times New Roman"/>
          <w:b/>
          <w:color w:val="1F4E78"/>
          <w:sz w:val="26"/>
        </w:rPr>
        <w:t>5.1. Основные показатели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/>
          <w:color w:val="646464"/>
          <w:sz w:val="24"/>
        </w:rPr>
        <w:t>[Краткое описание показателя и его роли в анализе.]</w:t>
      </w:r>
    </w:p>
    <w:p>
      <w:pPr>
        <w:spacing w:before="40" w:after="100"/>
        <w:jc w:val="center"/>
      </w:pPr>
      <w:r>
        <w:rPr>
          <w:rFonts w:ascii="Cambria Math" w:hAnsi="Cambria Math"/>
          <w:i/>
          <w:sz w:val="24"/>
        </w:rPr>
        <w:t>[Показатель] = [числитель] / [знаменатель]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/>
          <w:color w:val="646464"/>
          <w:sz w:val="24"/>
        </w:rPr>
        <w:t>[Пояснение переменных и интерпретация результата.]</w:t>
      </w:r>
    </w:p>
    <w:p>
      <w:pPr>
        <w:pStyle w:val="Heading2"/>
        <w:spacing w:before="180" w:after="60"/>
      </w:pPr>
      <w:r>
        <w:rPr>
          <w:rFonts w:ascii="Times New Roman" w:hAnsi="Times New Roman"/>
          <w:b/>
          <w:color w:val="1F4E78"/>
          <w:sz w:val="26"/>
        </w:rPr>
        <w:t>5.2. Стоимостные и ресурсные показатели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/>
          <w:color w:val="646464"/>
          <w:sz w:val="24"/>
        </w:rPr>
        <w:t>[Раскрыть структуру затрат и правила нормирования на выпуск, ресурс, время или иной драйвер.]</w:t>
      </w:r>
    </w:p>
    <w:p>
      <w:pPr>
        <w:spacing w:before="40" w:after="100"/>
        <w:jc w:val="center"/>
      </w:pPr>
      <w:r>
        <w:rPr>
          <w:rFonts w:ascii="Cambria Math" w:hAnsi="Cambria Math"/>
          <w:i/>
          <w:sz w:val="24"/>
        </w:rPr>
        <w:t>[Удельный показатель] = [совокупное потребление или затраты] / [объём годного результата]</w:t>
      </w: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6. Результаты расчёта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/>
          <w:color w:val="646464"/>
          <w:sz w:val="24"/>
        </w:rPr>
        <w:t>[В таблицу включить только фактически рассчитанные показатели. Если показатель невозможно определить, указывать статус «НЕ РАССЧИТЫВАЕТСЯ» и причину.]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340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Метрика</w:t>
            </w:r>
          </w:p>
        </w:tc>
        <w:tc>
          <w:tcPr>
            <w:tcW w:type="dxa" w:w="198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226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Единица измерения</w:t>
            </w:r>
          </w:p>
        </w:tc>
        <w:tc>
          <w:tcPr>
            <w:tcW w:type="dxa" w:w="198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Статус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/>
                <w:color w:val="646464"/>
                <w:sz w:val="19"/>
              </w:rPr>
              <w:t>[Метрика 1]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9"/>
              </w:rPr>
              <w:t>[значение]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9"/>
              </w:rPr>
              <w:t>[ед.]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9"/>
              </w:rPr>
              <w:t>[РАССЧИТАНО]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/>
                <w:color w:val="646464"/>
                <w:sz w:val="19"/>
              </w:rPr>
              <w:t>[Метрика 2]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9"/>
              </w:rPr>
              <w:t>[значение]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9"/>
              </w:rPr>
              <w:t>[ед.]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9"/>
              </w:rPr>
              <w:t>[РАССЧИТАНО]</w:t>
            </w:r>
          </w:p>
        </w:tc>
      </w:tr>
      <w:tr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/>
                <w:color w:val="646464"/>
                <w:sz w:val="19"/>
              </w:rPr>
              <w:t>[Метрика 3]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9"/>
              </w:rPr>
              <w:t>[—]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9"/>
              </w:rPr>
              <w:t>[ед.]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9"/>
              </w:rPr>
              <w:t>[НЕ РАССЧИТЫВАЕТСЯ]</w:t>
            </w:r>
          </w:p>
        </w:tc>
      </w:tr>
    </w:tbl>
    <w:p>
      <w:pPr>
        <w:spacing w:after="0"/>
      </w:pP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/>
          <w:color w:val="646464"/>
          <w:sz w:val="24"/>
        </w:rPr>
        <w:t>[После таблицы дать 1–3 абзаца аналитической интерпретации: какие факторы ограничивают результат, какие показатели являются ключевыми и как они связаны между собой.]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7. Harness Log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Harness Log оформляется отдельной главой и фиксирует качество логики решения: запрос, изменённый фрагмент, обнаруженную ошибку, её причину, исправление и результат повторной проверки.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94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6350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 w:val="0"/>
                <w:sz w:val="19"/>
              </w:rPr>
              <w:t>Запрос к ИИ / задача</w:t>
            </w:r>
          </w:p>
        </w:tc>
        <w:tc>
          <w:tcPr>
            <w:tcW w:type="dxa" w:w="63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9"/>
              </w:rPr>
              <w:t>[что требовалось проверить или реализовать]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 w:val="0"/>
                <w:sz w:val="19"/>
              </w:rPr>
              <w:t>Сгенерированный / изменённый фрагмент</w:t>
            </w:r>
          </w:p>
        </w:tc>
        <w:tc>
          <w:tcPr>
            <w:tcW w:type="dxa" w:w="63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9"/>
              </w:rPr>
              <w:t>[формула, логика, код или действие]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 w:val="0"/>
                <w:sz w:val="19"/>
              </w:rPr>
              <w:t>Обнаруженная ошибка / галлюцинация</w:t>
            </w:r>
          </w:p>
        </w:tc>
        <w:tc>
          <w:tcPr>
            <w:tcW w:type="dxa" w:w="63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9"/>
              </w:rPr>
              <w:t>[описание ошибки]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 w:val="0"/>
                <w:sz w:val="19"/>
              </w:rPr>
              <w:t>Причина</w:t>
            </w:r>
          </w:p>
        </w:tc>
        <w:tc>
          <w:tcPr>
            <w:tcW w:type="dxa" w:w="63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9"/>
              </w:rPr>
              <w:t>[почему возникло расхождение или ошибка]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 w:val="0"/>
                <w:sz w:val="19"/>
              </w:rPr>
              <w:t>Как исправлено</w:t>
            </w:r>
          </w:p>
        </w:tc>
        <w:tc>
          <w:tcPr>
            <w:tcW w:type="dxa" w:w="63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9"/>
              </w:rPr>
              <w:t>[внесённое изменение]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 w:val="0"/>
                <w:sz w:val="19"/>
              </w:rPr>
              <w:t>Результат повторной проверки</w:t>
            </w:r>
          </w:p>
        </w:tc>
        <w:tc>
          <w:tcPr>
            <w:tcW w:type="dxa" w:w="63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9"/>
              </w:rPr>
              <w:t>[PASS / FAIL + краткий комментарий]</w:t>
            </w:r>
          </w:p>
        </w:tc>
      </w:tr>
    </w:tbl>
    <w:p>
      <w:pPr>
        <w:spacing w:after="0"/>
      </w:pPr>
    </w:p>
    <w:p>
      <w:pPr>
        <w:spacing w:after="100" w:line="240" w:lineRule="auto"/>
        <w:ind w:left="283"/>
        <w:jc w:val="left"/>
      </w:pPr>
      <w:r>
        <w:rPr>
          <w:rFonts w:ascii="Times New Roman" w:hAnsi="Times New Roman"/>
          <w:i/>
          <w:color w:val="646464"/>
          <w:sz w:val="21"/>
        </w:rPr>
        <w:t>Для нескольких случаев повторить такой блок столько раз, сколько требуется. Не придумывать ошибки, которых фактически не было.</w:t>
      </w: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8. Тестирование и сценарный анализ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/>
          <w:color w:val="646464"/>
          <w:sz w:val="24"/>
        </w:rPr>
        <w:t>[Описать граничные, функциональные и стресс-тесты. Для каждого теста указать проверяемое свойство, фактический результат и статус.]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187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Тест / сценарий</w:t>
            </w:r>
          </w:p>
        </w:tc>
        <w:tc>
          <w:tcPr>
            <w:tcW w:type="dxa" w:w="294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Проверяемое свойство</w:t>
            </w:r>
          </w:p>
        </w:tc>
        <w:tc>
          <w:tcPr>
            <w:tcW w:type="dxa" w:w="3402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113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[TEST_01]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[условие]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[фактический результат]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[PASS / FAIL]</w:t>
            </w:r>
          </w:p>
        </w:tc>
      </w:tr>
      <w:t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[TEST_02]</w:t>
            </w:r>
          </w:p>
        </w:tc>
        <w:tc>
          <w:tcPr>
            <w:tcW w:type="dxa" w:w="29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[условие]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[фактический результат]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[PASS / FAIL]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70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Метрика</w:t>
            </w:r>
          </w:p>
        </w:tc>
        <w:tc>
          <w:tcPr>
            <w:tcW w:type="dxa" w:w="136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Базовый</w:t>
            </w:r>
          </w:p>
        </w:tc>
        <w:tc>
          <w:tcPr>
            <w:tcW w:type="dxa" w:w="136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Сценарный</w:t>
            </w:r>
          </w:p>
        </w:tc>
        <w:tc>
          <w:tcPr>
            <w:tcW w:type="dxa" w:w="147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Абс. изменение</w:t>
            </w:r>
          </w:p>
        </w:tc>
        <w:tc>
          <w:tcPr>
            <w:tcW w:type="dxa" w:w="147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Отн. изменение</w:t>
            </w:r>
          </w:p>
        </w:tc>
        <w:tc>
          <w:tcPr>
            <w:tcW w:type="dxa" w:w="238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Интерпретация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/>
                <w:color w:val="646464"/>
                <w:sz w:val="16"/>
              </w:rPr>
              <w:t>[Метрика 1]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6"/>
              </w:rPr>
              <w:t>[значение]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6"/>
              </w:rPr>
              <w:t>[значение]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6"/>
              </w:rPr>
              <w:t>[Δ]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6"/>
              </w:rPr>
              <w:t>[δ, %]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6"/>
              </w:rPr>
              <w:t>[причина изменения]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/>
                <w:color w:val="646464"/>
                <w:sz w:val="16"/>
              </w:rPr>
              <w:t>[Метрика 2]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6"/>
              </w:rPr>
              <w:t>[значение]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6"/>
              </w:rPr>
              <w:t>[значение]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6"/>
              </w:rPr>
              <w:t>[Δ]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6"/>
              </w:rPr>
              <w:t>[δ, %]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6"/>
              </w:rPr>
              <w:t>[причина изменения]</w:t>
            </w:r>
          </w:p>
        </w:tc>
      </w:tr>
    </w:tbl>
    <w:p>
      <w:pPr>
        <w:spacing w:after="0"/>
      </w:pP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9. Визуализация результатов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/>
          <w:color w:val="646464"/>
          <w:sz w:val="24"/>
        </w:rPr>
        <w:t>[Перед рисунком дать ссылку на него в тексте и объяснить, что именно сравнивается.]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2F2F2"/>
            <w:tcMar>
              <w:top w:w="500" w:type="dxa"/>
              <w:start w:w="150" w:type="dxa"/>
              <w:bottom w:w="500" w:type="dxa"/>
              <w:end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646464"/>
                <w:sz w:val="22"/>
              </w:rPr>
              <w:t>[ВСТАВИТЬ ГРАФИК / СХЕМУ / ДИАГРАММУ]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/>
          <w:i w:val="0"/>
          <w:sz w:val="21"/>
        </w:rPr>
        <w:t>Рисунок 1 — [Название и содержание визуализации]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/>
          <w:color w:val="646464"/>
          <w:sz w:val="24"/>
        </w:rPr>
        <w:t>[После рисунка дать 2–4 предложения интерпретации, не повторяя подпись.]</w:t>
      </w: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10. Допущения и качество данных</w:t>
      </w:r>
    </w:p>
    <w:p>
      <w:pPr>
        <w:pStyle w:val="Heading2"/>
        <w:spacing w:before="180" w:after="60"/>
      </w:pPr>
      <w:r>
        <w:rPr>
          <w:rFonts w:ascii="Times New Roman" w:hAnsi="Times New Roman"/>
          <w:b/>
          <w:color w:val="1F4E78"/>
          <w:sz w:val="26"/>
        </w:rPr>
        <w:t>10.1. Допущения модели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79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Код</w:t>
            </w:r>
          </w:p>
        </w:tc>
        <w:tc>
          <w:tcPr>
            <w:tcW w:type="dxa" w:w="3005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Допущение</w:t>
            </w:r>
          </w:p>
        </w:tc>
        <w:tc>
          <w:tcPr>
            <w:tcW w:type="dxa" w:w="3005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Обоснование</w:t>
            </w:r>
          </w:p>
        </w:tc>
        <w:tc>
          <w:tcPr>
            <w:tcW w:type="dxa" w:w="255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Влияние</w:t>
            </w:r>
          </w:p>
        </w:tc>
      </w:tr>
      <w:tr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 w:val="0"/>
                <w:sz w:val="18"/>
              </w:rPr>
              <w:t>A01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[принятое допущение]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[почему оно необходимо]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[на какие результаты влияет]</w:t>
            </w:r>
          </w:p>
        </w:tc>
      </w:tr>
      <w:tr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 w:val="0"/>
                <w:sz w:val="18"/>
              </w:rPr>
              <w:t>A02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[принятое допущение]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[источник / логика]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8"/>
              </w:rPr>
              <w:t>[на какие результаты влияет]</w:t>
            </w:r>
          </w:p>
        </w:tc>
      </w:tr>
    </w:tbl>
    <w:p>
      <w:pPr>
        <w:spacing w:after="0"/>
      </w:pPr>
    </w:p>
    <w:p>
      <w:pPr>
        <w:pStyle w:val="Heading2"/>
        <w:spacing w:before="180" w:after="60"/>
      </w:pPr>
      <w:r>
        <w:rPr>
          <w:rFonts w:ascii="Times New Roman" w:hAnsi="Times New Roman"/>
          <w:b/>
          <w:color w:val="1F4E78"/>
          <w:sz w:val="26"/>
        </w:rPr>
        <w:t>10.2. Data Quality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Проблема</w:t>
            </w:r>
          </w:p>
        </w:tc>
        <w:tc>
          <w:tcPr>
            <w:tcW w:type="dxa" w:w="1928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170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Критичность</w:t>
            </w:r>
          </w:p>
        </w:tc>
        <w:tc>
          <w:tcPr>
            <w:tcW w:type="dxa" w:w="1984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Влияние</w:t>
            </w:r>
          </w:p>
        </w:tc>
        <w:tc>
          <w:tcPr>
            <w:tcW w:type="dxa" w:w="1701"/>
            <w:vAlign w:val="center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Действие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/>
                <w:color w:val="646464"/>
                <w:sz w:val="17"/>
              </w:rPr>
              <w:t>[описание]</w:t>
            </w:r>
          </w:p>
        </w:tc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7"/>
              </w:rPr>
              <w:t>[поле / источник]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7"/>
              </w:rPr>
              <w:t>[ВЫСОКАЯ / СРЕДНЯЯ / НИЗКАЯ]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7"/>
              </w:rPr>
              <w:t>[что искажает]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7"/>
              </w:rPr>
              <w:t>[что требуется]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i/>
                <w:color w:val="646464"/>
                <w:sz w:val="17"/>
              </w:rPr>
              <w:t>[описание]</w:t>
            </w:r>
          </w:p>
        </w:tc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7"/>
              </w:rPr>
              <w:t>[поле / источник]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7"/>
              </w:rPr>
              <w:t>[...]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7"/>
              </w:rPr>
              <w:t>[...]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color w:val="646464"/>
                <w:sz w:val="17"/>
              </w:rPr>
              <w:t>[...]</w:t>
            </w:r>
          </w:p>
        </w:tc>
      </w:tr>
    </w:tbl>
    <w:p>
      <w:pPr>
        <w:spacing w:after="0"/>
      </w:pP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11. Анализ результатов и ограничения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/>
          <w:color w:val="646464"/>
          <w:sz w:val="24"/>
        </w:rPr>
        <w:t>[Сформулировать причинно-следственные связи: что является главным фактором результата, какие параметры наиболее чувствительны, как технические показатели переходят в экономические.]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/>
          <w:color w:val="646464"/>
          <w:sz w:val="24"/>
        </w:rPr>
        <w:t>[Отдельно перечислить границы применимости модели: отсутствующие данные, агрегированный период, упрощения структуры затрат, невозможность монетизации отдельных потерь и другие подтверждённые ограничения.]</w:t>
      </w: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12. Итоговые выводы</w:t>
      </w:r>
    </w:p>
    <w:p>
      <w:pPr>
        <w:spacing w:after="80" w:line="276" w:lineRule="auto"/>
        <w:jc w:val="both"/>
      </w:pPr>
      <w:r>
        <w:rPr>
          <w:rFonts w:ascii="Times New Roman" w:hAnsi="Times New Roman"/>
          <w:i w:val="0"/>
          <w:sz w:val="24"/>
        </w:rPr>
        <w:t>Выводы рекомендуется формулировать как конкретные утверждения с числами, статусами проверки и экономическим смыслом результата.</w:t>
      </w:r>
    </w:p>
    <w:p>
      <w:pPr>
        <w:pStyle w:val="ListBullet"/>
        <w:spacing w:after="40"/>
      </w:pPr>
      <w:r>
        <w:rPr>
          <w:rFonts w:ascii="Times New Roman" w:hAnsi="Times New Roman"/>
          <w:i/>
          <w:color w:val="646464"/>
          <w:sz w:val="24"/>
        </w:rPr>
        <w:t>[1. Ключевой вывод с фактическим числовым результатом и краткой интерпретацией.]</w:t>
      </w:r>
    </w:p>
    <w:p>
      <w:pPr>
        <w:pStyle w:val="ListBullet"/>
        <w:spacing w:after="40"/>
      </w:pPr>
      <w:r>
        <w:rPr>
          <w:rFonts w:ascii="Times New Roman" w:hAnsi="Times New Roman"/>
          <w:i/>
          <w:color w:val="646464"/>
          <w:sz w:val="24"/>
        </w:rPr>
        <w:t>[2. Ключевой вывод с фактическим числовым результатом и краткой интерпретацией.]</w:t>
      </w:r>
    </w:p>
    <w:p>
      <w:pPr>
        <w:pStyle w:val="ListBullet"/>
        <w:spacing w:after="40"/>
      </w:pPr>
      <w:r>
        <w:rPr>
          <w:rFonts w:ascii="Times New Roman" w:hAnsi="Times New Roman"/>
          <w:i/>
          <w:color w:val="646464"/>
          <w:sz w:val="24"/>
        </w:rPr>
        <w:t>[3. Ключевой вывод с фактическим числовым результатом и краткой интерпретацией.]</w:t>
      </w:r>
    </w:p>
    <w:p>
      <w:pPr>
        <w:pStyle w:val="ListBullet"/>
        <w:spacing w:after="40"/>
      </w:pPr>
      <w:r>
        <w:rPr>
          <w:rFonts w:ascii="Times New Roman" w:hAnsi="Times New Roman"/>
          <w:i/>
          <w:color w:val="646464"/>
          <w:sz w:val="24"/>
        </w:rPr>
        <w:t>[4. Ключевой вывод с фактическим числовым результатом и краткой интерпретацией.]</w:t>
      </w:r>
    </w:p>
    <w:p>
      <w:pPr>
        <w:pStyle w:val="ListBullet"/>
        <w:spacing w:after="40"/>
      </w:pPr>
      <w:r>
        <w:rPr>
          <w:rFonts w:ascii="Times New Roman" w:hAnsi="Times New Roman"/>
          <w:i/>
          <w:color w:val="646464"/>
          <w:sz w:val="24"/>
        </w:rPr>
        <w:t>[5. Ключевой вывод с фактическим числовым результатом и краткой интерпретацией.]</w:t>
      </w:r>
    </w:p>
    <w:p>
      <w:pPr>
        <w:pStyle w:val="ListBullet"/>
        <w:spacing w:after="40"/>
      </w:pPr>
      <w:r>
        <w:rPr>
          <w:rFonts w:ascii="Times New Roman" w:hAnsi="Times New Roman"/>
          <w:i/>
          <w:color w:val="646464"/>
          <w:sz w:val="24"/>
        </w:rPr>
        <w:t>[6. Ключевой вывод с фактическим числовым результатом и краткой интерпретацией.]</w:t>
      </w:r>
    </w:p>
    <w:p>
      <w:pPr>
        <w:pStyle w:val="Heading1"/>
        <w:spacing w:before="280" w:after="80"/>
      </w:pPr>
      <w:r>
        <w:rPr>
          <w:rFonts w:ascii="Times New Roman" w:hAnsi="Times New Roman"/>
          <w:b/>
          <w:color w:val="1F4E78"/>
          <w:sz w:val="30"/>
        </w:rPr>
        <w:t>13. Правила сохранения стиля при заполнении шаблона</w:t>
      </w:r>
    </w:p>
    <w:p>
      <w:pPr>
        <w:pStyle w:val="ListBullet"/>
        <w:spacing w:after="40"/>
      </w:pPr>
      <w:r>
        <w:rPr>
          <w:rFonts w:ascii="Times New Roman" w:hAnsi="Times New Roman"/>
          <w:i w:val="0"/>
          <w:sz w:val="24"/>
        </w:rPr>
        <w:t>Основной текст — Times New Roman, 12 pt, выравнивание по ширине, межстрочный интервал 1,15, абзацный отступ 1,25 см.</w:t>
      </w:r>
    </w:p>
    <w:p>
      <w:pPr>
        <w:pStyle w:val="ListBullet"/>
        <w:spacing w:after="40"/>
      </w:pPr>
      <w:r>
        <w:rPr>
          <w:rFonts w:ascii="Times New Roman" w:hAnsi="Times New Roman"/>
          <w:i w:val="0"/>
          <w:sz w:val="24"/>
        </w:rPr>
        <w:t>Заголовки первого уровня — тёмно-синие, полужирные, 15 pt; второго уровня — тёмно-синие, полужирные, 13 pt.</w:t>
      </w:r>
    </w:p>
    <w:p>
      <w:pPr>
        <w:pStyle w:val="ListBullet"/>
        <w:spacing w:after="40"/>
      </w:pPr>
      <w:r>
        <w:rPr>
          <w:rFonts w:ascii="Times New Roman" w:hAnsi="Times New Roman"/>
          <w:i w:val="0"/>
          <w:sz w:val="24"/>
        </w:rPr>
        <w:t>Формулы — по центру, Cambria Math 12 pt; после формулы обязательно давать расшифровку переменных.</w:t>
      </w:r>
    </w:p>
    <w:p>
      <w:pPr>
        <w:pStyle w:val="ListBullet"/>
        <w:spacing w:after="40"/>
      </w:pPr>
      <w:r>
        <w:rPr>
          <w:rFonts w:ascii="Times New Roman" w:hAnsi="Times New Roman"/>
          <w:i w:val="0"/>
          <w:sz w:val="24"/>
        </w:rPr>
        <w:t>Таблицы — единый стиль Table Grid; шапка тёмно-синяя с белым полужирным текстом; числовой формат во всём документе единообразный.</w:t>
      </w:r>
    </w:p>
    <w:p>
      <w:pPr>
        <w:pStyle w:val="ListBullet"/>
        <w:spacing w:after="40"/>
      </w:pPr>
      <w:r>
        <w:rPr>
          <w:rFonts w:ascii="Times New Roman" w:hAnsi="Times New Roman"/>
          <w:i w:val="0"/>
          <w:sz w:val="24"/>
        </w:rPr>
        <w:t>Рисунки — по центру; подпись располагается под рисунком и обязательно упоминается в основном тексте.</w:t>
      </w:r>
    </w:p>
    <w:p>
      <w:pPr>
        <w:pStyle w:val="ListBullet"/>
        <w:spacing w:after="40"/>
      </w:pPr>
      <w:r>
        <w:rPr>
          <w:rFonts w:ascii="Times New Roman" w:hAnsi="Times New Roman"/>
          <w:i w:val="0"/>
          <w:sz w:val="24"/>
        </w:rPr>
        <w:t>Текст в квадратных скобках является служебным заполнителем и должен быть заменён или удалён перед сдачей отчёта.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Краткий шаблон отчёта по экономическому анализу наукоёмких производств</dc:title>
  <dc:subject>Универсальный шаблон отчёта в стиле итогового отчёта ЭА</dc:subject>
  <dc:creator/>
  <cp:keywords>EUV, FPY, OEE, TEEP, CPU, TTM, Excel Ground Truth, Harness Log</cp:keywords>
  <dc:description>Создан на основе оформления итогового отчёта по практической работе.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