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Итоговый отчёт по экономическому анализу</w:t>
      </w:r>
    </w:p>
    <w:p>
      <w:pPr>
        <w:jc w:val="center"/>
      </w:pPr>
      <w:r>
        <w:t>Пилотное производство EUV-фоторезиста</w:t>
        <w:br/>
        <w:t>Практическое занятие № 1</w:t>
      </w:r>
    </w:p>
    <w:p/>
    <w:p>
      <w:pPr>
        <w:pStyle w:val="Heading1"/>
      </w:pPr>
      <w:r>
        <w:t>1. Цель и исходные данные</w:t>
      </w:r>
    </w:p>
    <w:p>
      <w:r>
        <w:t>Цель работы — связать физические параметры производства с эффективностью оборудования, ресурсоёмкостью, себестоимостью и экономическим штрафом за задержку вывода продукта на рынок.</w:t>
      </w:r>
    </w:p>
    <w:p>
      <w:r>
        <w:t>Использованы файлы euv_photoresist_pilot_2026.csv, euv_photoresist_stress_2026.csv и euv_photoresist_comparison_input_2026.csv.</w:t>
      </w:r>
    </w:p>
    <w:p>
      <w:pPr>
        <w:pStyle w:val="Heading1"/>
      </w:pPr>
      <w:r>
        <w:t>2. Параметры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Техническое имя CSV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Базовый сценарий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Стрессовый сценарий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Единица измерения</w:t>
            </w:r>
          </w:p>
        </w:tc>
      </w:tr>
      <w:tr>
        <w:tc>
          <w:tcPr>
            <w:tcW w:type="dxa" w:w="2007"/>
            <w:vAlign w:val="center"/>
          </w:tcPr>
          <w:p>
            <w:r>
              <w:t>Календарное время</w:t>
            </w:r>
          </w:p>
        </w:tc>
        <w:tc>
          <w:tcPr>
            <w:tcW w:type="dxa" w:w="2007"/>
            <w:vAlign w:val="center"/>
          </w:tcPr>
          <w:p>
            <w:r>
              <w:t>Calendar_Hours</w:t>
            </w:r>
          </w:p>
        </w:tc>
        <w:tc>
          <w:tcPr>
            <w:tcW w:type="dxa" w:w="2007"/>
            <w:vAlign w:val="center"/>
          </w:tcPr>
          <w:p>
            <w:r>
              <w:t>720</w:t>
            </w:r>
          </w:p>
        </w:tc>
        <w:tc>
          <w:tcPr>
            <w:tcW w:type="dxa" w:w="2007"/>
            <w:vAlign w:val="center"/>
          </w:tcPr>
          <w:p>
            <w:r>
              <w:t>720</w:t>
            </w:r>
          </w:p>
        </w:tc>
        <w:tc>
          <w:tcPr>
            <w:tcW w:type="dxa" w:w="2007"/>
            <w:vAlign w:val="center"/>
          </w:tcPr>
          <w:p>
            <w:r>
              <w:t>ч</w:t>
            </w:r>
          </w:p>
        </w:tc>
      </w:tr>
      <w:tr>
        <w:tc>
          <w:tcPr>
            <w:tcW w:type="dxa" w:w="2007"/>
            <w:vAlign w:val="center"/>
          </w:tcPr>
          <w:p>
            <w:r>
              <w:t>Плановое время работы</w:t>
            </w:r>
          </w:p>
        </w:tc>
        <w:tc>
          <w:tcPr>
            <w:tcW w:type="dxa" w:w="2007"/>
            <w:vAlign w:val="center"/>
          </w:tcPr>
          <w:p>
            <w:r>
              <w:t>Planned_Hours</w:t>
            </w:r>
          </w:p>
        </w:tc>
        <w:tc>
          <w:tcPr>
            <w:tcW w:type="dxa" w:w="2007"/>
            <w:vAlign w:val="center"/>
          </w:tcPr>
          <w:p>
            <w:r>
              <w:t>480</w:t>
            </w:r>
          </w:p>
        </w:tc>
        <w:tc>
          <w:tcPr>
            <w:tcW w:type="dxa" w:w="2007"/>
            <w:vAlign w:val="center"/>
          </w:tcPr>
          <w:p>
            <w:r>
              <w:t>480</w:t>
            </w:r>
          </w:p>
        </w:tc>
        <w:tc>
          <w:tcPr>
            <w:tcW w:type="dxa" w:w="2007"/>
            <w:vAlign w:val="center"/>
          </w:tcPr>
          <w:p>
            <w:r>
              <w:t>ч</w:t>
            </w:r>
          </w:p>
        </w:tc>
      </w:tr>
      <w:tr>
        <w:tc>
          <w:tcPr>
            <w:tcW w:type="dxa" w:w="2007"/>
            <w:vAlign w:val="center"/>
          </w:tcPr>
          <w:p>
            <w:r>
              <w:t>Фактическое время работы</w:t>
            </w:r>
          </w:p>
        </w:tc>
        <w:tc>
          <w:tcPr>
            <w:tcW w:type="dxa" w:w="2007"/>
            <w:vAlign w:val="center"/>
          </w:tcPr>
          <w:p>
            <w:r>
              <w:t>Actual_Hours</w:t>
            </w:r>
          </w:p>
        </w:tc>
        <w:tc>
          <w:tcPr>
            <w:tcW w:type="dxa" w:w="2007"/>
            <w:vAlign w:val="center"/>
          </w:tcPr>
          <w:p>
            <w:r>
              <w:t>390</w:t>
            </w:r>
          </w:p>
        </w:tc>
        <w:tc>
          <w:tcPr>
            <w:tcW w:type="dxa" w:w="2007"/>
            <w:vAlign w:val="center"/>
          </w:tcPr>
          <w:p>
            <w:r>
              <w:t>390</w:t>
            </w:r>
          </w:p>
        </w:tc>
        <w:tc>
          <w:tcPr>
            <w:tcW w:type="dxa" w:w="2007"/>
            <w:vAlign w:val="center"/>
          </w:tcPr>
          <w:p>
            <w:r>
              <w:t>ч</w:t>
            </w:r>
          </w:p>
        </w:tc>
      </w:tr>
      <w:tr>
        <w:tc>
          <w:tcPr>
            <w:tcW w:type="dxa" w:w="2007"/>
            <w:vAlign w:val="center"/>
          </w:tcPr>
          <w:p>
            <w:r>
              <w:t>Плановый выпуск</w:t>
            </w:r>
          </w:p>
        </w:tc>
        <w:tc>
          <w:tcPr>
            <w:tcW w:type="dxa" w:w="2007"/>
            <w:vAlign w:val="center"/>
          </w:tcPr>
          <w:p>
            <w:r>
              <w:t>Target_Output</w:t>
            </w:r>
          </w:p>
        </w:tc>
        <w:tc>
          <w:tcPr>
            <w:tcW w:type="dxa" w:w="2007"/>
            <w:vAlign w:val="center"/>
          </w:tcPr>
          <w:p>
            <w:r>
              <w:t>120</w:t>
            </w:r>
          </w:p>
        </w:tc>
        <w:tc>
          <w:tcPr>
            <w:tcW w:type="dxa" w:w="2007"/>
            <w:vAlign w:val="center"/>
          </w:tcPr>
          <w:p>
            <w:r>
              <w:t>120</w:t>
            </w:r>
          </w:p>
        </w:tc>
        <w:tc>
          <w:tcPr>
            <w:tcW w:type="dxa" w:w="2007"/>
            <w:vAlign w:val="center"/>
          </w:tcPr>
          <w:p>
            <w:r>
              <w:t>л</w:t>
            </w:r>
          </w:p>
        </w:tc>
      </w:tr>
      <w:tr>
        <w:tc>
          <w:tcPr>
            <w:tcW w:type="dxa" w:w="2007"/>
            <w:vAlign w:val="center"/>
          </w:tcPr>
          <w:p>
            <w:r>
              <w:t>Фактический выпуск</w:t>
            </w:r>
          </w:p>
        </w:tc>
        <w:tc>
          <w:tcPr>
            <w:tcW w:type="dxa" w:w="2007"/>
            <w:vAlign w:val="center"/>
          </w:tcPr>
          <w:p>
            <w:r>
              <w:t>Actual_Output</w:t>
            </w:r>
          </w:p>
        </w:tc>
        <w:tc>
          <w:tcPr>
            <w:tcW w:type="dxa" w:w="2007"/>
            <w:vAlign w:val="center"/>
          </w:tcPr>
          <w:p>
            <w:r>
              <w:t>95</w:t>
            </w:r>
          </w:p>
        </w:tc>
        <w:tc>
          <w:tcPr>
            <w:tcW w:type="dxa" w:w="2007"/>
            <w:vAlign w:val="center"/>
          </w:tcPr>
          <w:p>
            <w:r>
              <w:t>95</w:t>
            </w:r>
          </w:p>
        </w:tc>
        <w:tc>
          <w:tcPr>
            <w:tcW w:type="dxa" w:w="2007"/>
            <w:vAlign w:val="center"/>
          </w:tcPr>
          <w:p>
            <w:r>
              <w:t>л</w:t>
            </w:r>
          </w:p>
        </w:tc>
      </w:tr>
      <w:tr>
        <w:tc>
          <w:tcPr>
            <w:tcW w:type="dxa" w:w="2007"/>
            <w:vAlign w:val="center"/>
          </w:tcPr>
          <w:p>
            <w:r>
              <w:t>Годный объём первого прохода</w:t>
            </w:r>
          </w:p>
        </w:tc>
        <w:tc>
          <w:tcPr>
            <w:tcW w:type="dxa" w:w="2007"/>
            <w:vAlign w:val="center"/>
          </w:tcPr>
          <w:p>
            <w:r>
              <w:t>First_Pass_Good_Units</w:t>
            </w:r>
          </w:p>
        </w:tc>
        <w:tc>
          <w:tcPr>
            <w:tcW w:type="dxa" w:w="2007"/>
            <w:vAlign w:val="center"/>
          </w:tcPr>
          <w:p>
            <w:r>
              <w:t>71,25</w:t>
            </w:r>
          </w:p>
        </w:tc>
        <w:tc>
          <w:tcPr>
            <w:tcW w:type="dxa" w:w="2007"/>
            <w:vAlign w:val="center"/>
          </w:tcPr>
          <w:p>
            <w:r>
              <w:t>38</w:t>
            </w:r>
          </w:p>
        </w:tc>
        <w:tc>
          <w:tcPr>
            <w:tcW w:type="dxa" w:w="2007"/>
            <w:vAlign w:val="center"/>
          </w:tcPr>
          <w:p>
            <w:r>
              <w:t>л</w:t>
            </w:r>
          </w:p>
        </w:tc>
      </w:tr>
      <w:tr>
        <w:tc>
          <w:tcPr>
            <w:tcW w:type="dxa" w:w="2007"/>
            <w:vAlign w:val="center"/>
          </w:tcPr>
          <w:p>
            <w:r>
              <w:t>Итоговый годный объём</w:t>
            </w:r>
          </w:p>
        </w:tc>
        <w:tc>
          <w:tcPr>
            <w:tcW w:type="dxa" w:w="2007"/>
            <w:vAlign w:val="center"/>
          </w:tcPr>
          <w:p>
            <w:r>
              <w:t>Final_Good_Units</w:t>
            </w:r>
          </w:p>
        </w:tc>
        <w:tc>
          <w:tcPr>
            <w:tcW w:type="dxa" w:w="2007"/>
            <w:vAlign w:val="center"/>
          </w:tcPr>
          <w:p>
            <w:r>
              <w:t>80,75</w:t>
            </w:r>
          </w:p>
        </w:tc>
        <w:tc>
          <w:tcPr>
            <w:tcW w:type="dxa" w:w="2007"/>
            <w:vAlign w:val="center"/>
          </w:tcPr>
          <w:p>
            <w:r>
              <w:t>80,75</w:t>
            </w:r>
          </w:p>
        </w:tc>
        <w:tc>
          <w:tcPr>
            <w:tcW w:type="dxa" w:w="2007"/>
            <w:vAlign w:val="center"/>
          </w:tcPr>
          <w:p>
            <w:r>
              <w:t>л</w:t>
            </w:r>
          </w:p>
        </w:tc>
      </w:tr>
      <w:tr>
        <w:tc>
          <w:tcPr>
            <w:tcW w:type="dxa" w:w="2007"/>
            <w:vAlign w:val="center"/>
          </w:tcPr>
          <w:p>
            <w:r>
              <w:t>Затраты на сырьё</w:t>
            </w:r>
          </w:p>
        </w:tc>
        <w:tc>
          <w:tcPr>
            <w:tcW w:type="dxa" w:w="2007"/>
            <w:vAlign w:val="center"/>
          </w:tcPr>
          <w:p>
            <w:r>
              <w:t>Raw_Material_Cost</w:t>
            </w:r>
          </w:p>
        </w:tc>
        <w:tc>
          <w:tcPr>
            <w:tcW w:type="dxa" w:w="2007"/>
            <w:vAlign w:val="center"/>
          </w:tcPr>
          <w:p>
            <w:r>
              <w:t>240 000</w:t>
            </w:r>
          </w:p>
        </w:tc>
        <w:tc>
          <w:tcPr>
            <w:tcW w:type="dxa" w:w="2007"/>
            <w:vAlign w:val="center"/>
          </w:tcPr>
          <w:p>
            <w:r>
              <w:t>240 000</w:t>
            </w:r>
          </w:p>
        </w:tc>
        <w:tc>
          <w:tcPr>
            <w:tcW w:type="dxa" w:w="2007"/>
            <w:vAlign w:val="center"/>
          </w:tcPr>
          <w:p>
            <w:r>
              <w:t>долл. США</w:t>
            </w:r>
          </w:p>
        </w:tc>
      </w:tr>
      <w:tr>
        <w:tc>
          <w:tcPr>
            <w:tcW w:type="dxa" w:w="2007"/>
            <w:vAlign w:val="center"/>
          </w:tcPr>
          <w:p>
            <w:r>
              <w:t>Потребление электроэнергии</w:t>
            </w:r>
          </w:p>
        </w:tc>
        <w:tc>
          <w:tcPr>
            <w:tcW w:type="dxa" w:w="2007"/>
            <w:vAlign w:val="center"/>
          </w:tcPr>
          <w:p>
            <w:r>
              <w:t>Energy_kWh</w:t>
            </w:r>
          </w:p>
        </w:tc>
        <w:tc>
          <w:tcPr>
            <w:tcW w:type="dxa" w:w="2007"/>
            <w:vAlign w:val="center"/>
          </w:tcPr>
          <w:p>
            <w:r>
              <w:t>115 000</w:t>
            </w:r>
          </w:p>
        </w:tc>
        <w:tc>
          <w:tcPr>
            <w:tcW w:type="dxa" w:w="2007"/>
            <w:vAlign w:val="center"/>
          </w:tcPr>
          <w:p>
            <w:r>
              <w:t>115 000</w:t>
            </w:r>
          </w:p>
        </w:tc>
        <w:tc>
          <w:tcPr>
            <w:tcW w:type="dxa" w:w="2007"/>
            <w:vAlign w:val="center"/>
          </w:tcPr>
          <w:p>
            <w:r>
              <w:t>кВт·ч</w:t>
            </w:r>
          </w:p>
        </w:tc>
      </w:tr>
      <w:tr>
        <w:tc>
          <w:tcPr>
            <w:tcW w:type="dxa" w:w="2007"/>
            <w:vAlign w:val="center"/>
          </w:tcPr>
          <w:p>
            <w:r>
              <w:t>Тариф на электроэнергию</w:t>
            </w:r>
          </w:p>
        </w:tc>
        <w:tc>
          <w:tcPr>
            <w:tcW w:type="dxa" w:w="2007"/>
            <w:vAlign w:val="center"/>
          </w:tcPr>
          <w:p>
            <w:r>
              <w:t>Energy_Cost_Rate</w:t>
            </w:r>
          </w:p>
        </w:tc>
        <w:tc>
          <w:tcPr>
            <w:tcW w:type="dxa" w:w="2007"/>
            <w:vAlign w:val="center"/>
          </w:tcPr>
          <w:p>
            <w:r>
              <w:t>0,22</w:t>
            </w:r>
          </w:p>
        </w:tc>
        <w:tc>
          <w:tcPr>
            <w:tcW w:type="dxa" w:w="2007"/>
            <w:vAlign w:val="center"/>
          </w:tcPr>
          <w:p>
            <w:r>
              <w:t>0,66</w:t>
            </w:r>
          </w:p>
        </w:tc>
        <w:tc>
          <w:tcPr>
            <w:tcW w:type="dxa" w:w="2007"/>
            <w:vAlign w:val="center"/>
          </w:tcPr>
          <w:p>
            <w:r>
              <w:t>долл. США/кВт·ч</w:t>
            </w:r>
          </w:p>
        </w:tc>
      </w:tr>
      <w:tr>
        <w:tc>
          <w:tcPr>
            <w:tcW w:type="dxa" w:w="2007"/>
            <w:vAlign w:val="center"/>
          </w:tcPr>
          <w:p>
            <w:r>
              <w:t>Капитальная стоимость оборудования</w:t>
            </w:r>
          </w:p>
        </w:tc>
        <w:tc>
          <w:tcPr>
            <w:tcW w:type="dxa" w:w="2007"/>
            <w:vAlign w:val="center"/>
          </w:tcPr>
          <w:p>
            <w:r>
              <w:t>Equipment_CAPEX</w:t>
            </w:r>
          </w:p>
        </w:tc>
        <w:tc>
          <w:tcPr>
            <w:tcW w:type="dxa" w:w="2007"/>
            <w:vAlign w:val="center"/>
          </w:tcPr>
          <w:p>
            <w:r>
              <w:t>28 000 000</w:t>
            </w:r>
          </w:p>
        </w:tc>
        <w:tc>
          <w:tcPr>
            <w:tcW w:type="dxa" w:w="2007"/>
            <w:vAlign w:val="center"/>
          </w:tcPr>
          <w:p>
            <w:r>
              <w:t>28 000 000</w:t>
            </w:r>
          </w:p>
        </w:tc>
        <w:tc>
          <w:tcPr>
            <w:tcW w:type="dxa" w:w="2007"/>
            <w:vAlign w:val="center"/>
          </w:tcPr>
          <w:p>
            <w:r>
              <w:t>долл. США</w:t>
            </w:r>
          </w:p>
        </w:tc>
      </w:tr>
      <w:tr>
        <w:tc>
          <w:tcPr>
            <w:tcW w:type="dxa" w:w="2007"/>
            <w:vAlign w:val="center"/>
          </w:tcPr>
          <w:p>
            <w:r>
              <w:t>Экономический срок амортизации</w:t>
            </w:r>
          </w:p>
        </w:tc>
        <w:tc>
          <w:tcPr>
            <w:tcW w:type="dxa" w:w="2007"/>
            <w:vAlign w:val="center"/>
          </w:tcPr>
          <w:p>
            <w:r>
              <w:t>Amortization_Years_Economic</w:t>
            </w:r>
          </w:p>
        </w:tc>
        <w:tc>
          <w:tcPr>
            <w:tcW w:type="dxa" w:w="2007"/>
            <w:vAlign w:val="center"/>
          </w:tcPr>
          <w:p>
            <w:r>
              <w:t>3</w:t>
            </w:r>
          </w:p>
        </w:tc>
        <w:tc>
          <w:tcPr>
            <w:tcW w:type="dxa" w:w="2007"/>
            <w:vAlign w:val="center"/>
          </w:tcPr>
          <w:p>
            <w:r>
              <w:t>3</w:t>
            </w:r>
          </w:p>
        </w:tc>
        <w:tc>
          <w:tcPr>
            <w:tcW w:type="dxa" w:w="2007"/>
            <w:vAlign w:val="center"/>
          </w:tcPr>
          <w:p>
            <w:r>
              <w:t>лет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Накладные операционные расходы</w:t>
            </w:r>
          </w:p>
        </w:tc>
        <w:tc>
          <w:tcPr>
            <w:tcW w:type="dxa" w:w="2007"/>
            <w:vAlign w:val="center"/>
          </w:tcPr>
          <w:p>
            <w:r>
              <w:t>OPEX_Overhead</w:t>
            </w:r>
          </w:p>
        </w:tc>
        <w:tc>
          <w:tcPr>
            <w:tcW w:type="dxa" w:w="2007"/>
            <w:vAlign w:val="center"/>
          </w:tcPr>
          <w:p>
            <w:r>
              <w:t>145 000</w:t>
            </w:r>
          </w:p>
        </w:tc>
        <w:tc>
          <w:tcPr>
            <w:tcW w:type="dxa" w:w="2007"/>
            <w:vAlign w:val="center"/>
          </w:tcPr>
          <w:p>
            <w:r>
              <w:t>145 000</w:t>
            </w:r>
          </w:p>
        </w:tc>
        <w:tc>
          <w:tcPr>
            <w:tcW w:type="dxa" w:w="2007"/>
            <w:vAlign w:val="center"/>
          </w:tcPr>
          <w:p>
            <w:r>
              <w:t>долл. США/месяц</w:t>
            </w:r>
          </w:p>
        </w:tc>
      </w:tr>
      <w:tr>
        <w:tc>
          <w:tcPr>
            <w:tcW w:type="dxa" w:w="2007"/>
            <w:vAlign w:val="center"/>
          </w:tcPr>
          <w:p>
            <w:r>
              <w:t>Задержка вывода на рынок</w:t>
            </w:r>
          </w:p>
        </w:tc>
        <w:tc>
          <w:tcPr>
            <w:tcW w:type="dxa" w:w="2007"/>
            <w:vAlign w:val="center"/>
          </w:tcPr>
          <w:p>
            <w:r>
              <w:t>Delay_Years</w:t>
            </w:r>
          </w:p>
        </w:tc>
        <w:tc>
          <w:tcPr>
            <w:tcW w:type="dxa" w:w="2007"/>
            <w:vAlign w:val="center"/>
          </w:tcPr>
          <w:p>
            <w:r>
              <w:t>0,5</w:t>
            </w:r>
          </w:p>
        </w:tc>
        <w:tc>
          <w:tcPr>
            <w:tcW w:type="dxa" w:w="2007"/>
            <w:vAlign w:val="center"/>
          </w:tcPr>
          <w:p>
            <w:r>
              <w:t>0,5</w:t>
            </w:r>
          </w:p>
        </w:tc>
        <w:tc>
          <w:tcPr>
            <w:tcW w:type="dxa" w:w="2007"/>
            <w:vAlign w:val="center"/>
          </w:tcPr>
          <w:p>
            <w:r>
              <w:t>лет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Ставка дисконтирования</w:t>
            </w:r>
          </w:p>
        </w:tc>
        <w:tc>
          <w:tcPr>
            <w:tcW w:type="dxa" w:w="2007"/>
            <w:vAlign w:val="center"/>
          </w:tcPr>
          <w:p>
            <w:r>
              <w:t>Discount_Rate</w:t>
            </w:r>
          </w:p>
        </w:tc>
        <w:tc>
          <w:tcPr>
            <w:tcW w:type="dxa" w:w="2007"/>
            <w:vAlign w:val="center"/>
          </w:tcPr>
          <w:p>
            <w:r>
              <w:t>12,00 %</w:t>
            </w:r>
          </w:p>
        </w:tc>
        <w:tc>
          <w:tcPr>
            <w:tcW w:type="dxa" w:w="2007"/>
            <w:vAlign w:val="center"/>
          </w:tcPr>
          <w:p>
            <w:r>
              <w:t>12,00 %</w:t>
            </w:r>
          </w:p>
        </w:tc>
        <w:tc>
          <w:tcPr>
            <w:tcW w:type="dxa" w:w="2007"/>
            <w:vAlign w:val="center"/>
          </w:tcPr>
          <w:p>
            <w:r>
              <w:t>доля</w:t>
            </w:r>
          </w:p>
        </w:tc>
      </w:tr>
      <w:tr>
        <w:tc>
          <w:tcPr>
            <w:tcW w:type="dxa" w:w="2007"/>
            <w:vAlign w:val="center"/>
          </w:tcPr>
          <w:p>
            <w:r>
              <w:t>Темп ценовой эрозии</w:t>
            </w:r>
          </w:p>
        </w:tc>
        <w:tc>
          <w:tcPr>
            <w:tcW w:type="dxa" w:w="2007"/>
            <w:vAlign w:val="center"/>
          </w:tcPr>
          <w:p>
            <w:r>
              <w:t>Price_Erosion_Rate</w:t>
            </w:r>
          </w:p>
        </w:tc>
        <w:tc>
          <w:tcPr>
            <w:tcW w:type="dxa" w:w="2007"/>
            <w:vAlign w:val="center"/>
          </w:tcPr>
          <w:p>
            <w:r>
              <w:t>18,00 %</w:t>
            </w:r>
          </w:p>
        </w:tc>
        <w:tc>
          <w:tcPr>
            <w:tcW w:type="dxa" w:w="2007"/>
            <w:vAlign w:val="center"/>
          </w:tcPr>
          <w:p>
            <w:r>
              <w:t>18,00 %</w:t>
            </w:r>
          </w:p>
        </w:tc>
        <w:tc>
          <w:tcPr>
            <w:tcW w:type="dxa" w:w="2007"/>
            <w:vAlign w:val="center"/>
          </w:tcPr>
          <w:p>
            <w:r>
              <w:t>доля</w:t>
            </w:r>
          </w:p>
        </w:tc>
      </w:tr>
      <w:tr>
        <w:tc>
          <w:tcPr>
            <w:tcW w:type="dxa" w:w="2007"/>
            <w:vAlign w:val="center"/>
          </w:tcPr>
          <w:p>
            <w:r>
              <w:t>Рыночный горизонт</w:t>
            </w:r>
          </w:p>
        </w:tc>
        <w:tc>
          <w:tcPr>
            <w:tcW w:type="dxa" w:w="2007"/>
            <w:vAlign w:val="center"/>
          </w:tcPr>
          <w:p>
            <w:r>
              <w:t>Market_Horizon</w:t>
            </w:r>
          </w:p>
        </w:tc>
        <w:tc>
          <w:tcPr>
            <w:tcW w:type="dxa" w:w="2007"/>
            <w:vAlign w:val="center"/>
          </w:tcPr>
          <w:p>
            <w:r>
              <w:t>3</w:t>
            </w:r>
          </w:p>
        </w:tc>
        <w:tc>
          <w:tcPr>
            <w:tcW w:type="dxa" w:w="2007"/>
            <w:vAlign w:val="center"/>
          </w:tcPr>
          <w:p>
            <w:r>
              <w:t>3</w:t>
            </w:r>
          </w:p>
        </w:tc>
        <w:tc>
          <w:tcPr>
            <w:tcW w:type="dxa" w:w="2007"/>
            <w:vAlign w:val="center"/>
          </w:tcPr>
          <w:p>
            <w:r>
              <w:t>лет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Открытость рыночного окна</w:t>
            </w:r>
          </w:p>
        </w:tc>
        <w:tc>
          <w:tcPr>
            <w:tcW w:type="dxa" w:w="2007"/>
            <w:vAlign w:val="center"/>
          </w:tcPr>
          <w:p>
            <w:r>
              <w:t>Market_Window_Open</w:t>
            </w:r>
          </w:p>
        </w:tc>
        <w:tc>
          <w:tcPr>
            <w:tcW w:type="dxa" w:w="2007"/>
            <w:vAlign w:val="center"/>
          </w:tcPr>
          <w:p>
            <w:r>
              <w:t>Открыто</w:t>
            </w:r>
          </w:p>
        </w:tc>
        <w:tc>
          <w:tcPr>
            <w:tcW w:type="dxa" w:w="2007"/>
            <w:vAlign w:val="center"/>
          </w:tcPr>
          <w:p>
            <w:r>
              <w:t>Открыто</w:t>
            </w:r>
          </w:p>
        </w:tc>
        <w:tc>
          <w:tcPr>
            <w:tcW w:type="dxa" w:w="2007"/>
            <w:vAlign w:val="center"/>
          </w:tcPr>
          <w:p>
            <w:r>
              <w:t>0 или 1</w:t>
            </w:r>
          </w:p>
        </w:tc>
      </w:tr>
    </w:tbl>
    <w:p/>
    <w:p>
      <w:pPr>
        <w:pStyle w:val="Heading1"/>
      </w:pPr>
      <w:r>
        <w:t>3. Формулы и пояснения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vAlign w:val="center"/>
            <w:shd w:fill="1F4E78"/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3345"/>
            <w:vAlign w:val="center"/>
            <w:shd w:fill="1F4E78"/>
          </w:tcPr>
          <w:p>
            <w:r>
              <w:rPr>
                <w:b/>
                <w:color w:val="FFFFFF"/>
              </w:rPr>
              <w:t>Пояснение формулы</w:t>
            </w:r>
          </w:p>
        </w:tc>
        <w:tc>
          <w:tcPr>
            <w:tcW w:type="dxa" w:w="3345"/>
            <w:vAlign w:val="center"/>
            <w:shd w:fill="1F4E78"/>
          </w:tcPr>
          <w:p>
            <w:r>
              <w:rPr>
                <w:b/>
                <w:color w:val="FFFFFF"/>
              </w:rPr>
              <w:t>Единица измерения</w:t>
            </w:r>
          </w:p>
        </w:tc>
      </w:tr>
      <w:tr>
        <w:tc>
          <w:tcPr>
            <w:tcW w:type="dxa" w:w="3345"/>
            <w:vAlign w:val="center"/>
          </w:tcPr>
          <w:p>
            <w:r>
              <w:t>Выход годных с первого прохода (FPY)</w:t>
            </w:r>
          </w:p>
        </w:tc>
        <w:tc>
          <w:tcPr>
            <w:tcW w:type="dxa" w:w="3345"/>
            <w:vAlign w:val="center"/>
          </w:tcPr>
          <w:p>
            <w:r>
              <w:t>Годный объём первого прохода / фактический выпуск</w:t>
            </w:r>
          </w:p>
        </w:tc>
        <w:tc>
          <w:tcPr>
            <w:tcW w:type="dxa" w:w="3345"/>
            <w:vAlign w:val="center"/>
          </w:tcPr>
          <w:p>
            <w:r>
              <w:t>безразмерная величина</w:t>
            </w:r>
          </w:p>
        </w:tc>
      </w:tr>
      <w:tr>
        <w:tc>
          <w:tcPr>
            <w:tcW w:type="dxa" w:w="3345"/>
            <w:vAlign w:val="center"/>
          </w:tcPr>
          <w:p>
            <w:r>
              <w:t>Итоговый выход годных</w:t>
            </w:r>
          </w:p>
        </w:tc>
        <w:tc>
          <w:tcPr>
            <w:tcW w:type="dxa" w:w="3345"/>
            <w:vAlign w:val="center"/>
          </w:tcPr>
          <w:p>
            <w:r>
              <w:t>Итоговый годный объём / фактический выпуск</w:t>
            </w:r>
          </w:p>
        </w:tc>
        <w:tc>
          <w:tcPr>
            <w:tcW w:type="dxa" w:w="3345"/>
            <w:vAlign w:val="center"/>
          </w:tcPr>
          <w:p>
            <w:r>
              <w:t>безразмерная величина</w:t>
            </w:r>
          </w:p>
        </w:tc>
      </w:tr>
      <w:tr>
        <w:tc>
          <w:tcPr>
            <w:tcW w:type="dxa" w:w="3345"/>
            <w:vAlign w:val="center"/>
          </w:tcPr>
          <w:p>
            <w:r>
              <w:t>Доступность оборудования</w:t>
            </w:r>
          </w:p>
        </w:tc>
        <w:tc>
          <w:tcPr>
            <w:tcW w:type="dxa" w:w="3345"/>
            <w:vAlign w:val="center"/>
          </w:tcPr>
          <w:p>
            <w:r>
              <w:t>Фактическое время работы / плановое время работы</w:t>
            </w:r>
          </w:p>
        </w:tc>
        <w:tc>
          <w:tcPr>
            <w:tcW w:type="dxa" w:w="3345"/>
            <w:vAlign w:val="center"/>
          </w:tcPr>
          <w:p>
            <w:r>
              <w:t>безразмерная величина</w:t>
            </w:r>
          </w:p>
        </w:tc>
      </w:tr>
      <w:tr>
        <w:tc>
          <w:tcPr>
            <w:tcW w:type="dxa" w:w="3345"/>
            <w:vAlign w:val="center"/>
          </w:tcPr>
          <w:p>
            <w:r>
              <w:t>Производительность оборудования</w:t>
            </w:r>
          </w:p>
        </w:tc>
        <w:tc>
          <w:tcPr>
            <w:tcW w:type="dxa" w:w="3345"/>
            <w:vAlign w:val="center"/>
          </w:tcPr>
          <w:p>
            <w:r>
              <w:t>Нормативное время цикла × фактический выпуск / фактическое время</w:t>
            </w:r>
          </w:p>
        </w:tc>
        <w:tc>
          <w:tcPr>
            <w:tcW w:type="dxa" w:w="3345"/>
            <w:vAlign w:val="center"/>
          </w:tcPr>
          <w:p>
            <w:r>
              <w:t>безразмерная величина</w:t>
            </w:r>
          </w:p>
        </w:tc>
      </w:tr>
      <w:tr>
        <w:tc>
          <w:tcPr>
            <w:tcW w:type="dxa" w:w="3345"/>
            <w:vAlign w:val="center"/>
          </w:tcPr>
          <w:p>
            <w:r>
              <w:t>Коэффициент качества</w:t>
            </w:r>
          </w:p>
        </w:tc>
        <w:tc>
          <w:tcPr>
            <w:tcW w:type="dxa" w:w="3345"/>
            <w:vAlign w:val="center"/>
          </w:tcPr>
          <w:p>
            <w:r>
              <w:t>Коэффициент качества равен FPY</w:t>
            </w:r>
          </w:p>
        </w:tc>
        <w:tc>
          <w:tcPr>
            <w:tcW w:type="dxa" w:w="3345"/>
            <w:vAlign w:val="center"/>
          </w:tcPr>
          <w:p>
            <w:r>
              <w:t>безразмерная величина</w:t>
            </w:r>
          </w:p>
        </w:tc>
      </w:tr>
      <w:tr>
        <w:tc>
          <w:tcPr>
            <w:tcW w:type="dxa" w:w="3345"/>
            <w:vAlign w:val="center"/>
          </w:tcPr>
          <w:p>
            <w:r>
              <w:t>Общая эффективность оборудования (OEE)</w:t>
            </w:r>
          </w:p>
        </w:tc>
        <w:tc>
          <w:tcPr>
            <w:tcW w:type="dxa" w:w="3345"/>
            <w:vAlign w:val="center"/>
          </w:tcPr>
          <w:p>
            <w:r>
              <w:t>Доступность × производительность × качество</w:t>
            </w:r>
          </w:p>
        </w:tc>
        <w:tc>
          <w:tcPr>
            <w:tcW w:type="dxa" w:w="3345"/>
            <w:vAlign w:val="center"/>
          </w:tcPr>
          <w:p>
            <w:r>
              <w:t>безразмерная величина</w:t>
            </w:r>
          </w:p>
        </w:tc>
      </w:tr>
      <w:tr>
        <w:tc>
          <w:tcPr>
            <w:tcW w:type="dxa" w:w="3345"/>
            <w:vAlign w:val="center"/>
          </w:tcPr>
          <w:p>
            <w:r>
              <w:t>Использование календарного времени</w:t>
            </w:r>
          </w:p>
        </w:tc>
        <w:tc>
          <w:tcPr>
            <w:tcW w:type="dxa" w:w="3345"/>
            <w:vAlign w:val="center"/>
          </w:tcPr>
          <w:p>
            <w:r>
              <w:t>Плановое время работы / календарное время</w:t>
            </w:r>
          </w:p>
        </w:tc>
        <w:tc>
          <w:tcPr>
            <w:tcW w:type="dxa" w:w="3345"/>
            <w:vAlign w:val="center"/>
          </w:tcPr>
          <w:p>
            <w:r>
              <w:t>безразмерная величина</w:t>
            </w:r>
          </w:p>
        </w:tc>
      </w:tr>
      <w:tr>
        <w:tc>
          <w:tcPr>
            <w:tcW w:type="dxa" w:w="3345"/>
            <w:vAlign w:val="center"/>
          </w:tcPr>
          <w:p>
            <w:r>
              <w:t>Полная эффективная производительность оборудования (TEEP)</w:t>
            </w:r>
          </w:p>
        </w:tc>
        <w:tc>
          <w:tcPr>
            <w:tcW w:type="dxa" w:w="3345"/>
            <w:vAlign w:val="center"/>
          </w:tcPr>
          <w:p>
            <w:r>
              <w:t>OEE × использование календарного времени</w:t>
            </w:r>
          </w:p>
        </w:tc>
        <w:tc>
          <w:tcPr>
            <w:tcW w:type="dxa" w:w="3345"/>
            <w:vAlign w:val="center"/>
          </w:tcPr>
          <w:p>
            <w:r>
              <w:t>безразмерная величина</w:t>
            </w:r>
          </w:p>
        </w:tc>
      </w:tr>
      <w:tr>
        <w:tc>
          <w:tcPr>
            <w:tcW w:type="dxa" w:w="3345"/>
            <w:vAlign w:val="center"/>
          </w:tcPr>
          <w:p>
            <w:r>
              <w:t>Затраты на электроэнергию</w:t>
            </w:r>
          </w:p>
        </w:tc>
        <w:tc>
          <w:tcPr>
            <w:tcW w:type="dxa" w:w="3345"/>
            <w:vAlign w:val="center"/>
          </w:tcPr>
          <w:p>
            <w:r>
              <w:t>Потребление электроэнергии × тариф</w:t>
            </w:r>
          </w:p>
        </w:tc>
        <w:tc>
          <w:tcPr>
            <w:tcW w:type="dxa" w:w="3345"/>
            <w:vAlign w:val="center"/>
          </w:tcPr>
          <w:p>
            <w:r>
              <w:t>долл. США/месяц</w:t>
            </w:r>
          </w:p>
        </w:tc>
      </w:tr>
      <w:tr>
        <w:tc>
          <w:tcPr>
            <w:tcW w:type="dxa" w:w="3345"/>
            <w:vAlign w:val="center"/>
          </w:tcPr>
          <w:p>
            <w:r>
              <w:t>Ежемесячная амортизация</w:t>
            </w:r>
          </w:p>
        </w:tc>
        <w:tc>
          <w:tcPr>
            <w:tcW w:type="dxa" w:w="3345"/>
            <w:vAlign w:val="center"/>
          </w:tcPr>
          <w:p>
            <w:r>
              <w:t>CAPEX / экономический срок службы / 12</w:t>
            </w:r>
          </w:p>
        </w:tc>
        <w:tc>
          <w:tcPr>
            <w:tcW w:type="dxa" w:w="3345"/>
            <w:vAlign w:val="center"/>
          </w:tcPr>
          <w:p>
            <w:r>
              <w:t>долл. США/месяц</w:t>
            </w:r>
          </w:p>
        </w:tc>
      </w:tr>
      <w:tr>
        <w:tc>
          <w:tcPr>
            <w:tcW w:type="dxa" w:w="3345"/>
            <w:vAlign w:val="center"/>
          </w:tcPr>
          <w:p>
            <w:r>
              <w:t>Общие производственные затраты</w:t>
            </w:r>
          </w:p>
        </w:tc>
        <w:tc>
          <w:tcPr>
            <w:tcW w:type="dxa" w:w="3345"/>
            <w:vAlign w:val="center"/>
          </w:tcPr>
          <w:p>
            <w:r>
              <w:t>Сырьё + энергия + накладные расходы + амортизация</w:t>
            </w:r>
          </w:p>
        </w:tc>
        <w:tc>
          <w:tcPr>
            <w:tcW w:type="dxa" w:w="3345"/>
            <w:vAlign w:val="center"/>
          </w:tcPr>
          <w:p>
            <w:r>
              <w:t>долл. США/месяц</w:t>
            </w:r>
          </w:p>
        </w:tc>
      </w:tr>
      <w:tr>
        <w:tc>
          <w:tcPr>
            <w:tcW w:type="dxa" w:w="3345"/>
            <w:vAlign w:val="center"/>
          </w:tcPr>
          <w:p>
            <w:r>
              <w:t>Массовая ресурсоёмкость</w:t>
            </w:r>
          </w:p>
        </w:tc>
        <w:tc>
          <w:tcPr>
            <w:tcW w:type="dxa" w:w="3345"/>
            <w:vAlign w:val="center"/>
          </w:tcPr>
          <w:p>
            <w:r>
              <w:t>Масса сырья / итоговый годный объём</w:t>
            </w:r>
          </w:p>
        </w:tc>
        <w:tc>
          <w:tcPr>
            <w:tcW w:type="dxa" w:w="3345"/>
            <w:vAlign w:val="center"/>
          </w:tcPr>
          <w:p>
            <w:r>
              <w:t>кг/л</w:t>
            </w:r>
          </w:p>
        </w:tc>
      </w:tr>
      <w:tr>
        <w:tc>
          <w:tcPr>
            <w:tcW w:type="dxa" w:w="3345"/>
            <w:vAlign w:val="center"/>
          </w:tcPr>
          <w:p>
            <w:r>
              <w:t>Энергетическая ресурсоёмкость</w:t>
            </w:r>
          </w:p>
        </w:tc>
        <w:tc>
          <w:tcPr>
            <w:tcW w:type="dxa" w:w="3345"/>
            <w:vAlign w:val="center"/>
          </w:tcPr>
          <w:p>
            <w:r>
              <w:t>Потребление электроэнергии / итоговый годный объём</w:t>
            </w:r>
          </w:p>
        </w:tc>
        <w:tc>
          <w:tcPr>
            <w:tcW w:type="dxa" w:w="3345"/>
            <w:vAlign w:val="center"/>
          </w:tcPr>
          <w:p>
            <w:r>
              <w:t>кВт·ч/л</w:t>
            </w:r>
          </w:p>
        </w:tc>
      </w:tr>
      <w:tr>
        <w:tc>
          <w:tcPr>
            <w:tcW w:type="dxa" w:w="3345"/>
            <w:vAlign w:val="center"/>
          </w:tcPr>
          <w:p>
            <w:r>
              <w:t>Экономическая ресурсоёмкость</w:t>
            </w:r>
          </w:p>
        </w:tc>
        <w:tc>
          <w:tcPr>
            <w:tcW w:type="dxa" w:w="3345"/>
            <w:vAlign w:val="center"/>
          </w:tcPr>
          <w:p>
            <w:r>
              <w:t>Общие производственные затраты / итоговый годный объём</w:t>
            </w:r>
          </w:p>
        </w:tc>
        <w:tc>
          <w:tcPr>
            <w:tcW w:type="dxa" w:w="3345"/>
            <w:vAlign w:val="center"/>
          </w:tcPr>
          <w:p>
            <w:r>
              <w:t>долл. США/л</w:t>
            </w:r>
          </w:p>
        </w:tc>
      </w:tr>
      <w:tr>
        <w:tc>
          <w:tcPr>
            <w:tcW w:type="dxa" w:w="3345"/>
            <w:vAlign w:val="center"/>
          </w:tcPr>
          <w:p>
            <w:r>
              <w:t>Стоимостной показатель сырья</w:t>
            </w:r>
          </w:p>
        </w:tc>
        <w:tc>
          <w:tcPr>
            <w:tcW w:type="dxa" w:w="3345"/>
            <w:vAlign w:val="center"/>
          </w:tcPr>
          <w:p>
            <w:r>
              <w:t>Затраты на сырьё / итоговый годный объём</w:t>
            </w:r>
          </w:p>
        </w:tc>
        <w:tc>
          <w:tcPr>
            <w:tcW w:type="dxa" w:w="3345"/>
            <w:vAlign w:val="center"/>
          </w:tcPr>
          <w:p>
            <w:r>
              <w:t>долл. США/л</w:t>
            </w:r>
          </w:p>
        </w:tc>
      </w:tr>
      <w:tr>
        <w:tc>
          <w:tcPr>
            <w:tcW w:type="dxa" w:w="3345"/>
            <w:vAlign w:val="center"/>
          </w:tcPr>
          <w:p>
            <w:r>
              <w:t>Себестоимость единицы продукции (CPU)</w:t>
            </w:r>
          </w:p>
        </w:tc>
        <w:tc>
          <w:tcPr>
            <w:tcW w:type="dxa" w:w="3345"/>
            <w:vAlign w:val="center"/>
          </w:tcPr>
          <w:p>
            <w:r>
              <w:t>Общие производственные затраты / итоговый годный объём</w:t>
            </w:r>
          </w:p>
        </w:tc>
        <w:tc>
          <w:tcPr>
            <w:tcW w:type="dxa" w:w="3345"/>
            <w:vAlign w:val="center"/>
          </w:tcPr>
          <w:p>
            <w:r>
              <w:t>долл. США/л</w:t>
            </w:r>
          </w:p>
        </w:tc>
      </w:tr>
    </w:tbl>
    <w:p/>
    <w:p>
      <w:pPr>
        <w:pStyle w:val="Heading1"/>
      </w:pPr>
      <w:r>
        <w:t>4. Результаты расчёта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Базовый сценарий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Стрессовый сценарий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Единица измерения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2007"/>
            <w:vAlign w:val="center"/>
          </w:tcPr>
          <w:p>
            <w:r>
              <w:t>Выход годных с первого прохода (FPY)</w:t>
            </w:r>
          </w:p>
        </w:tc>
        <w:tc>
          <w:tcPr>
            <w:tcW w:type="dxa" w:w="2007"/>
            <w:vAlign w:val="center"/>
          </w:tcPr>
          <w:p>
            <w:r>
              <w:t>75,00 %</w:t>
            </w:r>
          </w:p>
        </w:tc>
        <w:tc>
          <w:tcPr>
            <w:tcW w:type="dxa" w:w="2007"/>
            <w:vAlign w:val="center"/>
          </w:tcPr>
          <w:p>
            <w:r>
              <w:t>40,00 %</w:t>
            </w:r>
          </w:p>
        </w:tc>
        <w:tc>
          <w:tcPr>
            <w:tcW w:type="dxa" w:w="2007"/>
            <w:vAlign w:val="center"/>
          </w:tcPr>
          <w:p>
            <w:r>
              <w:t>безразмерная величина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Итоговый выход годных</w:t>
            </w:r>
          </w:p>
        </w:tc>
        <w:tc>
          <w:tcPr>
            <w:tcW w:type="dxa" w:w="2007"/>
            <w:vAlign w:val="center"/>
          </w:tcPr>
          <w:p>
            <w:r>
              <w:t>85,00 %</w:t>
            </w:r>
          </w:p>
        </w:tc>
        <w:tc>
          <w:tcPr>
            <w:tcW w:type="dxa" w:w="2007"/>
            <w:vAlign w:val="center"/>
          </w:tcPr>
          <w:p>
            <w:r>
              <w:t>85,00 %</w:t>
            </w:r>
          </w:p>
        </w:tc>
        <w:tc>
          <w:tcPr>
            <w:tcW w:type="dxa" w:w="2007"/>
            <w:vAlign w:val="center"/>
          </w:tcPr>
          <w:p>
            <w:r>
              <w:t>безразмерная величина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Доступность оборудования</w:t>
            </w:r>
          </w:p>
        </w:tc>
        <w:tc>
          <w:tcPr>
            <w:tcW w:type="dxa" w:w="2007"/>
            <w:vAlign w:val="center"/>
          </w:tcPr>
          <w:p>
            <w:r>
              <w:t>81,25 %</w:t>
            </w:r>
          </w:p>
        </w:tc>
        <w:tc>
          <w:tcPr>
            <w:tcW w:type="dxa" w:w="2007"/>
            <w:vAlign w:val="center"/>
          </w:tcPr>
          <w:p>
            <w:r>
              <w:t>81,25 %</w:t>
            </w:r>
          </w:p>
        </w:tc>
        <w:tc>
          <w:tcPr>
            <w:tcW w:type="dxa" w:w="2007"/>
            <w:vAlign w:val="center"/>
          </w:tcPr>
          <w:p>
            <w:r>
              <w:t>безразмерная величина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Производительность оборудования</w:t>
            </w:r>
          </w:p>
        </w:tc>
        <w:tc>
          <w:tcPr>
            <w:tcW w:type="dxa" w:w="2007"/>
            <w:vAlign w:val="center"/>
          </w:tcPr>
          <w:p>
            <w:r>
              <w:t>97,44 %</w:t>
            </w:r>
          </w:p>
        </w:tc>
        <w:tc>
          <w:tcPr>
            <w:tcW w:type="dxa" w:w="2007"/>
            <w:vAlign w:val="center"/>
          </w:tcPr>
          <w:p>
            <w:r>
              <w:t>97,44 %</w:t>
            </w:r>
          </w:p>
        </w:tc>
        <w:tc>
          <w:tcPr>
            <w:tcW w:type="dxa" w:w="2007"/>
            <w:vAlign w:val="center"/>
          </w:tcPr>
          <w:p>
            <w:r>
              <w:t>безразмерная величина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Коэффициент качества</w:t>
            </w:r>
          </w:p>
        </w:tc>
        <w:tc>
          <w:tcPr>
            <w:tcW w:type="dxa" w:w="2007"/>
            <w:vAlign w:val="center"/>
          </w:tcPr>
          <w:p>
            <w:r>
              <w:t>75,00 %</w:t>
            </w:r>
          </w:p>
        </w:tc>
        <w:tc>
          <w:tcPr>
            <w:tcW w:type="dxa" w:w="2007"/>
            <w:vAlign w:val="center"/>
          </w:tcPr>
          <w:p>
            <w:r>
              <w:t>40,00 %</w:t>
            </w:r>
          </w:p>
        </w:tc>
        <w:tc>
          <w:tcPr>
            <w:tcW w:type="dxa" w:w="2007"/>
            <w:vAlign w:val="center"/>
          </w:tcPr>
          <w:p>
            <w:r>
              <w:t>безразмерная величина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Общая эффективность оборудования (OEE)</w:t>
            </w:r>
          </w:p>
        </w:tc>
        <w:tc>
          <w:tcPr>
            <w:tcW w:type="dxa" w:w="2007"/>
            <w:vAlign w:val="center"/>
          </w:tcPr>
          <w:p>
            <w:r>
              <w:t>59,38 %</w:t>
            </w:r>
          </w:p>
        </w:tc>
        <w:tc>
          <w:tcPr>
            <w:tcW w:type="dxa" w:w="2007"/>
            <w:vAlign w:val="center"/>
          </w:tcPr>
          <w:p>
            <w:r>
              <w:t>31,67 %</w:t>
            </w:r>
          </w:p>
        </w:tc>
        <w:tc>
          <w:tcPr>
            <w:tcW w:type="dxa" w:w="2007"/>
            <w:vAlign w:val="center"/>
          </w:tcPr>
          <w:p>
            <w:r>
              <w:t>безразмерная величина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Использование календарного времени</w:t>
            </w:r>
          </w:p>
        </w:tc>
        <w:tc>
          <w:tcPr>
            <w:tcW w:type="dxa" w:w="2007"/>
            <w:vAlign w:val="center"/>
          </w:tcPr>
          <w:p>
            <w:r>
              <w:t>66,67 %</w:t>
            </w:r>
          </w:p>
        </w:tc>
        <w:tc>
          <w:tcPr>
            <w:tcW w:type="dxa" w:w="2007"/>
            <w:vAlign w:val="center"/>
          </w:tcPr>
          <w:p>
            <w:r>
              <w:t>66,67 %</w:t>
            </w:r>
          </w:p>
        </w:tc>
        <w:tc>
          <w:tcPr>
            <w:tcW w:type="dxa" w:w="2007"/>
            <w:vAlign w:val="center"/>
          </w:tcPr>
          <w:p>
            <w:r>
              <w:t>безразмерная величина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Полная эффективная производительность оборудования (TEEP)</w:t>
            </w:r>
          </w:p>
        </w:tc>
        <w:tc>
          <w:tcPr>
            <w:tcW w:type="dxa" w:w="2007"/>
            <w:vAlign w:val="center"/>
          </w:tcPr>
          <w:p>
            <w:r>
              <w:t>39,58 %</w:t>
            </w:r>
          </w:p>
        </w:tc>
        <w:tc>
          <w:tcPr>
            <w:tcW w:type="dxa" w:w="2007"/>
            <w:vAlign w:val="center"/>
          </w:tcPr>
          <w:p>
            <w:r>
              <w:t>21,11 %</w:t>
            </w:r>
          </w:p>
        </w:tc>
        <w:tc>
          <w:tcPr>
            <w:tcW w:type="dxa" w:w="2007"/>
            <w:vAlign w:val="center"/>
          </w:tcPr>
          <w:p>
            <w:r>
              <w:t>безразмерная величина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Затраты на электроэнергию</w:t>
            </w:r>
          </w:p>
        </w:tc>
        <w:tc>
          <w:tcPr>
            <w:tcW w:type="dxa" w:w="2007"/>
            <w:vAlign w:val="center"/>
          </w:tcPr>
          <w:p>
            <w:r>
              <w:t>25 300,00</w:t>
            </w:r>
          </w:p>
        </w:tc>
        <w:tc>
          <w:tcPr>
            <w:tcW w:type="dxa" w:w="2007"/>
            <w:vAlign w:val="center"/>
          </w:tcPr>
          <w:p>
            <w:r>
              <w:t>75 900,00</w:t>
            </w:r>
          </w:p>
        </w:tc>
        <w:tc>
          <w:tcPr>
            <w:tcW w:type="dxa" w:w="2007"/>
            <w:vAlign w:val="center"/>
          </w:tcPr>
          <w:p>
            <w:r>
              <w:t>долл. США/месяц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Ежемесячная амортизация</w:t>
            </w:r>
          </w:p>
        </w:tc>
        <w:tc>
          <w:tcPr>
            <w:tcW w:type="dxa" w:w="2007"/>
            <w:vAlign w:val="center"/>
          </w:tcPr>
          <w:p>
            <w:r>
              <w:t>777 777,78</w:t>
            </w:r>
          </w:p>
        </w:tc>
        <w:tc>
          <w:tcPr>
            <w:tcW w:type="dxa" w:w="2007"/>
            <w:vAlign w:val="center"/>
          </w:tcPr>
          <w:p>
            <w:r>
              <w:t>777 777,78</w:t>
            </w:r>
          </w:p>
        </w:tc>
        <w:tc>
          <w:tcPr>
            <w:tcW w:type="dxa" w:w="2007"/>
            <w:vAlign w:val="center"/>
          </w:tcPr>
          <w:p>
            <w:r>
              <w:t>долл. США/месяц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Общие производственные затраты</w:t>
            </w:r>
          </w:p>
        </w:tc>
        <w:tc>
          <w:tcPr>
            <w:tcW w:type="dxa" w:w="2007"/>
            <w:vAlign w:val="center"/>
          </w:tcPr>
          <w:p>
            <w:r>
              <w:t>1 188 077,78</w:t>
            </w:r>
          </w:p>
        </w:tc>
        <w:tc>
          <w:tcPr>
            <w:tcW w:type="dxa" w:w="2007"/>
            <w:vAlign w:val="center"/>
          </w:tcPr>
          <w:p>
            <w:r>
              <w:t>1 238 677,78</w:t>
            </w:r>
          </w:p>
        </w:tc>
        <w:tc>
          <w:tcPr>
            <w:tcW w:type="dxa" w:w="2007"/>
            <w:vAlign w:val="center"/>
          </w:tcPr>
          <w:p>
            <w:r>
              <w:t>долл. США/месяц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Массовая ресурсоёмкость</w:t>
            </w:r>
          </w:p>
        </w:tc>
        <w:tc>
          <w:tcPr>
            <w:tcW w:type="dxa" w:w="2007"/>
            <w:vAlign w:val="center"/>
          </w:tcPr>
          <w:p>
            <w:r>
              <w:t>НЕ РАССЧИТЫВАЕТСЯ</w:t>
            </w:r>
          </w:p>
        </w:tc>
        <w:tc>
          <w:tcPr>
            <w:tcW w:type="dxa" w:w="2007"/>
            <w:vAlign w:val="center"/>
          </w:tcPr>
          <w:p>
            <w:r>
              <w:t>НЕ РАССЧИТЫВАЕТСЯ</w:t>
            </w:r>
          </w:p>
        </w:tc>
        <w:tc>
          <w:tcPr>
            <w:tcW w:type="dxa" w:w="2007"/>
            <w:vAlign w:val="center"/>
          </w:tcPr>
          <w:p>
            <w:r>
              <w:t>кг/л</w:t>
            </w:r>
          </w:p>
        </w:tc>
        <w:tc>
          <w:tcPr>
            <w:tcW w:type="dxa" w:w="2007"/>
            <w:vAlign w:val="center"/>
          </w:tcPr>
          <w:p>
            <w:r>
              <w:t>НЕ РАССЧИТЫВАЕТСЯ</w:t>
            </w:r>
          </w:p>
        </w:tc>
      </w:tr>
      <w:tr>
        <w:tc>
          <w:tcPr>
            <w:tcW w:type="dxa" w:w="2007"/>
            <w:vAlign w:val="center"/>
          </w:tcPr>
          <w:p>
            <w:r>
              <w:t>Энергетическая ресурсоёмкость</w:t>
            </w:r>
          </w:p>
        </w:tc>
        <w:tc>
          <w:tcPr>
            <w:tcW w:type="dxa" w:w="2007"/>
            <w:vAlign w:val="center"/>
          </w:tcPr>
          <w:p>
            <w:r>
              <w:t>1 424,15</w:t>
            </w:r>
          </w:p>
        </w:tc>
        <w:tc>
          <w:tcPr>
            <w:tcW w:type="dxa" w:w="2007"/>
            <w:vAlign w:val="center"/>
          </w:tcPr>
          <w:p>
            <w:r>
              <w:t>1 424,15</w:t>
            </w:r>
          </w:p>
        </w:tc>
        <w:tc>
          <w:tcPr>
            <w:tcW w:type="dxa" w:w="2007"/>
            <w:vAlign w:val="center"/>
          </w:tcPr>
          <w:p>
            <w:r>
              <w:t>кВт·ч/л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Экономическая ресурсоёмкость</w:t>
            </w:r>
          </w:p>
        </w:tc>
        <w:tc>
          <w:tcPr>
            <w:tcW w:type="dxa" w:w="2007"/>
            <w:vAlign w:val="center"/>
          </w:tcPr>
          <w:p>
            <w:r>
              <w:t>14 713,04</w:t>
            </w:r>
          </w:p>
        </w:tc>
        <w:tc>
          <w:tcPr>
            <w:tcW w:type="dxa" w:w="2007"/>
            <w:vAlign w:val="center"/>
          </w:tcPr>
          <w:p>
            <w:r>
              <w:t>15 339,66</w:t>
            </w:r>
          </w:p>
        </w:tc>
        <w:tc>
          <w:tcPr>
            <w:tcW w:type="dxa" w:w="2007"/>
            <w:vAlign w:val="center"/>
          </w:tcPr>
          <w:p>
            <w:r>
              <w:t>долл. США/л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Стоимостной показатель сырья</w:t>
            </w:r>
          </w:p>
        </w:tc>
        <w:tc>
          <w:tcPr>
            <w:tcW w:type="dxa" w:w="2007"/>
            <w:vAlign w:val="center"/>
          </w:tcPr>
          <w:p>
            <w:r>
              <w:t>2 972,14</w:t>
            </w:r>
          </w:p>
        </w:tc>
        <w:tc>
          <w:tcPr>
            <w:tcW w:type="dxa" w:w="2007"/>
            <w:vAlign w:val="center"/>
          </w:tcPr>
          <w:p>
            <w:r>
              <w:t>2 972,14</w:t>
            </w:r>
          </w:p>
        </w:tc>
        <w:tc>
          <w:tcPr>
            <w:tcW w:type="dxa" w:w="2007"/>
            <w:vAlign w:val="center"/>
          </w:tcPr>
          <w:p>
            <w:r>
              <w:t>долл. США/л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Себестоимость единицы продукции (CPU)</w:t>
            </w:r>
          </w:p>
        </w:tc>
        <w:tc>
          <w:tcPr>
            <w:tcW w:type="dxa" w:w="2007"/>
            <w:vAlign w:val="center"/>
          </w:tcPr>
          <w:p>
            <w:r>
              <w:t>14 713,04</w:t>
            </w:r>
          </w:p>
        </w:tc>
        <w:tc>
          <w:tcPr>
            <w:tcW w:type="dxa" w:w="2007"/>
            <w:vAlign w:val="center"/>
          </w:tcPr>
          <w:p>
            <w:r>
              <w:t>15 339,66</w:t>
            </w:r>
          </w:p>
        </w:tc>
        <w:tc>
          <w:tcPr>
            <w:tcW w:type="dxa" w:w="2007"/>
            <w:vAlign w:val="center"/>
          </w:tcPr>
          <w:p>
            <w:r>
              <w:t>долл. США/л</w:t>
            </w:r>
          </w:p>
        </w:tc>
        <w:tc>
          <w:tcPr>
            <w:tcW w:type="dxa" w:w="2007"/>
            <w:vAlign w:val="center"/>
          </w:tcPr>
          <w:p>
            <w:r>
              <w:t>РАССЧИТАНО</w:t>
            </w:r>
          </w:p>
        </w:tc>
      </w:tr>
    </w:tbl>
    <w:p/>
    <w:p>
      <w:pPr>
        <w:sectPr>
          <w:pgSz w:w="11906" w:h="16838"/>
          <w:pgMar w:top="1020" w:right="85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Harness Log — журнал реализации</w:t>
      </w:r>
    </w:p>
    <w:p>
      <w:r>
        <w:t>Журнал содержит подтверждённые проблемы, причины, внесённые исправления и результаты повторной проверки 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tblHeader w:val="true"/>
        </w:trPr>
        <w:tc>
          <w:tcPr>
            <w:tcW w:type="dxa" w:w="1935"/>
            <w:vAlign w:val="top"/>
            <w:shd w:fill="1F4E78"/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935"/>
            <w:vAlign w:val="top"/>
            <w:shd w:fill="1F4E78"/>
          </w:tcPr>
          <w:p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1935"/>
            <w:vAlign w:val="top"/>
            <w:shd w:fill="1F4E78"/>
          </w:tcPr>
          <w:p>
            <w:r>
              <w:rPr>
                <w:b/>
                <w:color w:val="FFFFFF"/>
                <w:sz w:val="16"/>
              </w:rPr>
              <w:t>Запрос к ИИ / задача</w:t>
            </w:r>
          </w:p>
        </w:tc>
        <w:tc>
          <w:tcPr>
            <w:tcW w:type="dxa" w:w="1935"/>
            <w:vAlign w:val="top"/>
            <w:shd w:fill="1F4E78"/>
          </w:tcPr>
          <w:p>
            <w:r>
              <w:rPr>
                <w:b/>
                <w:color w:val="FFFFFF"/>
                <w:sz w:val="16"/>
              </w:rPr>
              <w:t>Сгенерированный или изменённый фрагмент кода</w:t>
            </w:r>
          </w:p>
        </w:tc>
        <w:tc>
          <w:tcPr>
            <w:tcW w:type="dxa" w:w="1935"/>
            <w:vAlign w:val="top"/>
            <w:shd w:fill="1F4E78"/>
          </w:tcPr>
          <w:p>
            <w:r>
              <w:rPr>
                <w:b/>
                <w:color w:val="FFFFFF"/>
                <w:sz w:val="16"/>
              </w:rPr>
              <w:t>Обнаруженная ошибка / галлюцинация</w:t>
            </w:r>
          </w:p>
        </w:tc>
        <w:tc>
          <w:tcPr>
            <w:tcW w:type="dxa" w:w="1935"/>
            <w:vAlign w:val="top"/>
            <w:shd w:fill="1F4E78"/>
          </w:tcPr>
          <w:p>
            <w:r>
              <w:rPr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1935"/>
            <w:vAlign w:val="top"/>
            <w:shd w:fill="1F4E78"/>
          </w:tcPr>
          <w:p>
            <w:r>
              <w:rPr>
                <w:b/>
                <w:color w:val="FFFFFF"/>
                <w:sz w:val="16"/>
              </w:rPr>
              <w:t>Как исправлено</w:t>
            </w:r>
          </w:p>
        </w:tc>
        <w:tc>
          <w:tcPr>
            <w:tcW w:type="dxa" w:w="1935"/>
            <w:vAlign w:val="top"/>
            <w:shd w:fill="1F4E78"/>
          </w:tcPr>
          <w:p>
            <w:r>
              <w:rPr>
                <w:b/>
                <w:color w:val="FFFFFF"/>
                <w:sz w:val="16"/>
              </w:rPr>
              <w:t>Результат повторной проверки</w:t>
            </w:r>
          </w:p>
        </w:tc>
      </w:tr>
      <w:tr>
        <w:tc>
          <w:tcPr>
            <w:tcW w:type="dxa" w:w="1935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Аудит показателей качества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Развести FPY и итоговый выход годных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fpy = first_pass_good_units / actual_output; final_yield = final_good_units / actual_output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FPY и Final Yield могли быть ошибочно приняты за один показатель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Итоговый годный объём включает продукцию после переделки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Показатели реализованы и раскрыты раздельно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Тест подтверждает FPY 75 %, Final Yield 85 %</w:t>
            </w:r>
          </w:p>
        </w:tc>
      </w:tr>
      <w:tr>
        <w:tc>
          <w:tcPr>
            <w:tcW w:type="dxa" w:w="1935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Аудит параметров TTM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Сопоставить параметры задания и CSV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assignment_ttm = ttm.calculate(delay, 0.10, 0.15, 3.0, window)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В задании r=10 %, α=15 %, а в CSV r=12 %, α=18 %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Исходные материалы задают разные сценарии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Оба сценария рассчитаны и раскрыты отдельно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Получены штрафы 26,285941 % и 28,034684 % без подмены параметров</w:t>
            </w:r>
          </w:p>
        </w:tc>
      </w:tr>
      <w:tr>
        <w:tc>
          <w:tcPr>
            <w:tcW w:type="dxa" w:w="1935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Стресс-сценарий TTM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Выбрать корректную базовую задержку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baseline_stress_ttm = ttm.calculate(comparison.delay[0], 0.10, 0.15, 3.0, window)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Pilot CSV содержит задержку 0,5 года, comparison baseline — 0 лет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Pilot и сравнительный baseline имеют разное назначение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Для стресс-сравнения использован baseline comparison CSV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Тест подтверждает изменение штрафа TTM с 0 % до 26,285941 %</w:t>
            </w:r>
          </w:p>
        </w:tc>
      </w:tr>
      <w:tr>
        <w:tc>
          <w:tcPr>
            <w:tcW w:type="dxa" w:w="1935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Аудит ресурсоёмкости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Проверить вычислимость массовой ресурсоёмкости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mass_intensity = NOT_COMPUTABLE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Масса сырья отсутствует, а стоимость не может заменить массу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В CSV нет Raw_Material_Mass_kg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Метрика помечена НЕ РАССЧИТЫВАЕТСЯ, стоимостной proxy показан отдельно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Excel и Python одинаково фиксируют одно невычислимое значение</w:t>
            </w:r>
          </w:p>
        </w:tc>
      </w:tr>
      <w:tr>
        <w:tc>
          <w:tcPr>
            <w:tcW w:type="dxa" w:w="1935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Пересчёт Excel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Получить кэшированные результаты формул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excel.CalculateFullRebuild(); workbook.Save()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openpyxl сохраняет формулы, но не вычисляет их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Библиотека не является движком Excel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Добавлен реальный пересчёт установленным Microsoft Excel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Из кэша прочитаны FPY 0,75, OEE 0,59375 и CPU 14 713,0374957</w:t>
            </w:r>
          </w:p>
        </w:tc>
      </w:tr>
      <w:tr>
        <w:tc>
          <w:tcPr>
            <w:tcW w:type="dxa" w:w="1935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Жизненный цикл COM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Исключить сбой освобождения Excel COM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subprocess.run([sys.executable, excel_worker.py, workbook_path])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Первый интеграционный подход мог завершаться RPC_E_DISCONNECTED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COM-прокси переживали закрытие Excel в долгоживущем процессе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Пересчёт изолирован в короткоживущем worker-процессе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Интеграционный тест завершается без RPC fault и с корректным кэшем</w:t>
            </w:r>
          </w:p>
        </w:tc>
      </w:tr>
      <w:tr>
        <w:tc>
          <w:tcPr>
            <w:tcW w:type="dxa" w:w="1935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Архитектура контрольных журналов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Развести журнал реализации и числовую сверку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implementation_log_entries и reconciliation_rows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Числовая сверка была ошибочно названа Harness Log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Два разных типа доказательств использовали одно название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Числовая проверка переименована в «Сверка Excel–Python», Harness Log выделен отдельно</w:t>
            </w:r>
          </w:p>
        </w:tc>
        <w:tc>
          <w:tcPr>
            <w:tcW w:type="dxa" w:w="1935"/>
            <w:vAlign w:val="top"/>
          </w:tcPr>
          <w:p>
            <w:r>
              <w:rPr>
                <w:sz w:val="16"/>
              </w:rPr>
              <w:t>Отчёты содержат два самостоятельных раздела и восемь обязательных артефактов</w:t>
            </w:r>
          </w:p>
        </w:tc>
      </w:tr>
    </w:tbl>
    <w:p/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5. Сверка Excel–Python</w:t>
      </w:r>
    </w:p>
    <w:p>
      <w:r>
        <w:t>Реальный пересчёт Microsoft Excel: выполнен.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Excel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Python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Абсолютное отклонение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2007"/>
            <w:vAlign w:val="center"/>
          </w:tcPr>
          <w:p>
            <w:r>
              <w:t>Доступность оборудования</w:t>
            </w:r>
          </w:p>
        </w:tc>
        <w:tc>
          <w:tcPr>
            <w:tcW w:type="dxa" w:w="2007"/>
            <w:vAlign w:val="center"/>
          </w:tcPr>
          <w:p>
            <w:r>
              <w:t>0,81250000</w:t>
            </w:r>
          </w:p>
        </w:tc>
        <w:tc>
          <w:tcPr>
            <w:tcW w:type="dxa" w:w="2007"/>
            <w:vAlign w:val="center"/>
          </w:tcPr>
          <w:p>
            <w:r>
              <w:t>0,81250000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Себестоимость единицы продукции (CPU)</w:t>
            </w:r>
          </w:p>
        </w:tc>
        <w:tc>
          <w:tcPr>
            <w:tcW w:type="dxa" w:w="2007"/>
            <w:vAlign w:val="center"/>
          </w:tcPr>
          <w:p>
            <w:r>
              <w:t>14 713,03749570</w:t>
            </w:r>
          </w:p>
        </w:tc>
        <w:tc>
          <w:tcPr>
            <w:tcW w:type="dxa" w:w="2007"/>
            <w:vAlign w:val="center"/>
          </w:tcPr>
          <w:p>
            <w:r>
              <w:t>14 713,03749570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Экономическая ресурсоёмкость</w:t>
            </w:r>
          </w:p>
        </w:tc>
        <w:tc>
          <w:tcPr>
            <w:tcW w:type="dxa" w:w="2007"/>
            <w:vAlign w:val="center"/>
          </w:tcPr>
          <w:p>
            <w:r>
              <w:t>14 713,03749570</w:t>
            </w:r>
          </w:p>
        </w:tc>
        <w:tc>
          <w:tcPr>
            <w:tcW w:type="dxa" w:w="2007"/>
            <w:vAlign w:val="center"/>
          </w:tcPr>
          <w:p>
            <w:r>
              <w:t>14 713,03749570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Затраты на электроэнергию</w:t>
            </w:r>
          </w:p>
        </w:tc>
        <w:tc>
          <w:tcPr>
            <w:tcW w:type="dxa" w:w="2007"/>
            <w:vAlign w:val="center"/>
          </w:tcPr>
          <w:p>
            <w:r>
              <w:t>25 300,00000000</w:t>
            </w:r>
          </w:p>
        </w:tc>
        <w:tc>
          <w:tcPr>
            <w:tcW w:type="dxa" w:w="2007"/>
            <w:vAlign w:val="center"/>
          </w:tcPr>
          <w:p>
            <w:r>
              <w:t>25 300,00000000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Энергетическая ресурсоёмкость</w:t>
            </w:r>
          </w:p>
        </w:tc>
        <w:tc>
          <w:tcPr>
            <w:tcW w:type="dxa" w:w="2007"/>
            <w:vAlign w:val="center"/>
          </w:tcPr>
          <w:p>
            <w:r>
              <w:t>1 424,14860681</w:t>
            </w:r>
          </w:p>
        </w:tc>
        <w:tc>
          <w:tcPr>
            <w:tcW w:type="dxa" w:w="2007"/>
            <w:vAlign w:val="center"/>
          </w:tcPr>
          <w:p>
            <w:r>
              <w:t>1 424,14860681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Выход годных с первого прохода (FPY)</w:t>
            </w:r>
          </w:p>
        </w:tc>
        <w:tc>
          <w:tcPr>
            <w:tcW w:type="dxa" w:w="2007"/>
            <w:vAlign w:val="center"/>
          </w:tcPr>
          <w:p>
            <w:r>
              <w:t>0,75000000</w:t>
            </w:r>
          </w:p>
        </w:tc>
        <w:tc>
          <w:tcPr>
            <w:tcW w:type="dxa" w:w="2007"/>
            <w:vAlign w:val="center"/>
          </w:tcPr>
          <w:p>
            <w:r>
              <w:t>0,75000000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Итоговый выход годных</w:t>
            </w:r>
          </w:p>
        </w:tc>
        <w:tc>
          <w:tcPr>
            <w:tcW w:type="dxa" w:w="2007"/>
            <w:vAlign w:val="center"/>
          </w:tcPr>
          <w:p>
            <w:r>
              <w:t>0,85000000</w:t>
            </w:r>
          </w:p>
        </w:tc>
        <w:tc>
          <w:tcPr>
            <w:tcW w:type="dxa" w:w="2007"/>
            <w:vAlign w:val="center"/>
          </w:tcPr>
          <w:p>
            <w:r>
              <w:t>0,85000000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Массовая ресурсоёмкость</w:t>
            </w:r>
          </w:p>
        </w:tc>
        <w:tc>
          <w:tcPr>
            <w:tcW w:type="dxa" w:w="2007"/>
            <w:vAlign w:val="center"/>
          </w:tcPr>
          <w:p>
            <w:r>
              <w:t>Нет значения</w:t>
            </w:r>
          </w:p>
        </w:tc>
        <w:tc>
          <w:tcPr>
            <w:tcW w:type="dxa" w:w="2007"/>
            <w:vAlign w:val="center"/>
          </w:tcPr>
          <w:p>
            <w:r>
              <w:t>Нет значения</w:t>
            </w:r>
          </w:p>
        </w:tc>
        <w:tc>
          <w:tcPr>
            <w:tcW w:type="dxa" w:w="2007"/>
            <w:vAlign w:val="center"/>
          </w:tcPr>
          <w:p>
            <w:r>
              <w:t>—</w:t>
            </w:r>
          </w:p>
        </w:tc>
        <w:tc>
          <w:tcPr>
            <w:tcW w:type="dxa" w:w="2007"/>
            <w:vAlign w:val="center"/>
          </w:tcPr>
          <w:p>
            <w:r>
              <w:t>НЕ РАССЧИТЫВАЕТСЯ</w:t>
            </w:r>
          </w:p>
        </w:tc>
      </w:tr>
      <w:tr>
        <w:tc>
          <w:tcPr>
            <w:tcW w:type="dxa" w:w="2007"/>
            <w:vAlign w:val="center"/>
          </w:tcPr>
          <w:p>
            <w:r>
              <w:t>Ежемесячная амортизация</w:t>
            </w:r>
          </w:p>
        </w:tc>
        <w:tc>
          <w:tcPr>
            <w:tcW w:type="dxa" w:w="2007"/>
            <w:vAlign w:val="center"/>
          </w:tcPr>
          <w:p>
            <w:r>
              <w:t>777 777,77777778</w:t>
            </w:r>
          </w:p>
        </w:tc>
        <w:tc>
          <w:tcPr>
            <w:tcW w:type="dxa" w:w="2007"/>
            <w:vAlign w:val="center"/>
          </w:tcPr>
          <w:p>
            <w:r>
              <w:t>777 777,77777778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Общая эффективность оборудования (OEE)</w:t>
            </w:r>
          </w:p>
        </w:tc>
        <w:tc>
          <w:tcPr>
            <w:tcW w:type="dxa" w:w="2007"/>
            <w:vAlign w:val="center"/>
          </w:tcPr>
          <w:p>
            <w:r>
              <w:t>0,59375000</w:t>
            </w:r>
          </w:p>
        </w:tc>
        <w:tc>
          <w:tcPr>
            <w:tcW w:type="dxa" w:w="2007"/>
            <w:vAlign w:val="center"/>
          </w:tcPr>
          <w:p>
            <w:r>
              <w:t>0,59375000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Производительность оборудования</w:t>
            </w:r>
          </w:p>
        </w:tc>
        <w:tc>
          <w:tcPr>
            <w:tcW w:type="dxa" w:w="2007"/>
            <w:vAlign w:val="center"/>
          </w:tcPr>
          <w:p>
            <w:r>
              <w:t>0,97435897</w:t>
            </w:r>
          </w:p>
        </w:tc>
        <w:tc>
          <w:tcPr>
            <w:tcW w:type="dxa" w:w="2007"/>
            <w:vAlign w:val="center"/>
          </w:tcPr>
          <w:p>
            <w:r>
              <w:t>0,97435897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Коэффициент качества</w:t>
            </w:r>
          </w:p>
        </w:tc>
        <w:tc>
          <w:tcPr>
            <w:tcW w:type="dxa" w:w="2007"/>
            <w:vAlign w:val="center"/>
          </w:tcPr>
          <w:p>
            <w:r>
              <w:t>0,75000000</w:t>
            </w:r>
          </w:p>
        </w:tc>
        <w:tc>
          <w:tcPr>
            <w:tcW w:type="dxa" w:w="2007"/>
            <w:vAlign w:val="center"/>
          </w:tcPr>
          <w:p>
            <w:r>
              <w:t>0,75000000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Стоимостной показатель сырья</w:t>
            </w:r>
          </w:p>
        </w:tc>
        <w:tc>
          <w:tcPr>
            <w:tcW w:type="dxa" w:w="2007"/>
            <w:vAlign w:val="center"/>
          </w:tcPr>
          <w:p>
            <w:r>
              <w:t>2 972,13622291</w:t>
            </w:r>
          </w:p>
        </w:tc>
        <w:tc>
          <w:tcPr>
            <w:tcW w:type="dxa" w:w="2007"/>
            <w:vAlign w:val="center"/>
          </w:tcPr>
          <w:p>
            <w:r>
              <w:t>2 972,13622291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Полная эффективная производительность оборудования (TEEP)</w:t>
            </w:r>
          </w:p>
        </w:tc>
        <w:tc>
          <w:tcPr>
            <w:tcW w:type="dxa" w:w="2007"/>
            <w:vAlign w:val="center"/>
          </w:tcPr>
          <w:p>
            <w:r>
              <w:t>0,39583333</w:t>
            </w:r>
          </w:p>
        </w:tc>
        <w:tc>
          <w:tcPr>
            <w:tcW w:type="dxa" w:w="2007"/>
            <w:vAlign w:val="center"/>
          </w:tcPr>
          <w:p>
            <w:r>
              <w:t>0,39583333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Штраф TTM по параметрам задания</w:t>
            </w:r>
          </w:p>
        </w:tc>
        <w:tc>
          <w:tcPr>
            <w:tcW w:type="dxa" w:w="2007"/>
            <w:vAlign w:val="center"/>
          </w:tcPr>
          <w:p>
            <w:r>
              <w:t>0,26285941</w:t>
            </w:r>
          </w:p>
        </w:tc>
        <w:tc>
          <w:tcPr>
            <w:tcW w:type="dxa" w:w="2007"/>
            <w:vAlign w:val="center"/>
          </w:tcPr>
          <w:p>
            <w:r>
              <w:t>0,26285941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Штраф TTM по параметрам CSV</w:t>
            </w:r>
          </w:p>
        </w:tc>
        <w:tc>
          <w:tcPr>
            <w:tcW w:type="dxa" w:w="2007"/>
            <w:vAlign w:val="center"/>
          </w:tcPr>
          <w:p>
            <w:r>
              <w:t>0,28034684</w:t>
            </w:r>
          </w:p>
        </w:tc>
        <w:tc>
          <w:tcPr>
            <w:tcW w:type="dxa" w:w="2007"/>
            <w:vAlign w:val="center"/>
          </w:tcPr>
          <w:p>
            <w:r>
              <w:t>0,28034684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Общие производственные затраты</w:t>
            </w:r>
          </w:p>
        </w:tc>
        <w:tc>
          <w:tcPr>
            <w:tcW w:type="dxa" w:w="2007"/>
            <w:vAlign w:val="center"/>
          </w:tcPr>
          <w:p>
            <w:r>
              <w:t>1 188 077,77777778</w:t>
            </w:r>
          </w:p>
        </w:tc>
        <w:tc>
          <w:tcPr>
            <w:tcW w:type="dxa" w:w="2007"/>
            <w:vAlign w:val="center"/>
          </w:tcPr>
          <w:p>
            <w:r>
              <w:t>1 188 077,77777778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  <w:tr>
        <w:tc>
          <w:tcPr>
            <w:tcW w:type="dxa" w:w="2007"/>
            <w:vAlign w:val="center"/>
          </w:tcPr>
          <w:p>
            <w:r>
              <w:t>Использование календарного времени</w:t>
            </w:r>
          </w:p>
        </w:tc>
        <w:tc>
          <w:tcPr>
            <w:tcW w:type="dxa" w:w="2007"/>
            <w:vAlign w:val="center"/>
          </w:tcPr>
          <w:p>
            <w:r>
              <w:t>0,66666667</w:t>
            </w:r>
          </w:p>
        </w:tc>
        <w:tc>
          <w:tcPr>
            <w:tcW w:type="dxa" w:w="2007"/>
            <w:vAlign w:val="center"/>
          </w:tcPr>
          <w:p>
            <w:r>
              <w:t>0,66666667</w:t>
            </w:r>
          </w:p>
        </w:tc>
        <w:tc>
          <w:tcPr>
            <w:tcW w:type="dxa" w:w="2007"/>
            <w:vAlign w:val="center"/>
          </w:tcPr>
          <w:p>
            <w:r>
              <w:t>0,0000000000</w:t>
            </w:r>
          </w:p>
        </w:tc>
        <w:tc>
          <w:tcPr>
            <w:tcW w:type="dxa" w:w="2007"/>
            <w:vAlign w:val="center"/>
          </w:tcPr>
          <w:p>
            <w:r>
              <w:t>СОВПАДАЕТ</w:t>
            </w:r>
          </w:p>
        </w:tc>
      </w:tr>
    </w:tbl>
    <w:p/>
    <w:p>
      <w:pPr>
        <w:pStyle w:val="Heading1"/>
      </w:pPr>
      <w:r>
        <w:t>6. Стресс-сценарий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Базовый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Стрессовый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Абсолютное изменение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Относительное изменение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Интерпретация</w:t>
            </w:r>
          </w:p>
        </w:tc>
      </w:tr>
      <w:tr>
        <w:tc>
          <w:tcPr>
            <w:tcW w:type="dxa" w:w="1673"/>
            <w:vAlign w:val="center"/>
          </w:tcPr>
          <w:p>
            <w:r>
              <w:t>Выход годных с первого прохода (FPY)</w:t>
            </w:r>
          </w:p>
        </w:tc>
        <w:tc>
          <w:tcPr>
            <w:tcW w:type="dxa" w:w="1673"/>
            <w:vAlign w:val="center"/>
          </w:tcPr>
          <w:p>
            <w:r>
              <w:t>75,00 %</w:t>
            </w:r>
          </w:p>
        </w:tc>
        <w:tc>
          <w:tcPr>
            <w:tcW w:type="dxa" w:w="1673"/>
            <w:vAlign w:val="center"/>
          </w:tcPr>
          <w:p>
            <w:r>
              <w:t>40,00 %</w:t>
            </w:r>
          </w:p>
        </w:tc>
        <w:tc>
          <w:tcPr>
            <w:tcW w:type="dxa" w:w="1673"/>
            <w:vAlign w:val="center"/>
          </w:tcPr>
          <w:p>
            <w:r>
              <w:t>-35,00 %</w:t>
            </w:r>
          </w:p>
        </w:tc>
        <w:tc>
          <w:tcPr>
            <w:tcW w:type="dxa" w:w="1673"/>
            <w:vAlign w:val="center"/>
          </w:tcPr>
          <w:p>
            <w:r>
              <w:t>-46,67 %</w:t>
            </w:r>
          </w:p>
        </w:tc>
        <w:tc>
          <w:tcPr>
            <w:tcW w:type="dxa" w:w="1673"/>
            <w:vAlign w:val="center"/>
          </w:tcPr>
          <w:p>
            <w:r>
              <w:t>Падение FPY отражает рост переделок и потерь первого прохода.</w:t>
            </w:r>
          </w:p>
        </w:tc>
      </w:tr>
      <w:tr>
        <w:tc>
          <w:tcPr>
            <w:tcW w:type="dxa" w:w="1673"/>
            <w:vAlign w:val="center"/>
          </w:tcPr>
          <w:p>
            <w:r>
              <w:t>Общая эффективность оборудования (OEE)</w:t>
            </w:r>
          </w:p>
        </w:tc>
        <w:tc>
          <w:tcPr>
            <w:tcW w:type="dxa" w:w="1673"/>
            <w:vAlign w:val="center"/>
          </w:tcPr>
          <w:p>
            <w:r>
              <w:t>59,38 %</w:t>
            </w:r>
          </w:p>
        </w:tc>
        <w:tc>
          <w:tcPr>
            <w:tcW w:type="dxa" w:w="1673"/>
            <w:vAlign w:val="center"/>
          </w:tcPr>
          <w:p>
            <w:r>
              <w:t>31,67 %</w:t>
            </w:r>
          </w:p>
        </w:tc>
        <w:tc>
          <w:tcPr>
            <w:tcW w:type="dxa" w:w="1673"/>
            <w:vAlign w:val="center"/>
          </w:tcPr>
          <w:p>
            <w:r>
              <w:t>-27,71 %</w:t>
            </w:r>
          </w:p>
        </w:tc>
        <w:tc>
          <w:tcPr>
            <w:tcW w:type="dxa" w:w="1673"/>
            <w:vAlign w:val="center"/>
          </w:tcPr>
          <w:p>
            <w:r>
              <w:t>-46,67 %</w:t>
            </w:r>
          </w:p>
        </w:tc>
        <w:tc>
          <w:tcPr>
            <w:tcW w:type="dxa" w:w="1673"/>
            <w:vAlign w:val="center"/>
          </w:tcPr>
          <w:p>
            <w:r>
              <w:t>Снижение Quality напрямую уменьшает OEE.</w:t>
            </w:r>
          </w:p>
        </w:tc>
      </w:tr>
      <w:tr>
        <w:tc>
          <w:tcPr>
            <w:tcW w:type="dxa" w:w="1673"/>
            <w:vAlign w:val="center"/>
          </w:tcPr>
          <w:p>
            <w:r>
              <w:t>Полная эффективная производительность оборудования (TEEP)</w:t>
            </w:r>
          </w:p>
        </w:tc>
        <w:tc>
          <w:tcPr>
            <w:tcW w:type="dxa" w:w="1673"/>
            <w:vAlign w:val="center"/>
          </w:tcPr>
          <w:p>
            <w:r>
              <w:t>39,58 %</w:t>
            </w:r>
          </w:p>
        </w:tc>
        <w:tc>
          <w:tcPr>
            <w:tcW w:type="dxa" w:w="1673"/>
            <w:vAlign w:val="center"/>
          </w:tcPr>
          <w:p>
            <w:r>
              <w:t>21,11 %</w:t>
            </w:r>
          </w:p>
        </w:tc>
        <w:tc>
          <w:tcPr>
            <w:tcW w:type="dxa" w:w="1673"/>
            <w:vAlign w:val="center"/>
          </w:tcPr>
          <w:p>
            <w:r>
              <w:t>-18,47 %</w:t>
            </w:r>
          </w:p>
        </w:tc>
        <w:tc>
          <w:tcPr>
            <w:tcW w:type="dxa" w:w="1673"/>
            <w:vAlign w:val="center"/>
          </w:tcPr>
          <w:p>
            <w:r>
              <w:t>-46,67 %</w:t>
            </w:r>
          </w:p>
        </w:tc>
        <w:tc>
          <w:tcPr>
            <w:tcW w:type="dxa" w:w="1673"/>
            <w:vAlign w:val="center"/>
          </w:tcPr>
          <w:p>
            <w:r>
              <w:t>TEEP снижается вместе с OEE при неизменной календарной загрузке.</w:t>
            </w:r>
          </w:p>
        </w:tc>
      </w:tr>
      <w:tr>
        <w:tc>
          <w:tcPr>
            <w:tcW w:type="dxa" w:w="1673"/>
            <w:vAlign w:val="center"/>
          </w:tcPr>
          <w:p>
            <w:r>
              <w:t>Затраты на электроэнергию</w:t>
            </w:r>
          </w:p>
        </w:tc>
        <w:tc>
          <w:tcPr>
            <w:tcW w:type="dxa" w:w="1673"/>
            <w:vAlign w:val="center"/>
          </w:tcPr>
          <w:p>
            <w:r>
              <w:t>25 300,00</w:t>
            </w:r>
          </w:p>
        </w:tc>
        <w:tc>
          <w:tcPr>
            <w:tcW w:type="dxa" w:w="1673"/>
            <w:vAlign w:val="center"/>
          </w:tcPr>
          <w:p>
            <w:r>
              <w:t>75 900,00</w:t>
            </w:r>
          </w:p>
        </w:tc>
        <w:tc>
          <w:tcPr>
            <w:tcW w:type="dxa" w:w="1673"/>
            <w:vAlign w:val="center"/>
          </w:tcPr>
          <w:p>
            <w:r>
              <w:t>50 600,00</w:t>
            </w:r>
          </w:p>
        </w:tc>
        <w:tc>
          <w:tcPr>
            <w:tcW w:type="dxa" w:w="1673"/>
            <w:vAlign w:val="center"/>
          </w:tcPr>
          <w:p>
            <w:r>
              <w:t>200,00 %</w:t>
            </w:r>
          </w:p>
        </w:tc>
        <w:tc>
          <w:tcPr>
            <w:tcW w:type="dxa" w:w="1673"/>
            <w:vAlign w:val="center"/>
          </w:tcPr>
          <w:p>
            <w:r>
              <w:t>Трёхкратный тариф увеличивает затраты на электроэнергию.</w:t>
            </w:r>
          </w:p>
        </w:tc>
      </w:tr>
      <w:tr>
        <w:tc>
          <w:tcPr>
            <w:tcW w:type="dxa" w:w="1673"/>
            <w:vAlign w:val="center"/>
          </w:tcPr>
          <w:p>
            <w:r>
              <w:t>Экономическая ресурсоёмкость</w:t>
            </w:r>
          </w:p>
        </w:tc>
        <w:tc>
          <w:tcPr>
            <w:tcW w:type="dxa" w:w="1673"/>
            <w:vAlign w:val="center"/>
          </w:tcPr>
          <w:p>
            <w:r>
              <w:t>14 713,04</w:t>
            </w:r>
          </w:p>
        </w:tc>
        <w:tc>
          <w:tcPr>
            <w:tcW w:type="dxa" w:w="1673"/>
            <w:vAlign w:val="center"/>
          </w:tcPr>
          <w:p>
            <w:r>
              <w:t>15 339,66</w:t>
            </w:r>
          </w:p>
        </w:tc>
        <w:tc>
          <w:tcPr>
            <w:tcW w:type="dxa" w:w="1673"/>
            <w:vAlign w:val="center"/>
          </w:tcPr>
          <w:p>
            <w:r>
              <w:t>626,63</w:t>
            </w:r>
          </w:p>
        </w:tc>
        <w:tc>
          <w:tcPr>
            <w:tcW w:type="dxa" w:w="1673"/>
            <w:vAlign w:val="center"/>
          </w:tcPr>
          <w:p>
            <w:r>
              <w:t>4,26 %</w:t>
            </w:r>
          </w:p>
        </w:tc>
        <w:tc>
          <w:tcPr>
            <w:tcW w:type="dxa" w:w="1673"/>
            <w:vAlign w:val="center"/>
          </w:tcPr>
          <w:p>
            <w:r>
              <w:t>Рост затрат увеличивает стоимость ресурсов на литр годной продукции.</w:t>
            </w:r>
          </w:p>
        </w:tc>
      </w:tr>
      <w:tr>
        <w:tc>
          <w:tcPr>
            <w:tcW w:type="dxa" w:w="1673"/>
            <w:vAlign w:val="center"/>
          </w:tcPr>
          <w:p>
            <w:r>
              <w:t>Себестоимость единицы продукции (CPU)</w:t>
            </w:r>
          </w:p>
        </w:tc>
        <w:tc>
          <w:tcPr>
            <w:tcW w:type="dxa" w:w="1673"/>
            <w:vAlign w:val="center"/>
          </w:tcPr>
          <w:p>
            <w:r>
              <w:t>14 713,04</w:t>
            </w:r>
          </w:p>
        </w:tc>
        <w:tc>
          <w:tcPr>
            <w:tcW w:type="dxa" w:w="1673"/>
            <w:vAlign w:val="center"/>
          </w:tcPr>
          <w:p>
            <w:r>
              <w:t>15 339,66</w:t>
            </w:r>
          </w:p>
        </w:tc>
        <w:tc>
          <w:tcPr>
            <w:tcW w:type="dxa" w:w="1673"/>
            <w:vAlign w:val="center"/>
          </w:tcPr>
          <w:p>
            <w:r>
              <w:t>626,63</w:t>
            </w:r>
          </w:p>
        </w:tc>
        <w:tc>
          <w:tcPr>
            <w:tcW w:type="dxa" w:w="1673"/>
            <w:vAlign w:val="center"/>
          </w:tcPr>
          <w:p>
            <w:r>
              <w:t>4,26 %</w:t>
            </w:r>
          </w:p>
        </w:tc>
        <w:tc>
          <w:tcPr>
            <w:tcW w:type="dxa" w:w="1673"/>
            <w:vAlign w:val="center"/>
          </w:tcPr>
          <w:p>
            <w:r>
              <w:t>Рост полной стоимости повышает себестоимость итогового годного литра.</w:t>
            </w:r>
          </w:p>
        </w:tc>
      </w:tr>
      <w:tr>
        <w:tc>
          <w:tcPr>
            <w:tcW w:type="dxa" w:w="1673"/>
            <w:vAlign w:val="center"/>
          </w:tcPr>
          <w:p>
            <w:r>
              <w:t>Штраф за задержку вывода на рынок (TTM)</w:t>
            </w:r>
          </w:p>
        </w:tc>
        <w:tc>
          <w:tcPr>
            <w:tcW w:type="dxa" w:w="1673"/>
            <w:vAlign w:val="center"/>
          </w:tcPr>
          <w:p>
            <w:r>
              <w:t>0,00 %</w:t>
            </w:r>
          </w:p>
        </w:tc>
        <w:tc>
          <w:tcPr>
            <w:tcW w:type="dxa" w:w="1673"/>
            <w:vAlign w:val="center"/>
          </w:tcPr>
          <w:p>
            <w:r>
              <w:t>26,29 %</w:t>
            </w:r>
          </w:p>
        </w:tc>
        <w:tc>
          <w:tcPr>
            <w:tcW w:type="dxa" w:w="1673"/>
            <w:vAlign w:val="center"/>
          </w:tcPr>
          <w:p>
            <w:r>
              <w:t>26,29 %</w:t>
            </w:r>
          </w:p>
        </w:tc>
        <w:tc>
          <w:tcPr>
            <w:tcW w:type="dxa" w:w="1673"/>
            <w:vAlign w:val="center"/>
          </w:tcPr>
          <w:p>
            <w:r>
              <w:t>Не определяется</w:t>
            </w:r>
          </w:p>
        </w:tc>
        <w:tc>
          <w:tcPr>
            <w:tcW w:type="dxa" w:w="1673"/>
            <w:vAlign w:val="center"/>
          </w:tcPr>
          <w:p>
            <w:r>
              <w:t>Задержка одновременно дисконтирует деньги, снижает цену и сокращает рынок.</w:t>
            </w:r>
          </w:p>
        </w:tc>
      </w:tr>
    </w:tbl>
    <w:p/>
    <w:p>
      <w:pPr>
        <w:pStyle w:val="Heading1"/>
      </w:pPr>
      <w:r>
        <w:t>7. Время вывода на рынок (TTM)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Ставка дисконтирования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Ценовая эрозия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Горизонт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Задержка</w:t>
            </w:r>
          </w:p>
        </w:tc>
        <w:tc>
          <w:tcPr>
            <w:tcW w:type="dxa" w:w="1673"/>
            <w:vAlign w:val="center"/>
            <w:shd w:fill="1F4E78"/>
          </w:tcPr>
          <w:p>
            <w:r>
              <w:rPr>
                <w:b/>
                <w:color w:val="FFFFFF"/>
              </w:rPr>
              <w:t>Штраф TTM</w:t>
            </w:r>
          </w:p>
        </w:tc>
      </w:tr>
      <w:tr>
        <w:tc>
          <w:tcPr>
            <w:tcW w:type="dxa" w:w="1673"/>
            <w:vAlign w:val="center"/>
          </w:tcPr>
          <w:p>
            <w:r>
              <w:t>Параметры задания</w:t>
            </w:r>
          </w:p>
        </w:tc>
        <w:tc>
          <w:tcPr>
            <w:tcW w:type="dxa" w:w="1673"/>
            <w:vAlign w:val="center"/>
          </w:tcPr>
          <w:p>
            <w:r>
              <w:t>10,00 %</w:t>
            </w:r>
          </w:p>
        </w:tc>
        <w:tc>
          <w:tcPr>
            <w:tcW w:type="dxa" w:w="1673"/>
            <w:vAlign w:val="center"/>
          </w:tcPr>
          <w:p>
            <w:r>
              <w:t>15,00 %</w:t>
            </w:r>
          </w:p>
        </w:tc>
        <w:tc>
          <w:tcPr>
            <w:tcW w:type="dxa" w:w="1673"/>
            <w:vAlign w:val="center"/>
          </w:tcPr>
          <w:p>
            <w:r>
              <w:t>3 года</w:t>
            </w:r>
          </w:p>
        </w:tc>
        <w:tc>
          <w:tcPr>
            <w:tcW w:type="dxa" w:w="1673"/>
            <w:vAlign w:val="center"/>
          </w:tcPr>
          <w:p>
            <w:r>
              <w:t>0,5 года</w:t>
            </w:r>
          </w:p>
        </w:tc>
        <w:tc>
          <w:tcPr>
            <w:tcW w:type="dxa" w:w="1673"/>
            <w:vAlign w:val="center"/>
          </w:tcPr>
          <w:p>
            <w:r>
              <w:t>26,2859 %</w:t>
            </w:r>
          </w:p>
        </w:tc>
      </w:tr>
      <w:tr>
        <w:tc>
          <w:tcPr>
            <w:tcW w:type="dxa" w:w="1673"/>
            <w:vAlign w:val="center"/>
          </w:tcPr>
          <w:p>
            <w:r>
              <w:t>Параметры CSV</w:t>
            </w:r>
          </w:p>
        </w:tc>
        <w:tc>
          <w:tcPr>
            <w:tcW w:type="dxa" w:w="1673"/>
            <w:vAlign w:val="center"/>
          </w:tcPr>
          <w:p>
            <w:r>
              <w:t>12,00 %</w:t>
            </w:r>
          </w:p>
        </w:tc>
        <w:tc>
          <w:tcPr>
            <w:tcW w:type="dxa" w:w="1673"/>
            <w:vAlign w:val="center"/>
          </w:tcPr>
          <w:p>
            <w:r>
              <w:t>18,00 %</w:t>
            </w:r>
          </w:p>
        </w:tc>
        <w:tc>
          <w:tcPr>
            <w:tcW w:type="dxa" w:w="1673"/>
            <w:vAlign w:val="center"/>
          </w:tcPr>
          <w:p>
            <w:r>
              <w:t>3 года</w:t>
            </w:r>
          </w:p>
        </w:tc>
        <w:tc>
          <w:tcPr>
            <w:tcW w:type="dxa" w:w="1673"/>
            <w:vAlign w:val="center"/>
          </w:tcPr>
          <w:p>
            <w:r>
              <w:t>0,5 года</w:t>
            </w:r>
          </w:p>
        </w:tc>
        <w:tc>
          <w:tcPr>
            <w:tcW w:type="dxa" w:w="1673"/>
            <w:vAlign w:val="center"/>
          </w:tcPr>
          <w:p>
            <w:r>
              <w:t>28,0347 %</w:t>
            </w:r>
          </w:p>
        </w:tc>
      </w:tr>
      <w:tr>
        <w:tc>
          <w:tcPr>
            <w:tcW w:type="dxa" w:w="1673"/>
            <w:vAlign w:val="center"/>
          </w:tcPr>
          <w:p>
            <w:r>
              <w:t>Стресс относительно базового сравнения</w:t>
            </w:r>
          </w:p>
        </w:tc>
        <w:tc>
          <w:tcPr>
            <w:tcW w:type="dxa" w:w="1673"/>
            <w:vAlign w:val="center"/>
          </w:tcPr>
          <w:p>
            <w:r>
              <w:t>10,00 %</w:t>
            </w:r>
          </w:p>
        </w:tc>
        <w:tc>
          <w:tcPr>
            <w:tcW w:type="dxa" w:w="1673"/>
            <w:vAlign w:val="center"/>
          </w:tcPr>
          <w:p>
            <w:r>
              <w:t>15,00 %</w:t>
            </w:r>
          </w:p>
        </w:tc>
        <w:tc>
          <w:tcPr>
            <w:tcW w:type="dxa" w:w="1673"/>
            <w:vAlign w:val="center"/>
          </w:tcPr>
          <w:p>
            <w:r>
              <w:t>3 года</w:t>
            </w:r>
          </w:p>
        </w:tc>
        <w:tc>
          <w:tcPr>
            <w:tcW w:type="dxa" w:w="1673"/>
            <w:vAlign w:val="center"/>
          </w:tcPr>
          <w:p>
            <w:r>
              <w:t>0,5 года</w:t>
            </w:r>
          </w:p>
        </w:tc>
        <w:tc>
          <w:tcPr>
            <w:tcW w:type="dxa" w:w="1673"/>
            <w:vAlign w:val="center"/>
          </w:tcPr>
          <w:p>
            <w:r>
              <w:t>26,2859 %</w:t>
            </w:r>
          </w:p>
        </w:tc>
      </w:tr>
    </w:tbl>
    <w:p/>
    <w:p>
      <w:r>
        <w:t>Штраф TTM по параметрам задания составляет 26,2859 %. Он учитывает дисконтирование, ценовую эрозию и сокращение доступного рыночного горизонта.</w:t>
      </w:r>
    </w:p>
    <w:p>
      <w:pPr>
        <w:pStyle w:val="Heading1"/>
      </w:pPr>
      <w:r>
        <w:t>8. Графики</w:t>
      </w:r>
    </w:p>
    <w:p>
      <w:pPr>
        <w:pStyle w:val="Heading2"/>
      </w:pPr>
      <w:r>
        <w:t>8.1. Структура OPEX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72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x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Структура операционных расходов высокотехнологичного производства</w:t>
      </w:r>
    </w:p>
    <w:p>
      <w:pPr>
        <w:pStyle w:val="Heading2"/>
      </w:pPr>
      <w:r>
        <w:t>8.2. Сравнение эффективности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94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равнение_эффективност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FPY, OEE и TEEP в базовом и стрессовом сценариях</w:t>
      </w:r>
    </w:p>
    <w:p>
      <w:pPr>
        <w:pStyle w:val="Heading1"/>
      </w:pPr>
      <w:r>
        <w:t>9. Допущения и качество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F4E78"/>
          </w:tcPr>
          <w:p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2509"/>
            <w:vAlign w:val="center"/>
            <w:shd w:fill="1F4E78"/>
          </w:tcPr>
          <w:p>
            <w:r>
              <w:rPr>
                <w:b/>
                <w:color w:val="FFFFFF"/>
              </w:rPr>
              <w:t>Допущение</w:t>
            </w:r>
          </w:p>
        </w:tc>
        <w:tc>
          <w:tcPr>
            <w:tcW w:type="dxa" w:w="2509"/>
            <w:vAlign w:val="center"/>
            <w:shd w:fill="1F4E78"/>
          </w:tcPr>
          <w:p>
            <w:r>
              <w:rPr>
                <w:b/>
                <w:color w:val="FFFFFF"/>
              </w:rPr>
              <w:t>Обоснование</w:t>
            </w:r>
          </w:p>
        </w:tc>
        <w:tc>
          <w:tcPr>
            <w:tcW w:type="dxa" w:w="2509"/>
            <w:vAlign w:val="center"/>
            <w:shd w:fill="1F4E78"/>
          </w:tcPr>
          <w:p>
            <w:r>
              <w:rPr>
                <w:b/>
                <w:color w:val="FFFFFF"/>
              </w:rPr>
              <w:t>Влияние</w:t>
            </w:r>
          </w:p>
        </w:tc>
      </w:tr>
      <w:tr>
        <w:tc>
          <w:tcPr>
            <w:tcW w:type="dxa" w:w="2509"/>
            <w:vAlign w:val="center"/>
          </w:tcPr>
          <w:p>
            <w:r>
              <w:t>A01</w:t>
            </w:r>
          </w:p>
        </w:tc>
        <w:tc>
          <w:tcPr>
            <w:tcW w:type="dxa" w:w="2509"/>
            <w:vAlign w:val="center"/>
          </w:tcPr>
          <w:p>
            <w:r>
              <w:t>Расчётный период — один месяц</w:t>
            </w:r>
          </w:p>
        </w:tc>
        <w:tc>
          <w:tcPr>
            <w:tcW w:type="dxa" w:w="2509"/>
            <w:vAlign w:val="center"/>
          </w:tcPr>
          <w:p>
            <w:r>
              <w:t>720 часов = 30 × 24</w:t>
            </w:r>
          </w:p>
        </w:tc>
        <w:tc>
          <w:tcPr>
            <w:tcW w:type="dxa" w:w="2509"/>
            <w:vAlign w:val="center"/>
          </w:tcPr>
          <w:p>
            <w:r>
              <w:t>Ежемесячная амортизация</w:t>
            </w:r>
          </w:p>
        </w:tc>
      </w:tr>
      <w:tr>
        <w:tc>
          <w:tcPr>
            <w:tcW w:type="dxa" w:w="2509"/>
            <w:vAlign w:val="center"/>
          </w:tcPr>
          <w:p>
            <w:r>
              <w:t>A02</w:t>
            </w:r>
          </w:p>
        </w:tc>
        <w:tc>
          <w:tcPr>
            <w:tcW w:type="dxa" w:w="2509"/>
            <w:vAlign w:val="center"/>
          </w:tcPr>
          <w:p>
            <w:r>
              <w:t>Нормативное время цикла получено из плана</w:t>
            </w:r>
          </w:p>
        </w:tc>
        <w:tc>
          <w:tcPr>
            <w:tcW w:type="dxa" w:w="2509"/>
            <w:vAlign w:val="center"/>
          </w:tcPr>
          <w:p>
            <w:r>
              <w:t>Отдельного поля нет</w:t>
            </w:r>
          </w:p>
        </w:tc>
        <w:tc>
          <w:tcPr>
            <w:tcW w:type="dxa" w:w="2509"/>
            <w:vAlign w:val="center"/>
          </w:tcPr>
          <w:p>
            <w:r>
              <w:t>Производительность и OEE</w:t>
            </w:r>
          </w:p>
        </w:tc>
      </w:tr>
      <w:tr>
        <w:tc>
          <w:tcPr>
            <w:tcW w:type="dxa" w:w="2509"/>
            <w:vAlign w:val="center"/>
          </w:tcPr>
          <w:p>
            <w:r>
              <w:t>A03</w:t>
            </w:r>
          </w:p>
        </w:tc>
        <w:tc>
          <w:tcPr>
            <w:tcW w:type="dxa" w:w="2509"/>
            <w:vAlign w:val="center"/>
          </w:tcPr>
          <w:p>
            <w:r>
              <w:t>В знаменателе CPU используется итоговый годный объём</w:t>
            </w:r>
          </w:p>
        </w:tc>
        <w:tc>
          <w:tcPr>
            <w:tcW w:type="dxa" w:w="2509"/>
            <w:vAlign w:val="center"/>
          </w:tcPr>
          <w:p>
            <w:r>
              <w:t>Это объём после итогового контроля</w:t>
            </w:r>
          </w:p>
        </w:tc>
        <w:tc>
          <w:tcPr>
            <w:tcW w:type="dxa" w:w="2509"/>
            <w:vAlign w:val="center"/>
          </w:tcPr>
          <w:p>
            <w:r>
              <w:t>CPU и ресурсоёмкость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Проблема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Критичность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Влияние</w:t>
            </w:r>
          </w:p>
        </w:tc>
        <w:tc>
          <w:tcPr>
            <w:tcW w:type="dxa" w:w="2007"/>
            <w:vAlign w:val="center"/>
            <w:shd w:fill="1F4E78"/>
          </w:tcPr>
          <w:p>
            <w:r>
              <w:rPr>
                <w:b/>
                <w:color w:val="FFFFFF"/>
              </w:rPr>
              <w:t>Действие</w:t>
            </w:r>
          </w:p>
        </w:tc>
      </w:tr>
      <w:tr>
        <w:tc>
          <w:tcPr>
            <w:tcW w:type="dxa" w:w="2007"/>
            <w:vAlign w:val="center"/>
          </w:tcPr>
          <w:p>
            <w:r>
              <w:t>Отсутствует масса сырья</w:t>
            </w:r>
          </w:p>
        </w:tc>
        <w:tc>
          <w:tcPr>
            <w:tcW w:type="dxa" w:w="2007"/>
            <w:vAlign w:val="center"/>
          </w:tcPr>
          <w:p>
            <w:r>
              <w:t>Raw_Material_Mass_kg</w:t>
            </w:r>
          </w:p>
        </w:tc>
        <w:tc>
          <w:tcPr>
            <w:tcW w:type="dxa" w:w="2007"/>
            <w:vAlign w:val="center"/>
          </w:tcPr>
          <w:p>
            <w:r>
              <w:t>ВЫСОКАЯ</w:t>
            </w:r>
          </w:p>
        </w:tc>
        <w:tc>
          <w:tcPr>
            <w:tcW w:type="dxa" w:w="2007"/>
            <w:vAlign w:val="center"/>
          </w:tcPr>
          <w:p>
            <w:r>
              <w:t>Массовая ресурсоёмкость не рассчитывается</w:t>
            </w:r>
          </w:p>
        </w:tc>
        <w:tc>
          <w:tcPr>
            <w:tcW w:type="dxa" w:w="2007"/>
            <w:vAlign w:val="center"/>
          </w:tcPr>
          <w:p>
            <w:r>
              <w:t>Добавить массу сырья в килограммах</w:t>
            </w:r>
          </w:p>
        </w:tc>
      </w:tr>
      <w:tr>
        <w:tc>
          <w:tcPr>
            <w:tcW w:type="dxa" w:w="2007"/>
            <w:vAlign w:val="center"/>
          </w:tcPr>
          <w:p>
            <w:r>
              <w:t>Параметры TTM расходятся</w:t>
            </w:r>
          </w:p>
        </w:tc>
        <w:tc>
          <w:tcPr>
            <w:tcW w:type="dxa" w:w="2007"/>
            <w:vAlign w:val="center"/>
          </w:tcPr>
          <w:p>
            <w:r>
              <w:t>Discount_Rate; Price_Erosion_Rate</w:t>
            </w:r>
          </w:p>
        </w:tc>
        <w:tc>
          <w:tcPr>
            <w:tcW w:type="dxa" w:w="2007"/>
            <w:vAlign w:val="center"/>
          </w:tcPr>
          <w:p>
            <w:r>
              <w:t>СРЕДНЯЯ</w:t>
            </w:r>
          </w:p>
        </w:tc>
        <w:tc>
          <w:tcPr>
            <w:tcW w:type="dxa" w:w="2007"/>
            <w:vAlign w:val="center"/>
          </w:tcPr>
          <w:p>
            <w:r>
              <w:t>Получаются разные штрафы</w:t>
            </w:r>
          </w:p>
        </w:tc>
        <w:tc>
          <w:tcPr>
            <w:tcW w:type="dxa" w:w="2007"/>
            <w:vAlign w:val="center"/>
          </w:tcPr>
          <w:p>
            <w:r>
              <w:t>Показывать сценарии отдельно</w:t>
            </w:r>
          </w:p>
        </w:tc>
      </w:tr>
      <w:tr>
        <w:tc>
          <w:tcPr>
            <w:tcW w:type="dxa" w:w="2007"/>
            <w:vAlign w:val="center"/>
          </w:tcPr>
          <w:p>
            <w:r>
              <w:t>Задержка пилотного сценария отличается от базового сравнения</w:t>
            </w:r>
          </w:p>
        </w:tc>
        <w:tc>
          <w:tcPr>
            <w:tcW w:type="dxa" w:w="2007"/>
            <w:vAlign w:val="center"/>
          </w:tcPr>
          <w:p>
            <w:r>
              <w:t>Delay_Years</w:t>
            </w:r>
          </w:p>
        </w:tc>
        <w:tc>
          <w:tcPr>
            <w:tcW w:type="dxa" w:w="2007"/>
            <w:vAlign w:val="center"/>
          </w:tcPr>
          <w:p>
            <w:r>
              <w:t>СРЕДНЯЯ</w:t>
            </w:r>
          </w:p>
        </w:tc>
        <w:tc>
          <w:tcPr>
            <w:tcW w:type="dxa" w:w="2007"/>
            <w:vAlign w:val="center"/>
          </w:tcPr>
          <w:p>
            <w:r>
              <w:t>Пилот не является сценарием без задержки</w:t>
            </w:r>
          </w:p>
        </w:tc>
        <w:tc>
          <w:tcPr>
            <w:tcW w:type="dxa" w:w="2007"/>
            <w:vAlign w:val="center"/>
          </w:tcPr>
          <w:p>
            <w:r>
              <w:t>Использовать сравнительный CSV</w:t>
            </w:r>
          </w:p>
        </w:tc>
      </w:tr>
    </w:tbl>
    <w:p/>
    <w:p>
      <w:pPr>
        <w:pStyle w:val="Heading1"/>
      </w:pPr>
      <w:r>
        <w:t>10. Выводы</w:t>
      </w:r>
    </w:p>
    <w:p>
      <w:r>
        <w:t>Главным ограничивающим фактором OEE является качество (FPY). В базовом сценарии FPY равен 75,00 %, OEE — 59,38 %, а TEEP — 39,58 %.</w:t>
      </w:r>
    </w:p>
    <w:p>
      <w:r>
        <w:t>В стрессовом сценарии FPY снижается до 40,00 %, OEE — до 31,67 %, TEEP — до 21,11 %.</w:t>
      </w:r>
    </w:p>
    <w:p>
      <w:r>
        <w:t>Трёхкратное повышение тарифа увеличивает затраты на электроэнергию на 50 600,00 долл. США и повышает CPU на 626,63 долл. США/л. Массовая ресурсоёмкость не рассчитывается до появления физического параметра массы сырья.</w:t>
      </w:r>
    </w:p>
    <w:sectPr w:rsidR="00FC693F" w:rsidRPr="0006063C" w:rsidSect="00034616">
      <w:pgSz w:w="11906" w:h="16838"/>
      <w:pgMar w:top="1020" w:right="85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