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Do you use SQL and free format RPG independently but haven't really put the two together yet? If so then this article is for you.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Executing SQL statements in free format RPG may be a lot easier than you think. Doing so can streamline and speed up your legacy code.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Example of a simple select (to conditionally retrieve a field):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c/free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//comment - get employee by company and last 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 exec sql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 select empno into :wkempno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    from datalib/empf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 where empco# = '100'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   (lastnam = 'LeMaster' or lastnam = 'Lemaster');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/end-free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Example two: Reading through a file using fetch cursor in free format should look something like this: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c//declare cursor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c/exec sql declare Cursor1 cursor 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c+   (select empno as myemp#, count(*) as mycount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c+     from myfile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c+     group empno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c+     order by empno)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c/end-exec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c//open cursor 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c/exec sql open Cursor1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c/end-exec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c/free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  dow sqlcod = *zero;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/end-free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//fetch records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c/exec sql fetch Cursor1 into recno;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c/end-exec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/free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   if sqlcod &lt;&gt; *zero;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     iter;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   endif;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//file processing statements added here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   enddo;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/end-free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//close cursor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c/exec sql close Cursor1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4e13"/>
          <w:rtl w:val="0"/>
        </w:rPr>
        <w:t xml:space="preserve">c/end-exec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 New" w:cs="Courier New" w:eastAsia="Courier New" w:hAnsi="Courier New"/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Conclusion: one should not avoid using SQL code in free format RPG IV as doing so can improve the efficiency of legacy programs.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