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36D5" w14:textId="77777777" w:rsidR="00010363" w:rsidRDefault="00010363">
      <w:pPr>
        <w:spacing w:after="0" w:line="240" w:lineRule="auto"/>
        <w:jc w:val="both"/>
        <w:rPr>
          <w:rFonts w:ascii="Titillium" w:eastAsia="Calibri" w:hAnsi="Titillium"/>
        </w:rPr>
      </w:pPr>
    </w:p>
    <w:p w14:paraId="3B644805" w14:textId="77777777" w:rsidR="00010363" w:rsidRDefault="00010363">
      <w:pPr>
        <w:spacing w:after="0" w:line="240" w:lineRule="auto"/>
        <w:jc w:val="both"/>
        <w:rPr>
          <w:rFonts w:ascii="Titillium" w:eastAsia="Calibri" w:hAnsi="Titillium"/>
        </w:rPr>
      </w:pPr>
    </w:p>
    <w:p w14:paraId="112BBBF7" w14:textId="77777777" w:rsidR="00010363" w:rsidRDefault="00000000">
      <w:pPr>
        <w:spacing w:after="0" w:line="240" w:lineRule="auto"/>
        <w:jc w:val="center"/>
        <w:rPr>
          <w:rFonts w:ascii="Titillium" w:eastAsia="Calibri" w:hAnsi="Titillium"/>
        </w:rPr>
      </w:pPr>
      <w:r>
        <w:rPr>
          <w:noProof/>
        </w:rPr>
        <w:drawing>
          <wp:inline distT="0" distB="0" distL="0" distR="0" wp14:anchorId="26AAFEA3" wp14:editId="08F780EB">
            <wp:extent cx="5086350" cy="2466975"/>
            <wp:effectExtent l="0" t="0" r="0" b="0"/>
            <wp:docPr id="1" name="Obraz 11" descr="agh_nzw_s_pl_1w_wbr_rgb_150p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1" descr="agh_nzw_s_pl_1w_wbr_rgb_150pp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A588" w14:textId="77777777" w:rsidR="00010363" w:rsidRDefault="00000000">
      <w:pPr>
        <w:spacing w:before="120" w:after="120" w:line="240" w:lineRule="auto"/>
        <w:jc w:val="center"/>
        <w:rPr>
          <w:rFonts w:ascii="Titillium" w:eastAsia="Calibri" w:hAnsi="Titillium"/>
          <w:b/>
        </w:rPr>
      </w:pPr>
      <w:r>
        <w:rPr>
          <w:rFonts w:ascii="Titillium" w:eastAsia="Calibri" w:hAnsi="Titillium"/>
          <w:b/>
        </w:rPr>
        <w:t>Wydział Zarządzania</w:t>
      </w:r>
    </w:p>
    <w:p w14:paraId="26993217" w14:textId="0FD07977" w:rsidR="00010363" w:rsidRDefault="00000000">
      <w:pPr>
        <w:spacing w:before="240" w:after="0" w:line="240" w:lineRule="auto"/>
        <w:jc w:val="center"/>
        <w:rPr>
          <w:rFonts w:ascii="Titillium" w:eastAsia="Calibri" w:hAnsi="Titillium"/>
        </w:rPr>
      </w:pPr>
      <w:r>
        <w:rPr>
          <w:rFonts w:ascii="Titillium" w:eastAsia="Calibri" w:hAnsi="Titillium"/>
        </w:rPr>
        <w:t xml:space="preserve">Katedra </w:t>
      </w:r>
      <w:r w:rsidR="00EF4CEF">
        <w:rPr>
          <w:rFonts w:ascii="Titillium" w:eastAsia="Calibri" w:hAnsi="Titillium"/>
        </w:rPr>
        <w:t>Informatyki Biznesowej i Inżynierii Zarządzania</w:t>
      </w:r>
    </w:p>
    <w:p w14:paraId="5E237478" w14:textId="77777777" w:rsidR="00010363" w:rsidRDefault="00010363">
      <w:pPr>
        <w:spacing w:after="0" w:line="240" w:lineRule="auto"/>
        <w:rPr>
          <w:rFonts w:ascii="Titillium" w:eastAsia="Calibri" w:hAnsi="Titillium"/>
        </w:rPr>
      </w:pPr>
    </w:p>
    <w:p w14:paraId="113810D0" w14:textId="77777777" w:rsidR="00010363" w:rsidRDefault="00010363">
      <w:pPr>
        <w:spacing w:after="0" w:line="240" w:lineRule="auto"/>
        <w:rPr>
          <w:rFonts w:ascii="Titillium" w:eastAsia="Calibri" w:hAnsi="Titillium"/>
        </w:rPr>
      </w:pPr>
    </w:p>
    <w:p w14:paraId="2EE9C0A6" w14:textId="77777777" w:rsidR="00010363" w:rsidRDefault="00000000">
      <w:pPr>
        <w:spacing w:before="120" w:after="0" w:line="240" w:lineRule="auto"/>
        <w:jc w:val="center"/>
        <w:rPr>
          <w:rFonts w:ascii="Titillium" w:eastAsia="Calibri" w:hAnsi="Titillium"/>
          <w:sz w:val="36"/>
        </w:rPr>
      </w:pPr>
      <w:r>
        <w:rPr>
          <w:rFonts w:ascii="Titillium" w:eastAsia="Calibri" w:hAnsi="Titillium"/>
          <w:sz w:val="36"/>
        </w:rPr>
        <w:t>Praca dyplomowa</w:t>
      </w:r>
    </w:p>
    <w:p w14:paraId="589065E9" w14:textId="5C62F73E" w:rsidR="00010363" w:rsidRDefault="00EF4CEF">
      <w:pPr>
        <w:spacing w:before="120" w:after="0" w:line="240" w:lineRule="auto"/>
        <w:jc w:val="center"/>
        <w:rPr>
          <w:rFonts w:ascii="Titillium" w:eastAsia="Calibri" w:hAnsi="Titillium"/>
          <w:szCs w:val="24"/>
        </w:rPr>
      </w:pPr>
      <w:r>
        <w:rPr>
          <w:rFonts w:ascii="Titillium" w:eastAsia="Calibri" w:hAnsi="Titillium"/>
          <w:szCs w:val="24"/>
        </w:rPr>
        <w:t>Licencjacka</w:t>
      </w:r>
    </w:p>
    <w:p w14:paraId="36A29208" w14:textId="77777777" w:rsidR="00010363" w:rsidRDefault="00010363">
      <w:pPr>
        <w:spacing w:before="200" w:after="0" w:line="240" w:lineRule="auto"/>
        <w:jc w:val="center"/>
        <w:rPr>
          <w:rFonts w:ascii="Titillium" w:eastAsia="Calibri" w:hAnsi="Titillium"/>
          <w:b/>
        </w:rPr>
      </w:pPr>
    </w:p>
    <w:p w14:paraId="15C91673" w14:textId="3F4E528D" w:rsidR="00010363" w:rsidRDefault="00B813D5">
      <w:pPr>
        <w:spacing w:after="0" w:line="240" w:lineRule="auto"/>
        <w:jc w:val="center"/>
        <w:rPr>
          <w:rFonts w:ascii="Titillium" w:eastAsia="Calibri" w:hAnsi="Titillium"/>
          <w:i/>
          <w:sz w:val="32"/>
          <w:szCs w:val="36"/>
        </w:rPr>
      </w:pPr>
      <w:r w:rsidRPr="00B813D5">
        <w:rPr>
          <w:rFonts w:ascii="Titillium" w:eastAsia="Calibri" w:hAnsi="Titillium"/>
          <w:i/>
          <w:sz w:val="32"/>
          <w:szCs w:val="36"/>
        </w:rPr>
        <w:t>Symulator grup fokusowych z użyciem agentów AI</w:t>
      </w:r>
      <w:r>
        <w:rPr>
          <w:rFonts w:ascii="Titillium" w:eastAsia="Calibri" w:hAnsi="Titillium"/>
          <w:i/>
          <w:sz w:val="32"/>
          <w:szCs w:val="36"/>
        </w:rPr>
        <w:t xml:space="preserve"> </w:t>
      </w:r>
    </w:p>
    <w:p w14:paraId="72361908" w14:textId="77777777" w:rsidR="00EF4CEF" w:rsidRDefault="00EF4CEF">
      <w:pPr>
        <w:spacing w:after="0" w:line="240" w:lineRule="auto"/>
        <w:jc w:val="center"/>
        <w:rPr>
          <w:rFonts w:ascii="Titillium" w:eastAsia="Calibri" w:hAnsi="Titillium"/>
          <w:i/>
          <w:sz w:val="32"/>
          <w:szCs w:val="36"/>
        </w:rPr>
      </w:pPr>
    </w:p>
    <w:p w14:paraId="5E6EEF93" w14:textId="2E7DF637" w:rsidR="00010363" w:rsidRPr="00EF4CEF" w:rsidRDefault="008B3C6C">
      <w:pPr>
        <w:spacing w:after="0" w:line="240" w:lineRule="auto"/>
        <w:jc w:val="center"/>
        <w:rPr>
          <w:rFonts w:ascii="Titillium" w:eastAsia="Calibri" w:hAnsi="Titillium"/>
          <w:i/>
          <w:sz w:val="32"/>
          <w:szCs w:val="36"/>
          <w:lang w:val="en-GB"/>
        </w:rPr>
      </w:pPr>
      <w:r w:rsidRPr="008B3C6C">
        <w:rPr>
          <w:rFonts w:ascii="Titillium" w:eastAsia="Calibri" w:hAnsi="Titillium"/>
          <w:i/>
          <w:sz w:val="32"/>
          <w:szCs w:val="36"/>
        </w:rPr>
        <w:t>Focus Group Simulator Using AI Agents</w:t>
      </w:r>
    </w:p>
    <w:p w14:paraId="60E9C446" w14:textId="77777777" w:rsidR="00010363" w:rsidRPr="00EF4CEF" w:rsidRDefault="00010363">
      <w:pPr>
        <w:spacing w:after="0" w:line="240" w:lineRule="auto"/>
        <w:rPr>
          <w:rFonts w:ascii="Titillium" w:eastAsia="Calibri" w:hAnsi="Titillium"/>
          <w:lang w:val="en-GB"/>
        </w:rPr>
      </w:pPr>
    </w:p>
    <w:p w14:paraId="031BA486" w14:textId="77777777" w:rsidR="00010363" w:rsidRPr="00EF4CEF" w:rsidRDefault="00010363">
      <w:pPr>
        <w:spacing w:after="0" w:line="240" w:lineRule="auto"/>
        <w:rPr>
          <w:rFonts w:ascii="Titillium" w:eastAsia="Calibri" w:hAnsi="Titillium"/>
          <w:lang w:val="en-GB"/>
        </w:rPr>
      </w:pPr>
    </w:p>
    <w:p w14:paraId="56835C28" w14:textId="77777777" w:rsidR="00010363" w:rsidRPr="00EF4CEF" w:rsidRDefault="00010363">
      <w:pPr>
        <w:spacing w:after="0" w:line="240" w:lineRule="auto"/>
        <w:rPr>
          <w:rFonts w:ascii="Titillium" w:eastAsia="Calibri" w:hAnsi="Titillium"/>
          <w:lang w:val="en-GB"/>
        </w:rPr>
      </w:pPr>
    </w:p>
    <w:p w14:paraId="08733C36" w14:textId="77777777" w:rsidR="00010363" w:rsidRPr="00EF4CEF" w:rsidRDefault="00010363">
      <w:pPr>
        <w:spacing w:after="0" w:line="240" w:lineRule="auto"/>
        <w:rPr>
          <w:rFonts w:ascii="Titillium" w:eastAsia="Calibri" w:hAnsi="Titillium"/>
          <w:lang w:val="en-GB"/>
        </w:rPr>
      </w:pPr>
    </w:p>
    <w:p w14:paraId="47D98748" w14:textId="77777777" w:rsidR="00010363" w:rsidRPr="00EF4CEF" w:rsidRDefault="00010363">
      <w:pPr>
        <w:spacing w:after="0" w:line="240" w:lineRule="auto"/>
        <w:rPr>
          <w:rFonts w:ascii="Titillium" w:eastAsia="Calibri" w:hAnsi="Titillium"/>
          <w:lang w:val="en-GB"/>
        </w:rPr>
      </w:pPr>
    </w:p>
    <w:p w14:paraId="7F27C0AD" w14:textId="77777777" w:rsidR="00010363" w:rsidRPr="00EF4CEF" w:rsidRDefault="00010363">
      <w:pPr>
        <w:spacing w:after="0" w:line="240" w:lineRule="auto"/>
        <w:rPr>
          <w:rFonts w:ascii="Titillium" w:eastAsia="Calibri" w:hAnsi="Titillium"/>
          <w:lang w:val="en-GB"/>
        </w:rPr>
      </w:pPr>
    </w:p>
    <w:p w14:paraId="33179FCA" w14:textId="77777777" w:rsidR="00010363" w:rsidRPr="00EF4CEF" w:rsidRDefault="00010363">
      <w:pPr>
        <w:spacing w:after="0" w:line="240" w:lineRule="auto"/>
        <w:rPr>
          <w:rFonts w:ascii="Titillium" w:eastAsia="Calibri" w:hAnsi="Titillium"/>
          <w:lang w:val="en-GB"/>
        </w:rPr>
      </w:pPr>
    </w:p>
    <w:p w14:paraId="2C59D470" w14:textId="77777777" w:rsidR="00010363" w:rsidRPr="00EF4CEF" w:rsidRDefault="00010363">
      <w:pPr>
        <w:spacing w:after="0" w:line="240" w:lineRule="auto"/>
        <w:rPr>
          <w:rFonts w:ascii="Titillium" w:eastAsia="Calibri" w:hAnsi="Titillium"/>
          <w:lang w:val="en-GB"/>
        </w:rPr>
      </w:pPr>
    </w:p>
    <w:p w14:paraId="0D378E2E" w14:textId="22283F63" w:rsidR="00010363" w:rsidRDefault="00000000">
      <w:pPr>
        <w:tabs>
          <w:tab w:val="left" w:pos="2835"/>
        </w:tabs>
        <w:spacing w:after="0" w:line="240" w:lineRule="auto"/>
        <w:rPr>
          <w:rFonts w:ascii="Titillium" w:eastAsia="Calibri" w:hAnsi="Titillium"/>
          <w:b/>
          <w:i/>
        </w:rPr>
      </w:pPr>
      <w:r>
        <w:rPr>
          <w:rFonts w:ascii="Titillium" w:eastAsia="Calibri" w:hAnsi="Titillium"/>
        </w:rPr>
        <w:t>Autor:</w:t>
      </w:r>
      <w:r>
        <w:rPr>
          <w:rFonts w:ascii="Titillium" w:eastAsia="Calibri" w:hAnsi="Titillium"/>
        </w:rPr>
        <w:tab/>
      </w:r>
      <w:r w:rsidR="00B96549">
        <w:rPr>
          <w:rFonts w:ascii="Titillium" w:eastAsia="Calibri" w:hAnsi="Titillium"/>
          <w:i/>
        </w:rPr>
        <w:t>Rafał Klimek</w:t>
      </w:r>
    </w:p>
    <w:p w14:paraId="275624BF" w14:textId="0DCD2F65" w:rsidR="00010363" w:rsidRDefault="00000000">
      <w:pPr>
        <w:tabs>
          <w:tab w:val="left" w:pos="2835"/>
        </w:tabs>
        <w:spacing w:after="0" w:line="240" w:lineRule="auto"/>
        <w:rPr>
          <w:rFonts w:ascii="Titillium" w:eastAsia="Calibri" w:hAnsi="Titillium"/>
        </w:rPr>
      </w:pPr>
      <w:r>
        <w:rPr>
          <w:rFonts w:ascii="Titillium" w:eastAsia="Calibri" w:hAnsi="Titillium"/>
        </w:rPr>
        <w:t>Kierunek studiów:</w:t>
      </w:r>
      <w:r>
        <w:rPr>
          <w:rFonts w:ascii="Titillium" w:eastAsia="Calibri" w:hAnsi="Titillium"/>
        </w:rPr>
        <w:tab/>
      </w:r>
      <w:r w:rsidR="00EF4CEF">
        <w:rPr>
          <w:rFonts w:ascii="Titillium" w:eastAsia="Calibri" w:hAnsi="Titillium"/>
        </w:rPr>
        <w:t>Informatyka i Ekonometria</w:t>
      </w:r>
      <w:r>
        <w:rPr>
          <w:rFonts w:ascii="Titillium" w:eastAsia="Calibri" w:hAnsi="Titillium"/>
        </w:rPr>
        <w:t xml:space="preserve"> </w:t>
      </w:r>
    </w:p>
    <w:p w14:paraId="2ECC8968" w14:textId="29ACA150" w:rsidR="00010363" w:rsidRDefault="00000000">
      <w:pPr>
        <w:tabs>
          <w:tab w:val="left" w:pos="2835"/>
        </w:tabs>
        <w:spacing w:after="0" w:line="240" w:lineRule="auto"/>
        <w:rPr>
          <w:rFonts w:ascii="Titillium" w:eastAsia="Calibri" w:hAnsi="Titillium"/>
          <w:i/>
        </w:rPr>
      </w:pPr>
      <w:r>
        <w:rPr>
          <w:rFonts w:ascii="Titillium" w:eastAsia="Calibri" w:hAnsi="Titillium"/>
        </w:rPr>
        <w:t>Opiekun pracy:</w:t>
      </w:r>
      <w:r>
        <w:rPr>
          <w:rFonts w:ascii="Titillium" w:eastAsia="Calibri" w:hAnsi="Titillium"/>
        </w:rPr>
        <w:tab/>
      </w:r>
      <w:r>
        <w:rPr>
          <w:rFonts w:ascii="Titillium" w:eastAsia="Calibri" w:hAnsi="Titillium"/>
          <w:i/>
        </w:rPr>
        <w:t xml:space="preserve">dr inż. </w:t>
      </w:r>
      <w:r w:rsidR="00B96549">
        <w:rPr>
          <w:rFonts w:ascii="Titillium" w:eastAsia="Calibri" w:hAnsi="Titillium"/>
          <w:i/>
        </w:rPr>
        <w:t>Bartłomiej Gaweł</w:t>
      </w:r>
    </w:p>
    <w:p w14:paraId="77C02256" w14:textId="77777777" w:rsidR="00010363" w:rsidRDefault="00010363">
      <w:pPr>
        <w:spacing w:after="0" w:line="240" w:lineRule="auto"/>
        <w:rPr>
          <w:rFonts w:ascii="Titillium" w:eastAsia="Calibri" w:hAnsi="Titillium"/>
        </w:rPr>
      </w:pPr>
    </w:p>
    <w:p w14:paraId="20F228FE" w14:textId="77777777" w:rsidR="00010363" w:rsidRDefault="00010363">
      <w:pPr>
        <w:spacing w:after="0" w:line="240" w:lineRule="auto"/>
        <w:rPr>
          <w:rFonts w:ascii="Titillium" w:eastAsia="Calibri" w:hAnsi="Titillium"/>
        </w:rPr>
      </w:pPr>
    </w:p>
    <w:p w14:paraId="051B538C" w14:textId="2083CDD4" w:rsidR="00010363" w:rsidRDefault="00000000">
      <w:pPr>
        <w:spacing w:after="0" w:line="240" w:lineRule="auto"/>
        <w:jc w:val="center"/>
        <w:rPr>
          <w:rFonts w:ascii="Titillium" w:eastAsia="Calibri" w:hAnsi="Titillium"/>
        </w:rPr>
      </w:pPr>
      <w:r>
        <w:rPr>
          <w:rFonts w:ascii="Titillium" w:eastAsia="Calibri" w:hAnsi="Titillium"/>
        </w:rPr>
        <w:t>Kraków, 202</w:t>
      </w:r>
      <w:r w:rsidR="00EF4CEF">
        <w:rPr>
          <w:rFonts w:ascii="Titillium" w:eastAsia="Calibri" w:hAnsi="Titillium"/>
        </w:rPr>
        <w:t>6</w:t>
      </w:r>
    </w:p>
    <w:p w14:paraId="0460C8FA" w14:textId="77777777" w:rsidR="00010363" w:rsidRDefault="00000000">
      <w:pPr>
        <w:spacing w:after="0"/>
        <w:jc w:val="right"/>
        <w:rPr>
          <w:i/>
          <w:iCs/>
        </w:rPr>
        <w:sectPr w:rsidR="00010363">
          <w:footerReference w:type="default" r:id="rId9"/>
          <w:pgSz w:w="11906" w:h="16838"/>
          <w:pgMar w:top="1418" w:right="1134" w:bottom="1418" w:left="1985" w:header="0" w:footer="709" w:gutter="0"/>
          <w:pgNumType w:start="1"/>
          <w:cols w:space="708"/>
          <w:formProt w:val="0"/>
          <w:docGrid w:linePitch="360"/>
        </w:sectPr>
      </w:pPr>
      <w:r>
        <w:br/>
      </w:r>
    </w:p>
    <w:p w14:paraId="100ACB42" w14:textId="77777777" w:rsidR="00010363" w:rsidRDefault="00010363">
      <w:pPr>
        <w:spacing w:after="0"/>
        <w:rPr>
          <w:i/>
          <w:iCs/>
        </w:rPr>
      </w:pPr>
    </w:p>
    <w:p w14:paraId="09244B71" w14:textId="77777777" w:rsidR="00010363" w:rsidRDefault="00010363">
      <w:pPr>
        <w:spacing w:after="0"/>
        <w:rPr>
          <w:i/>
          <w:iCs/>
        </w:rPr>
      </w:pPr>
    </w:p>
    <w:p w14:paraId="506EE4D3" w14:textId="77777777" w:rsidR="00010363" w:rsidRDefault="00010363">
      <w:pPr>
        <w:spacing w:after="0"/>
        <w:rPr>
          <w:i/>
          <w:iCs/>
        </w:rPr>
      </w:pPr>
    </w:p>
    <w:p w14:paraId="494D4406" w14:textId="77777777" w:rsidR="00010363" w:rsidRDefault="00010363">
      <w:pPr>
        <w:spacing w:after="0"/>
        <w:rPr>
          <w:i/>
          <w:iCs/>
        </w:rPr>
      </w:pPr>
    </w:p>
    <w:p w14:paraId="34377E0F" w14:textId="77777777" w:rsidR="00010363" w:rsidRDefault="00010363">
      <w:pPr>
        <w:spacing w:after="0"/>
        <w:rPr>
          <w:i/>
          <w:iCs/>
        </w:rPr>
      </w:pPr>
    </w:p>
    <w:p w14:paraId="4FEBE428" w14:textId="77777777" w:rsidR="00010363" w:rsidRDefault="00010363">
      <w:pPr>
        <w:spacing w:after="0"/>
        <w:rPr>
          <w:i/>
          <w:iCs/>
        </w:rPr>
      </w:pPr>
    </w:p>
    <w:p w14:paraId="279CC326" w14:textId="77777777" w:rsidR="00010363" w:rsidRDefault="00010363">
      <w:pPr>
        <w:spacing w:after="0"/>
        <w:rPr>
          <w:i/>
          <w:iCs/>
        </w:rPr>
      </w:pPr>
    </w:p>
    <w:p w14:paraId="43F762DE" w14:textId="77777777" w:rsidR="00010363" w:rsidRDefault="00010363">
      <w:pPr>
        <w:spacing w:after="0"/>
        <w:rPr>
          <w:i/>
          <w:iCs/>
        </w:rPr>
      </w:pPr>
    </w:p>
    <w:p w14:paraId="0498C53B" w14:textId="77777777" w:rsidR="00010363" w:rsidRDefault="00010363">
      <w:pPr>
        <w:spacing w:after="0"/>
        <w:rPr>
          <w:i/>
          <w:iCs/>
        </w:rPr>
      </w:pPr>
    </w:p>
    <w:p w14:paraId="73D30F18" w14:textId="77777777" w:rsidR="00010363" w:rsidRDefault="00010363">
      <w:pPr>
        <w:spacing w:after="0"/>
        <w:rPr>
          <w:i/>
          <w:iCs/>
        </w:rPr>
      </w:pPr>
    </w:p>
    <w:p w14:paraId="02F7016F" w14:textId="77777777" w:rsidR="00010363" w:rsidRDefault="00010363">
      <w:pPr>
        <w:spacing w:after="0"/>
        <w:rPr>
          <w:i/>
          <w:iCs/>
        </w:rPr>
      </w:pPr>
    </w:p>
    <w:p w14:paraId="58FEC096" w14:textId="77777777" w:rsidR="00010363" w:rsidRDefault="00010363">
      <w:pPr>
        <w:spacing w:after="0"/>
        <w:rPr>
          <w:i/>
          <w:iCs/>
        </w:rPr>
      </w:pPr>
    </w:p>
    <w:p w14:paraId="402F1C5A" w14:textId="77777777" w:rsidR="00010363" w:rsidRDefault="00010363">
      <w:pPr>
        <w:spacing w:after="0"/>
        <w:rPr>
          <w:i/>
          <w:iCs/>
        </w:rPr>
      </w:pPr>
    </w:p>
    <w:p w14:paraId="6A5F7BB7" w14:textId="77777777" w:rsidR="00010363" w:rsidRDefault="00010363">
      <w:pPr>
        <w:spacing w:after="0"/>
        <w:rPr>
          <w:i/>
          <w:iCs/>
        </w:rPr>
      </w:pPr>
    </w:p>
    <w:p w14:paraId="6C19FF35" w14:textId="77777777" w:rsidR="00010363" w:rsidRDefault="00010363">
      <w:pPr>
        <w:spacing w:after="0"/>
        <w:rPr>
          <w:i/>
          <w:iCs/>
        </w:rPr>
      </w:pPr>
    </w:p>
    <w:p w14:paraId="3C608B64" w14:textId="77777777" w:rsidR="00010363" w:rsidRDefault="00010363">
      <w:pPr>
        <w:spacing w:after="0"/>
        <w:rPr>
          <w:i/>
          <w:iCs/>
        </w:rPr>
      </w:pPr>
    </w:p>
    <w:p w14:paraId="5ED04DF9" w14:textId="77777777" w:rsidR="00010363" w:rsidRDefault="00010363">
      <w:pPr>
        <w:spacing w:after="0"/>
        <w:rPr>
          <w:i/>
          <w:iCs/>
        </w:rPr>
      </w:pPr>
    </w:p>
    <w:p w14:paraId="784C30B5" w14:textId="77777777" w:rsidR="00010363" w:rsidRDefault="00010363">
      <w:pPr>
        <w:spacing w:after="0"/>
        <w:rPr>
          <w:i/>
          <w:iCs/>
        </w:rPr>
      </w:pPr>
    </w:p>
    <w:p w14:paraId="1DF57522" w14:textId="77777777" w:rsidR="00010363" w:rsidRDefault="00010363">
      <w:pPr>
        <w:spacing w:after="0"/>
        <w:rPr>
          <w:i/>
          <w:iCs/>
        </w:rPr>
      </w:pPr>
    </w:p>
    <w:p w14:paraId="6C9B6A0C" w14:textId="77777777" w:rsidR="00010363" w:rsidRDefault="00010363">
      <w:pPr>
        <w:spacing w:after="0"/>
        <w:rPr>
          <w:i/>
          <w:iCs/>
        </w:rPr>
      </w:pPr>
    </w:p>
    <w:p w14:paraId="21404041" w14:textId="77777777" w:rsidR="00010363" w:rsidRDefault="00010363">
      <w:pPr>
        <w:spacing w:after="0"/>
        <w:rPr>
          <w:i/>
          <w:iCs/>
        </w:rPr>
      </w:pPr>
    </w:p>
    <w:p w14:paraId="38EDB4B0" w14:textId="77777777" w:rsidR="00010363" w:rsidRDefault="00010363">
      <w:pPr>
        <w:spacing w:after="0"/>
        <w:rPr>
          <w:i/>
          <w:iCs/>
        </w:rPr>
      </w:pPr>
    </w:p>
    <w:p w14:paraId="12398AD3" w14:textId="77777777" w:rsidR="00010363" w:rsidRDefault="00010363">
      <w:pPr>
        <w:spacing w:after="0"/>
        <w:rPr>
          <w:i/>
          <w:iCs/>
        </w:rPr>
      </w:pPr>
    </w:p>
    <w:p w14:paraId="448F6DAF" w14:textId="77777777" w:rsidR="00010363" w:rsidRDefault="00010363">
      <w:pPr>
        <w:spacing w:after="0"/>
        <w:rPr>
          <w:i/>
          <w:iCs/>
        </w:rPr>
      </w:pPr>
    </w:p>
    <w:p w14:paraId="4D6FB2C8" w14:textId="77777777" w:rsidR="00010363" w:rsidRDefault="00010363">
      <w:pPr>
        <w:spacing w:after="0"/>
        <w:rPr>
          <w:i/>
          <w:iCs/>
        </w:rPr>
      </w:pPr>
    </w:p>
    <w:p w14:paraId="512A8530" w14:textId="77777777" w:rsidR="00010363" w:rsidRDefault="00010363">
      <w:pPr>
        <w:spacing w:after="0"/>
        <w:rPr>
          <w:i/>
          <w:iCs/>
        </w:rPr>
      </w:pPr>
    </w:p>
    <w:p w14:paraId="674456CE" w14:textId="77777777" w:rsidR="00010363" w:rsidRDefault="00010363">
      <w:pPr>
        <w:spacing w:after="0"/>
        <w:rPr>
          <w:i/>
          <w:iCs/>
        </w:rPr>
      </w:pPr>
    </w:p>
    <w:p w14:paraId="43C30AE8" w14:textId="77777777" w:rsidR="00010363" w:rsidRDefault="00010363">
      <w:pPr>
        <w:spacing w:after="0"/>
        <w:rPr>
          <w:i/>
          <w:iCs/>
        </w:rPr>
      </w:pPr>
    </w:p>
    <w:sdt>
      <w:sdtPr>
        <w:id w:val="-681354947"/>
        <w:docPartObj>
          <w:docPartGallery w:val="Table of Contents"/>
          <w:docPartUnique/>
        </w:docPartObj>
      </w:sdtPr>
      <w:sdtContent>
        <w:p w14:paraId="60C6CBB9" w14:textId="77777777" w:rsidR="00010363" w:rsidRDefault="00000000">
          <w:pPr>
            <w:pStyle w:val="Bezodstpw"/>
            <w:rPr>
              <w:rStyle w:val="PodtytuZnak"/>
              <w:b/>
              <w:bCs/>
              <w:color w:val="auto"/>
              <w:sz w:val="32"/>
              <w:szCs w:val="32"/>
            </w:rPr>
          </w:pPr>
          <w:r>
            <w:br w:type="page"/>
          </w:r>
          <w:r>
            <w:rPr>
              <w:rStyle w:val="PodtytuZnak"/>
              <w:b/>
              <w:bCs/>
              <w:color w:val="auto"/>
              <w:sz w:val="32"/>
              <w:szCs w:val="32"/>
            </w:rPr>
            <w:lastRenderedPageBreak/>
            <w:t>Spis treści</w:t>
          </w:r>
        </w:p>
        <w:p w14:paraId="45827291" w14:textId="77777777" w:rsidR="00010363" w:rsidRDefault="00010363">
          <w:pPr>
            <w:pStyle w:val="Bezodstpw"/>
            <w:rPr>
              <w:rStyle w:val="PodtytuZnak"/>
              <w:b/>
              <w:bCs/>
              <w:color w:val="auto"/>
              <w:sz w:val="32"/>
              <w:szCs w:val="32"/>
            </w:rPr>
          </w:pPr>
        </w:p>
        <w:p w14:paraId="2D01DD61" w14:textId="68B5B6E9" w:rsidR="00630967" w:rsidRDefault="00000000">
          <w:pPr>
            <w:pStyle w:val="Spistreci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r w:rsidRPr="005A52D5">
            <w:fldChar w:fldCharType="begin"/>
          </w:r>
          <w:r w:rsidRPr="005A52D5">
            <w:rPr>
              <w:rStyle w:val="IndexLink"/>
              <w:webHidden/>
            </w:rPr>
            <w:instrText xml:space="preserve"> TOC \z \o "1-3" \u \h</w:instrText>
          </w:r>
          <w:r w:rsidRPr="005A52D5">
            <w:rPr>
              <w:rStyle w:val="IndexLink"/>
            </w:rPr>
            <w:fldChar w:fldCharType="separate"/>
          </w:r>
          <w:hyperlink w:anchor="_Toc231658073" w:history="1">
            <w:r w:rsidR="00630967" w:rsidRPr="007B4843">
              <w:rPr>
                <w:rStyle w:val="Hipercze"/>
                <w:noProof/>
              </w:rPr>
              <w:t>1. Wstęp</w:t>
            </w:r>
            <w:r w:rsidR="00630967">
              <w:rPr>
                <w:noProof/>
                <w:webHidden/>
              </w:rPr>
              <w:tab/>
            </w:r>
            <w:r w:rsidR="00630967">
              <w:rPr>
                <w:noProof/>
                <w:webHidden/>
              </w:rPr>
              <w:fldChar w:fldCharType="begin"/>
            </w:r>
            <w:r w:rsidR="00630967">
              <w:rPr>
                <w:noProof/>
                <w:webHidden/>
              </w:rPr>
              <w:instrText xml:space="preserve"> PAGEREF _Toc231658073 \h </w:instrText>
            </w:r>
            <w:r w:rsidR="00630967">
              <w:rPr>
                <w:noProof/>
                <w:webHidden/>
              </w:rPr>
            </w:r>
            <w:r w:rsidR="00630967">
              <w:rPr>
                <w:noProof/>
                <w:webHidden/>
              </w:rPr>
              <w:fldChar w:fldCharType="separate"/>
            </w:r>
            <w:r w:rsidR="00630967">
              <w:rPr>
                <w:noProof/>
                <w:webHidden/>
              </w:rPr>
              <w:t>4</w:t>
            </w:r>
            <w:r w:rsidR="00630967">
              <w:rPr>
                <w:noProof/>
                <w:webHidden/>
              </w:rPr>
              <w:fldChar w:fldCharType="end"/>
            </w:r>
          </w:hyperlink>
        </w:p>
        <w:p w14:paraId="3B96A7BB" w14:textId="3B75F6E4" w:rsidR="00630967" w:rsidRDefault="00630967">
          <w:pPr>
            <w:pStyle w:val="Spistreci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74" w:history="1">
            <w:r w:rsidRPr="007B4843">
              <w:rPr>
                <w:rStyle w:val="Hipercze"/>
                <w:noProof/>
              </w:rPr>
              <w:t>2. Cel i zakres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D9471" w14:textId="450C576F" w:rsidR="00630967" w:rsidRDefault="00630967">
          <w:pPr>
            <w:pStyle w:val="Spistreci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75" w:history="1">
            <w:r w:rsidRPr="007B4843">
              <w:rPr>
                <w:rStyle w:val="Hipercze"/>
                <w:noProof/>
              </w:rPr>
              <w:t>3. Grupy fokusowe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6EEC" w14:textId="0F228EB2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76" w:history="1">
            <w:r w:rsidRPr="007B4843">
              <w:rPr>
                <w:rStyle w:val="Hipercze"/>
                <w:noProof/>
              </w:rPr>
              <w:t>3.1. Definicja i cel grup fokusowych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0C3B" w14:textId="26FC5BBC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77" w:history="1">
            <w:r w:rsidRPr="007B4843">
              <w:rPr>
                <w:rStyle w:val="Hipercze"/>
                <w:noProof/>
              </w:rPr>
              <w:t>3.2. Skład grupy fokusowej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20BA0" w14:textId="5EF93F5A" w:rsidR="00630967" w:rsidRDefault="00630967">
          <w:pPr>
            <w:pStyle w:val="Spistreci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78" w:history="1">
            <w:r w:rsidRPr="007B4843">
              <w:rPr>
                <w:rStyle w:val="Hipercze"/>
                <w:noProof/>
              </w:rPr>
              <w:t>3.2.1. Moderator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CAF2" w14:textId="0E68741A" w:rsidR="00630967" w:rsidRDefault="00630967">
          <w:pPr>
            <w:pStyle w:val="Spistreci3"/>
            <w:tabs>
              <w:tab w:val="left" w:pos="144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79" w:history="1">
            <w:r w:rsidRPr="007B4843">
              <w:rPr>
                <w:rStyle w:val="Hipercze"/>
                <w:noProof/>
              </w:rPr>
              <w:t>3.2.2.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l-PL"/>
                <w14:ligatures w14:val="standardContextual"/>
              </w:rPr>
              <w:t xml:space="preserve"> </w:t>
            </w:r>
            <w:r w:rsidRPr="007B4843">
              <w:rPr>
                <w:rStyle w:val="Hipercze"/>
                <w:noProof/>
              </w:rPr>
              <w:t>Respondenci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8D3D" w14:textId="4E4E6494" w:rsidR="00630967" w:rsidRDefault="00630967">
          <w:pPr>
            <w:pStyle w:val="Spistreci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80" w:history="1">
            <w:r w:rsidRPr="007B4843">
              <w:rPr>
                <w:rStyle w:val="Hipercze"/>
                <w:noProof/>
              </w:rPr>
              <w:t>3.3. Dynamika grupy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94981" w14:textId="41D92C79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81" w:history="1">
            <w:r w:rsidRPr="007B4843">
              <w:rPr>
                <w:rStyle w:val="Hipercze"/>
                <w:noProof/>
              </w:rPr>
              <w:t>3.4. Możliwości adaptacyjne przy użyciu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CCBA" w14:textId="6B5502CA" w:rsidR="00630967" w:rsidRDefault="00630967">
          <w:pPr>
            <w:pStyle w:val="Spistreci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82" w:history="1">
            <w:r w:rsidRPr="007B4843">
              <w:rPr>
                <w:rStyle w:val="Hipercze"/>
                <w:noProof/>
              </w:rPr>
              <w:t>4. AI i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BE6F2" w14:textId="6866BC72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83" w:history="1">
            <w:r w:rsidRPr="007B4843">
              <w:rPr>
                <w:rStyle w:val="Hipercze"/>
                <w:noProof/>
              </w:rPr>
              <w:t>4.1. Definicja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7908D" w14:textId="00BCE68D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84" w:history="1">
            <w:r w:rsidRPr="007B4843">
              <w:rPr>
                <w:rStyle w:val="Hipercze"/>
                <w:noProof/>
              </w:rPr>
              <w:t>4.2. Boom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6BBB" w14:textId="1E3F3344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85" w:history="1">
            <w:r w:rsidRPr="007B4843">
              <w:rPr>
                <w:rStyle w:val="Hipercze"/>
                <w:noProof/>
              </w:rPr>
              <w:t>4.3. Możliwości wykorzystania AI i LLM w symulacji prawdziwych użytkowników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EBE1A" w14:textId="4F9EFD12" w:rsidR="00630967" w:rsidRDefault="00630967">
          <w:pPr>
            <w:pStyle w:val="Spistreci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86" w:history="1">
            <w:r w:rsidRPr="007B4843">
              <w:rPr>
                <w:rStyle w:val="Hipercze"/>
                <w:noProof/>
              </w:rPr>
              <w:t>5. Rozwiązanie techniczne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A4C4" w14:textId="64FBE95C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87" w:history="1">
            <w:r w:rsidRPr="007B4843">
              <w:rPr>
                <w:rStyle w:val="Hipercze"/>
                <w:noProof/>
              </w:rPr>
              <w:t>5.1. Budowa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CB53" w14:textId="04B0B969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88" w:history="1">
            <w:r w:rsidRPr="007B4843">
              <w:rPr>
                <w:rStyle w:val="Hipercze"/>
                <w:noProof/>
              </w:rPr>
              <w:t>5.2. Dobór technologii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EAA5" w14:textId="5C51AD89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89" w:history="1">
            <w:r w:rsidRPr="007B4843">
              <w:rPr>
                <w:rStyle w:val="Hipercze"/>
                <w:noProof/>
              </w:rPr>
              <w:t>5.3. Kolejka jako rozwiązanie problemu asynchronicznej generacji dużej ilości odpowiedzi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A9E53" w14:textId="471F7D5C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90" w:history="1">
            <w:r w:rsidRPr="007B4843">
              <w:rPr>
                <w:rStyle w:val="Hipercze"/>
                <w:noProof/>
              </w:rPr>
              <w:t>5.4. Zrzuty ekranów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8AAF8" w14:textId="430C2B99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91" w:history="1">
            <w:r w:rsidRPr="007B4843">
              <w:rPr>
                <w:rStyle w:val="Hipercze"/>
                <w:noProof/>
              </w:rPr>
              <w:t>5.5. Rozwiązanie jednej odpowiedzi per respondent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3DD9B" w14:textId="7A15E45F" w:rsidR="00630967" w:rsidRDefault="00630967">
          <w:pPr>
            <w:pStyle w:val="Spistreci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92" w:history="1">
            <w:r w:rsidRPr="007B4843">
              <w:rPr>
                <w:rStyle w:val="Hipercze"/>
                <w:noProof/>
              </w:rPr>
              <w:t>5.6. Rozwiązanie z wymianą opinii pomiędzy respondentami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98AB3" w14:textId="1E709A21" w:rsidR="00630967" w:rsidRDefault="00630967">
          <w:pPr>
            <w:pStyle w:val="Spistreci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l-PL"/>
              <w14:ligatures w14:val="standardContextual"/>
            </w:rPr>
          </w:pPr>
          <w:hyperlink w:anchor="_Toc231658093" w:history="1">
            <w:r w:rsidRPr="007B4843">
              <w:rPr>
                <w:rStyle w:val="Hipercze"/>
                <w:noProof/>
                <w:lang w:val="en-GB"/>
              </w:rPr>
              <w:t>11.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B457" w14:textId="607AFDEB" w:rsidR="00010363" w:rsidRDefault="00000000">
          <w:r w:rsidRPr="005A52D5">
            <w:fldChar w:fldCharType="end"/>
          </w:r>
        </w:p>
      </w:sdtContent>
    </w:sdt>
    <w:p w14:paraId="038C2368" w14:textId="77777777" w:rsidR="00010363" w:rsidRDefault="00000000">
      <w:pPr>
        <w:rPr>
          <w:rFonts w:cs="Times New Roman"/>
          <w:b/>
          <w:bCs/>
          <w:sz w:val="28"/>
          <w:szCs w:val="28"/>
        </w:rPr>
      </w:pPr>
      <w:r>
        <w:br w:type="page"/>
      </w:r>
    </w:p>
    <w:p w14:paraId="3237104B" w14:textId="77777777" w:rsidR="00010363" w:rsidRDefault="00000000">
      <w:pPr>
        <w:pStyle w:val="Nagwek1"/>
        <w:spacing w:before="0"/>
        <w:jc w:val="both"/>
      </w:pPr>
      <w:bookmarkStart w:id="0" w:name="_Toc231658073"/>
      <w:r>
        <w:lastRenderedPageBreak/>
        <w:t>1. Wstęp</w:t>
      </w:r>
      <w:bookmarkEnd w:id="0"/>
    </w:p>
    <w:p w14:paraId="240A1B8C" w14:textId="12517D62" w:rsidR="00010363" w:rsidRPr="00583939" w:rsidRDefault="00583939" w:rsidP="00583939">
      <w:r>
        <w:t xml:space="preserve">Decyzje projektowe wymagają zrozumienia odbiorcy, jego potrzeb i obaw. Klasycznym narzędziem do tego typu danych jakościowych jest grupa fokusowa – panel paru osób wpisujących się w kryteria odbioru produktu moderowany przez wyspecjalizowaną osobę. Metoda ta znana jest już od </w:t>
      </w:r>
      <w:r w:rsidR="005D3E72">
        <w:t>lat 40 XX wieku</w:t>
      </w:r>
      <w:r>
        <w:t>, jednak w tradycyjnym wydaniu jest czasochłonna i kosztowna.</w:t>
      </w:r>
    </w:p>
    <w:p w14:paraId="32CF9816" w14:textId="77777777" w:rsidR="00010363" w:rsidRDefault="00010363">
      <w:pPr>
        <w:ind w:firstLine="708"/>
        <w:jc w:val="both"/>
        <w:rPr>
          <w:rFonts w:cs="Times New Roman"/>
          <w:szCs w:val="24"/>
        </w:rPr>
      </w:pPr>
    </w:p>
    <w:p w14:paraId="610A4FBE" w14:textId="77777777" w:rsidR="00010363" w:rsidRDefault="00010363">
      <w:pPr>
        <w:ind w:firstLine="708"/>
        <w:jc w:val="both"/>
        <w:rPr>
          <w:rFonts w:cs="Times New Roman"/>
          <w:szCs w:val="24"/>
        </w:rPr>
      </w:pPr>
    </w:p>
    <w:p w14:paraId="63A21E5D" w14:textId="77777777" w:rsidR="00010363" w:rsidRDefault="00010363">
      <w:pPr>
        <w:ind w:firstLine="708"/>
        <w:jc w:val="both"/>
        <w:rPr>
          <w:rFonts w:cs="Times New Roman"/>
          <w:szCs w:val="24"/>
        </w:rPr>
      </w:pPr>
    </w:p>
    <w:p w14:paraId="5D73B6AA" w14:textId="77777777" w:rsidR="00010363" w:rsidRDefault="00010363">
      <w:pPr>
        <w:ind w:firstLine="708"/>
        <w:jc w:val="both"/>
        <w:rPr>
          <w:rFonts w:cs="Times New Roman"/>
          <w:szCs w:val="24"/>
        </w:rPr>
      </w:pPr>
    </w:p>
    <w:p w14:paraId="3B3392A4" w14:textId="77777777" w:rsidR="00010363" w:rsidRDefault="00010363">
      <w:pPr>
        <w:ind w:firstLine="708"/>
        <w:jc w:val="both"/>
        <w:rPr>
          <w:rFonts w:cs="Times New Roman"/>
          <w:szCs w:val="24"/>
        </w:rPr>
      </w:pPr>
    </w:p>
    <w:p w14:paraId="448D7339" w14:textId="77777777" w:rsidR="00010363" w:rsidRDefault="00010363">
      <w:pPr>
        <w:ind w:firstLine="708"/>
        <w:jc w:val="both"/>
        <w:rPr>
          <w:rFonts w:cs="Times New Roman"/>
          <w:szCs w:val="24"/>
        </w:rPr>
      </w:pPr>
    </w:p>
    <w:p w14:paraId="018A1CCA" w14:textId="77777777" w:rsidR="00010363" w:rsidRDefault="00010363">
      <w:pPr>
        <w:ind w:firstLine="708"/>
        <w:jc w:val="both"/>
        <w:rPr>
          <w:rFonts w:cs="Times New Roman"/>
          <w:szCs w:val="24"/>
        </w:rPr>
      </w:pPr>
    </w:p>
    <w:p w14:paraId="2A7F2503" w14:textId="77777777" w:rsidR="00010363" w:rsidRDefault="00010363">
      <w:pPr>
        <w:ind w:firstLine="708"/>
        <w:jc w:val="both"/>
        <w:rPr>
          <w:rFonts w:cs="Times New Roman"/>
          <w:szCs w:val="24"/>
        </w:rPr>
      </w:pPr>
    </w:p>
    <w:p w14:paraId="6ABB9D55" w14:textId="77777777" w:rsidR="00010363" w:rsidRDefault="00000000">
      <w:pPr>
        <w:pStyle w:val="Nagwek1"/>
      </w:pPr>
      <w:bookmarkStart w:id="1" w:name="_Toc231658074"/>
      <w:r>
        <w:t>2. Cel i zakres pracy</w:t>
      </w:r>
      <w:bookmarkEnd w:id="1"/>
    </w:p>
    <w:p w14:paraId="2ABCE683" w14:textId="1093F999" w:rsidR="001878F0" w:rsidRPr="001878F0" w:rsidRDefault="001878F0" w:rsidP="001878F0">
      <w:r>
        <w:t>Celem pracy jest budowa systemu pozwalającego na wykorzystanie potencjału grup fokusowych do badań</w:t>
      </w:r>
    </w:p>
    <w:p w14:paraId="7454DFB6" w14:textId="77777777" w:rsidR="00010363" w:rsidRDefault="00010363">
      <w:pPr>
        <w:jc w:val="both"/>
      </w:pPr>
    </w:p>
    <w:p w14:paraId="77174306" w14:textId="77777777" w:rsidR="00010363" w:rsidRDefault="00000000">
      <w:r>
        <w:br w:type="page"/>
      </w:r>
    </w:p>
    <w:p w14:paraId="5C3A8BE4" w14:textId="28F97D46" w:rsidR="00296703" w:rsidRPr="00296703" w:rsidRDefault="00286292" w:rsidP="001E592A">
      <w:pPr>
        <w:pStyle w:val="Nagwek1"/>
        <w:jc w:val="both"/>
      </w:pPr>
      <w:bookmarkStart w:id="2" w:name="_Toc231658075"/>
      <w:r>
        <w:lastRenderedPageBreak/>
        <w:t>3. Grupy fokusowe</w:t>
      </w:r>
      <w:bookmarkEnd w:id="2"/>
    </w:p>
    <w:p w14:paraId="08A3C1BA" w14:textId="5E6413CF" w:rsidR="00A11899" w:rsidRDefault="00286292" w:rsidP="00AF0E03">
      <w:pPr>
        <w:pStyle w:val="Nagwek2"/>
      </w:pPr>
      <w:bookmarkStart w:id="3" w:name="_Toc231658076"/>
      <w:r>
        <w:t>3.1. Definicja i cel grup fokusowych</w:t>
      </w:r>
      <w:bookmarkEnd w:id="3"/>
    </w:p>
    <w:p w14:paraId="51C510A9" w14:textId="1E837B00" w:rsidR="00910341" w:rsidRDefault="001E592A" w:rsidP="00910341">
      <w:r>
        <w:t>Decyzje projektowe wymagają zrozumienia odbiorcy, jego potrzeb i obaw. Klasycznym narzędziem do tego typu danych jakościowych jest m.in. grupa fokusowa – panel paru osób wpisujących się w kryteria odbioru produktu moderowany przez wyspecjalizowaną osobę.</w:t>
      </w:r>
    </w:p>
    <w:p w14:paraId="70ABA9A5" w14:textId="2C8179F2" w:rsidR="004D1ECE" w:rsidRDefault="004D1ECE" w:rsidP="00910341">
      <w:r>
        <w:t>Początki grup fokusowych (znanych jako fokusy, FGI lub zogniskowane wywiady grupowe) sięgają lat 40</w:t>
      </w:r>
      <w:r w:rsidR="003F0003">
        <w:t>.</w:t>
      </w:r>
      <w:r>
        <w:t xml:space="preserve"> XX wieku, prac Roberta </w:t>
      </w:r>
      <w:r w:rsidR="00C809C9">
        <w:t>K</w:t>
      </w:r>
      <w:r>
        <w:t xml:space="preserve">. </w:t>
      </w:r>
      <w:proofErr w:type="spellStart"/>
      <w:r>
        <w:t>Mertona</w:t>
      </w:r>
      <w:proofErr w:type="spellEnd"/>
      <w:r>
        <w:t xml:space="preserve"> i Paula F. </w:t>
      </w:r>
      <w:proofErr w:type="spellStart"/>
      <w:r>
        <w:t>Lazarsfelda</w:t>
      </w:r>
      <w:proofErr w:type="spellEnd"/>
      <w:r>
        <w:t>, którzy badali reakcje odbiorców na różne materiały propagandowe</w:t>
      </w:r>
      <w:r w:rsidR="00064231">
        <w:t xml:space="preserve"> podczas drugiej wojny światowej</w:t>
      </w:r>
      <w:r w:rsidR="001155AA">
        <w:t xml:space="preserve">, w szczególności chcieli zrozumieć fenomen </w:t>
      </w:r>
      <w:r w:rsidR="003F0003">
        <w:t>s</w:t>
      </w:r>
      <w:r w:rsidR="001155AA">
        <w:t>przedaży $39 mln obligacji wojennych jednego dnia</w:t>
      </w:r>
      <w:r w:rsidR="00C809C9">
        <w:t xml:space="preserve">, podczas maratonu radiowego </w:t>
      </w:r>
      <w:proofErr w:type="spellStart"/>
      <w:r w:rsidR="00C809C9">
        <w:t>Kate</w:t>
      </w:r>
      <w:proofErr w:type="spellEnd"/>
      <w:r w:rsidR="00C809C9">
        <w:t xml:space="preserve"> </w:t>
      </w:r>
      <w:proofErr w:type="spellStart"/>
      <w:r w:rsidR="00C809C9">
        <w:t>Smith</w:t>
      </w:r>
      <w:proofErr w:type="spellEnd"/>
      <w:r w:rsidR="00C809C9">
        <w:t xml:space="preserve"> we wrześniu 1943</w:t>
      </w:r>
      <w:r w:rsidR="00064231">
        <w:t>.</w:t>
      </w:r>
      <w:r w:rsidR="001155AA">
        <w:rPr>
          <w:rStyle w:val="Odwoanieprzypisudolnego"/>
        </w:rPr>
        <w:footnoteReference w:id="1"/>
      </w:r>
    </w:p>
    <w:p w14:paraId="42D446A5" w14:textId="035C78E2" w:rsidR="001155AA" w:rsidRDefault="001155AA" w:rsidP="00910341">
      <w:r>
        <w:t>Zastosowania komercyjne i marketingowe, z jakimi dziś kojarzy się grupy fokusowe</w:t>
      </w:r>
      <w:r w:rsidR="003F0003">
        <w:t xml:space="preserve"> przypadają na </w:t>
      </w:r>
      <w:r w:rsidR="00910DA4">
        <w:t>lata 50</w:t>
      </w:r>
      <w:r w:rsidR="003F0003">
        <w:t>.</w:t>
      </w:r>
      <w:r w:rsidR="00910DA4">
        <w:t xml:space="preserve"> i 60. </w:t>
      </w:r>
      <w:r w:rsidR="0096394F">
        <w:t xml:space="preserve">Metoda ta odpowiadała na wiele pytań z zakresu marketingu – m.in. postrzegania przez konsumentów </w:t>
      </w:r>
      <w:r w:rsidR="0096394F">
        <w:t>ceny</w:t>
      </w:r>
      <w:r w:rsidR="0096394F">
        <w:t>, jakości marki, reakcji na różnego typu reklamy, ale przede wszystkim dawała kierownictwu marketingowemu szansę na poznanie punktu widzenia klienta „z krwi i kości”.</w:t>
      </w:r>
      <w:r w:rsidR="0096394F">
        <w:rPr>
          <w:rStyle w:val="Odwoanieprzypisudolnego"/>
        </w:rPr>
        <w:footnoteReference w:id="2"/>
      </w:r>
    </w:p>
    <w:p w14:paraId="4276F4D0" w14:textId="4330F17C" w:rsidR="00E97A4A" w:rsidRDefault="00E97A4A" w:rsidP="00E97A4A">
      <w:r>
        <w:t>W typowym projekcie marketingowym grupa fokusowa pe</w:t>
      </w:r>
      <w:r>
        <w:rPr>
          <w:rFonts w:cs="Times New Roman"/>
        </w:rPr>
        <w:t>ł</w:t>
      </w:r>
      <w:r>
        <w:t>ni rol</w:t>
      </w:r>
      <w:r>
        <w:rPr>
          <w:rFonts w:cs="Times New Roman"/>
        </w:rPr>
        <w:t>ę</w:t>
      </w:r>
      <w:r>
        <w:t xml:space="preserve"> etapu eksploracyjnego, poprzedzaj</w:t>
      </w:r>
      <w:r>
        <w:rPr>
          <w:rFonts w:cs="Times New Roman"/>
        </w:rPr>
        <w:t>ą</w:t>
      </w:r>
      <w:r>
        <w:t>cego w</w:t>
      </w:r>
      <w:r>
        <w:rPr>
          <w:rFonts w:cs="Times New Roman"/>
        </w:rPr>
        <w:t>ł</w:t>
      </w:r>
      <w:r>
        <w:t>a</w:t>
      </w:r>
      <w:r>
        <w:rPr>
          <w:rFonts w:cs="Times New Roman"/>
        </w:rPr>
        <w:t>ś</w:t>
      </w:r>
      <w:r>
        <w:t>ciwe badania</w:t>
      </w:r>
      <w:r>
        <w:rPr>
          <w:rFonts w:ascii="Segoe UI Symbol" w:hAnsi="Segoe UI Symbol" w:cs="Segoe UI Symbol"/>
        </w:rPr>
        <w:t xml:space="preserve"> </w:t>
      </w:r>
      <w:r>
        <w:t>ilo</w:t>
      </w:r>
      <w:r>
        <w:rPr>
          <w:rFonts w:cs="Times New Roman"/>
        </w:rPr>
        <w:t>ś</w:t>
      </w:r>
      <w:r>
        <w:t>ciowe. To na podstawie wniosk</w:t>
      </w:r>
      <w:r>
        <w:rPr>
          <w:rFonts w:cs="Times New Roman"/>
        </w:rPr>
        <w:t>ó</w:t>
      </w:r>
      <w:r>
        <w:t>w z FGI buduje si</w:t>
      </w:r>
      <w:r>
        <w:rPr>
          <w:rFonts w:cs="Times New Roman"/>
        </w:rPr>
        <w:t>ę</w:t>
      </w:r>
      <w:r>
        <w:t xml:space="preserve"> hipotezy do p</w:t>
      </w:r>
      <w:r>
        <w:rPr>
          <w:rFonts w:cs="Times New Roman"/>
        </w:rPr>
        <w:t>óź</w:t>
      </w:r>
      <w:r>
        <w:t>niejszych test</w:t>
      </w:r>
      <w:r>
        <w:rPr>
          <w:rFonts w:cs="Times New Roman"/>
        </w:rPr>
        <w:t>ó</w:t>
      </w:r>
      <w:r>
        <w:t>w na wi</w:t>
      </w:r>
      <w:r>
        <w:rPr>
          <w:rFonts w:cs="Times New Roman"/>
        </w:rPr>
        <w:t>ę</w:t>
      </w:r>
      <w:r>
        <w:t>kszych pr</w:t>
      </w:r>
      <w:r>
        <w:rPr>
          <w:rFonts w:cs="Times New Roman"/>
        </w:rPr>
        <w:t>ó</w:t>
      </w:r>
      <w:r>
        <w:t>bach, dobiera</w:t>
      </w:r>
      <w:r>
        <w:rPr>
          <w:rFonts w:ascii="Segoe UI Symbol" w:hAnsi="Segoe UI Symbol" w:cs="Segoe UI Symbol"/>
        </w:rPr>
        <w:t xml:space="preserve"> </w:t>
      </w:r>
      <w:r>
        <w:t>pytania ankietowe, pozycjonuje koncepty reklamowe do test</w:t>
      </w:r>
      <w:r>
        <w:rPr>
          <w:rFonts w:cs="Times New Roman"/>
        </w:rPr>
        <w:t>ó</w:t>
      </w:r>
      <w:r>
        <w:t xml:space="preserve">w konsumenckich. </w:t>
      </w:r>
    </w:p>
    <w:p w14:paraId="52F0A83F" w14:textId="77777777" w:rsidR="001A49EC" w:rsidRDefault="00910DA4" w:rsidP="00910341">
      <w:r>
        <w:t>W literaturze trudno wskazać na zgod</w:t>
      </w:r>
      <w:r w:rsidR="00C809C9">
        <w:t>ność</w:t>
      </w:r>
      <w:r>
        <w:t xml:space="preserve"> co do zakresu terminu</w:t>
      </w:r>
      <w:r>
        <w:rPr>
          <w:rStyle w:val="Odwoanieprzypisudolnego"/>
        </w:rPr>
        <w:footnoteReference w:id="3"/>
      </w:r>
      <w:r w:rsidR="00E97A4A">
        <w:t xml:space="preserve"> - co podkreślał sam Robert </w:t>
      </w:r>
      <w:proofErr w:type="spellStart"/>
      <w:r w:rsidR="00E97A4A">
        <w:t>Merton</w:t>
      </w:r>
      <w:proofErr w:type="spellEnd"/>
      <w:r w:rsidR="00E97A4A">
        <w:t>, nakreślają</w:t>
      </w:r>
      <w:r w:rsidR="002C1B93">
        <w:t>c tylko zarys kryteriów definiujących grupę fokusową.</w:t>
      </w:r>
      <w:r w:rsidR="003F1EE5">
        <w:t xml:space="preserve"> </w:t>
      </w:r>
      <w:r w:rsidR="002C1B93">
        <w:t>C</w:t>
      </w:r>
      <w:r w:rsidR="0096394F">
        <w:t>zasem porównuj</w:t>
      </w:r>
      <w:r w:rsidR="002C1B93">
        <w:t>e się</w:t>
      </w:r>
      <w:r w:rsidR="0096394F">
        <w:t xml:space="preserve"> go do innych badań jakościowych</w:t>
      </w:r>
      <w:r w:rsidR="001A49EC">
        <w:t>,</w:t>
      </w:r>
      <w:r w:rsidR="002D57DC">
        <w:t xml:space="preserve"> jak</w:t>
      </w:r>
      <w:r w:rsidR="001A49EC">
        <w:t>:</w:t>
      </w:r>
    </w:p>
    <w:p w14:paraId="169A26B8" w14:textId="77777777" w:rsidR="001A49EC" w:rsidRDefault="002D57DC" w:rsidP="001A49EC">
      <w:pPr>
        <w:pStyle w:val="Akapitzlist"/>
        <w:numPr>
          <w:ilvl w:val="0"/>
          <w:numId w:val="10"/>
        </w:numPr>
      </w:pPr>
      <w:r>
        <w:t>IDI (In-Depth Interview), czyli pogłębiony wywiad indywidualny, od którego odróżnia</w:t>
      </w:r>
      <w:r w:rsidR="00C809C9">
        <w:t xml:space="preserve"> najbardziej aspekt grupowy </w:t>
      </w:r>
    </w:p>
    <w:p w14:paraId="7E067BB4" w14:textId="77777777" w:rsidR="001A49EC" w:rsidRDefault="00C809C9" w:rsidP="001A49EC">
      <w:pPr>
        <w:pStyle w:val="Akapitzlist"/>
        <w:numPr>
          <w:ilvl w:val="0"/>
          <w:numId w:val="10"/>
        </w:numPr>
      </w:pPr>
      <w:r>
        <w:lastRenderedPageBreak/>
        <w:t>obserwacji, w których moderator nie uczestniczy lub jest on jedynie minimalnie zaangażowany</w:t>
      </w:r>
      <w:r w:rsidR="001A49EC">
        <w:t>,</w:t>
      </w:r>
      <w:r w:rsidR="002C1B93">
        <w:t xml:space="preserve"> </w:t>
      </w:r>
    </w:p>
    <w:p w14:paraId="35AE954C" w14:textId="6B9AE244" w:rsidR="00E97A4A" w:rsidRDefault="002C1B93" w:rsidP="001A49EC">
      <w:pPr>
        <w:pStyle w:val="Akapitzlist"/>
        <w:numPr>
          <w:ilvl w:val="0"/>
          <w:numId w:val="10"/>
        </w:numPr>
      </w:pPr>
      <w:r>
        <w:t>etnografi</w:t>
      </w:r>
      <w:r w:rsidR="001A49EC">
        <w:t>i</w:t>
      </w:r>
      <w:r>
        <w:t xml:space="preserve"> konsumenck</w:t>
      </w:r>
      <w:r w:rsidR="001A49EC">
        <w:t xml:space="preserve">iej, w której badacz spędza czas w naturalnym środowisku respondentów obserwując ich zachowania i prowadząc nieformalne rozmowy. Etnografia – w przeciwieństwie do innych badań jakościowych – wyłapuje rozstrzał pomiędzy deklaracjami konsumentów, a ich faktycznym zachowaniem. </w:t>
      </w:r>
      <w:r w:rsidR="002A5783">
        <w:t>W</w:t>
      </w:r>
      <w:r w:rsidR="001A49EC">
        <w:t xml:space="preserve"> tej metodzie</w:t>
      </w:r>
      <w:r w:rsidR="002A5783">
        <w:t xml:space="preserve"> jednak – </w:t>
      </w:r>
      <w:r w:rsidR="001A49EC">
        <w:t>podobnie jak w IDI</w:t>
      </w:r>
      <w:r w:rsidR="002A5783">
        <w:t xml:space="preserve"> – </w:t>
      </w:r>
      <w:r w:rsidR="001A49EC">
        <w:t>brakuje dynamiki grupy i konfrontacji pomysłu.</w:t>
      </w:r>
    </w:p>
    <w:p w14:paraId="31F1A5BF" w14:textId="4048F707" w:rsidR="00C809C9" w:rsidRDefault="001A49EC" w:rsidP="00910341">
      <w:r>
        <w:t>W zakresie definicji c</w:t>
      </w:r>
      <w:r w:rsidR="00C809C9">
        <w:t>zęsto też wyróżnia się odmiany grup fokusowych ze względu kryteria, m.in.:</w:t>
      </w:r>
    </w:p>
    <w:p w14:paraId="27504EA1" w14:textId="77777777" w:rsidR="00A9009C" w:rsidRDefault="00A9009C" w:rsidP="00A9009C">
      <w:pPr>
        <w:pStyle w:val="Akapitzlist"/>
        <w:numPr>
          <w:ilvl w:val="0"/>
          <w:numId w:val="9"/>
        </w:numPr>
      </w:pPr>
      <w:r>
        <w:t>Kryteria doboru respondentów</w:t>
      </w:r>
    </w:p>
    <w:p w14:paraId="4EE53487" w14:textId="77777777" w:rsidR="00A9009C" w:rsidRDefault="00A9009C" w:rsidP="00A9009C">
      <w:pPr>
        <w:pStyle w:val="Akapitzlist"/>
        <w:numPr>
          <w:ilvl w:val="1"/>
          <w:numId w:val="9"/>
        </w:numPr>
      </w:pPr>
      <w:r>
        <w:t xml:space="preserve">Grupy konfliktowe – wykazujące sprzeczne poglądy, dobiera się równą ilość reprezentantów przeciwstawnych </w:t>
      </w:r>
      <w:proofErr w:type="gramStart"/>
      <w:r>
        <w:t>idei,</w:t>
      </w:r>
      <w:proofErr w:type="gramEnd"/>
      <w:r>
        <w:t xml:space="preserve"> lub dzieli się na podgrupy mające za zadanie bronić swojej argumentacji.</w:t>
      </w:r>
    </w:p>
    <w:p w14:paraId="4A1D082B" w14:textId="77777777" w:rsidR="00A9009C" w:rsidRDefault="00A9009C" w:rsidP="00A9009C">
      <w:pPr>
        <w:pStyle w:val="Akapitzlist"/>
        <w:numPr>
          <w:ilvl w:val="1"/>
          <w:numId w:val="9"/>
        </w:numPr>
      </w:pPr>
      <w:r>
        <w:t>Konfrontacje – charakteryzuje je uczestnictwo obu stron, np. sprzedawcy i nabywcy</w:t>
      </w:r>
    </w:p>
    <w:p w14:paraId="56CF2D64" w14:textId="77777777" w:rsidR="00A9009C" w:rsidRDefault="00A9009C" w:rsidP="00A9009C">
      <w:pPr>
        <w:pStyle w:val="Akapitzlist"/>
        <w:numPr>
          <w:ilvl w:val="1"/>
          <w:numId w:val="9"/>
        </w:numPr>
      </w:pPr>
      <w:r>
        <w:t>Wspólny interes (</w:t>
      </w:r>
      <w:proofErr w:type="spellStart"/>
      <w:r>
        <w:t>affinity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) – najlepszym zastosowaniem tego typu grupy jest </w:t>
      </w:r>
    </w:p>
    <w:p w14:paraId="67F00440" w14:textId="77777777" w:rsidR="00A9009C" w:rsidRDefault="00A9009C" w:rsidP="00A9009C">
      <w:pPr>
        <w:pStyle w:val="Akapitzlist"/>
        <w:numPr>
          <w:ilvl w:val="0"/>
          <w:numId w:val="9"/>
        </w:numPr>
      </w:pPr>
      <w:r>
        <w:t>Częstotliwość badania</w:t>
      </w:r>
    </w:p>
    <w:p w14:paraId="7DE004C8" w14:textId="77777777" w:rsidR="00A9009C" w:rsidRDefault="00A9009C" w:rsidP="00A9009C">
      <w:pPr>
        <w:pStyle w:val="Akapitzlist"/>
        <w:numPr>
          <w:ilvl w:val="1"/>
          <w:numId w:val="9"/>
        </w:numPr>
      </w:pPr>
      <w:r>
        <w:t>Pojedyncza sesja (klasyczna)</w:t>
      </w:r>
    </w:p>
    <w:p w14:paraId="16245E53" w14:textId="77777777" w:rsidR="00A9009C" w:rsidRDefault="00A9009C" w:rsidP="00A9009C">
      <w:pPr>
        <w:pStyle w:val="Akapitzlist"/>
        <w:numPr>
          <w:ilvl w:val="1"/>
          <w:numId w:val="9"/>
        </w:numPr>
      </w:pPr>
      <w:r>
        <w:t>Sesje powtarzane z tymi samymi uczestnikami</w:t>
      </w:r>
    </w:p>
    <w:p w14:paraId="165E4B31" w14:textId="421F6BEF" w:rsidR="00A9009C" w:rsidRDefault="00A9009C" w:rsidP="00910341">
      <w:pPr>
        <w:pStyle w:val="Akapitzlist"/>
        <w:numPr>
          <w:ilvl w:val="1"/>
          <w:numId w:val="9"/>
        </w:numPr>
      </w:pPr>
      <w:r>
        <w:t>Panel wrażliwości (</w:t>
      </w:r>
      <w:proofErr w:type="spellStart"/>
      <w:r>
        <w:t>sensitivity</w:t>
      </w:r>
      <w:proofErr w:type="spellEnd"/>
      <w:r>
        <w:t xml:space="preserve"> panel) – wersja powtarzanych sesji, podczas kolejnych poddaje się badanych dodatkowym technikom. Powtarzanie badania z różnym poziomem dokładności i z różnych punktów widzenia pozwala dogłębniej zrozumieć naturę problemu.</w:t>
      </w:r>
    </w:p>
    <w:p w14:paraId="52604F95" w14:textId="0DE3CB9B" w:rsidR="002A5783" w:rsidRDefault="00C809C9" w:rsidP="002A5783">
      <w:pPr>
        <w:pStyle w:val="Akapitzlist"/>
        <w:numPr>
          <w:ilvl w:val="0"/>
          <w:numId w:val="9"/>
        </w:numPr>
      </w:pPr>
      <w:r>
        <w:t>Czas trwania badania</w:t>
      </w:r>
    </w:p>
    <w:p w14:paraId="33C5BD7C" w14:textId="2031B7C7" w:rsidR="008D0245" w:rsidRDefault="008D0245" w:rsidP="008D0245">
      <w:pPr>
        <w:pStyle w:val="Akapitzlist"/>
        <w:numPr>
          <w:ilvl w:val="1"/>
          <w:numId w:val="9"/>
        </w:numPr>
      </w:pPr>
      <w:r>
        <w:t>Klasyczne 90-120 minut</w:t>
      </w:r>
    </w:p>
    <w:p w14:paraId="13ACB93B" w14:textId="5C0D456C" w:rsidR="008D0245" w:rsidRDefault="008D0245" w:rsidP="008D0245">
      <w:pPr>
        <w:pStyle w:val="Akapitzlist"/>
        <w:numPr>
          <w:ilvl w:val="1"/>
          <w:numId w:val="9"/>
        </w:numPr>
      </w:pPr>
      <w:r>
        <w:t xml:space="preserve">Przedłużona sesja – czasem nawet do 7 godzin – wykorzystywana </w:t>
      </w:r>
    </w:p>
    <w:p w14:paraId="14E08104" w14:textId="481272C2" w:rsidR="00C809C9" w:rsidRDefault="00C809C9" w:rsidP="00C809C9">
      <w:pPr>
        <w:pStyle w:val="Akapitzlist"/>
        <w:numPr>
          <w:ilvl w:val="0"/>
          <w:numId w:val="9"/>
        </w:numPr>
      </w:pPr>
      <w:r>
        <w:t>Liczbę uczestników</w:t>
      </w:r>
    </w:p>
    <w:p w14:paraId="1DF5BB2A" w14:textId="77777777" w:rsidR="008D0245" w:rsidRDefault="008D0245" w:rsidP="008D0245">
      <w:pPr>
        <w:pStyle w:val="Akapitzlist"/>
        <w:numPr>
          <w:ilvl w:val="1"/>
          <w:numId w:val="9"/>
        </w:numPr>
      </w:pPr>
      <w:r>
        <w:t>Mini grupa – 4-5 osób</w:t>
      </w:r>
    </w:p>
    <w:p w14:paraId="1826A788" w14:textId="6F18FD55" w:rsidR="008D0245" w:rsidRDefault="008D0245" w:rsidP="008D0245">
      <w:pPr>
        <w:pStyle w:val="Akapitzlist"/>
        <w:numPr>
          <w:ilvl w:val="1"/>
          <w:numId w:val="9"/>
        </w:numPr>
      </w:pPr>
      <w:r>
        <w:t>Klasyczna – 6-12 osób</w:t>
      </w:r>
    </w:p>
    <w:p w14:paraId="6298D23F" w14:textId="36A5BC68" w:rsidR="00286292" w:rsidRDefault="00286292" w:rsidP="00286292">
      <w:pPr>
        <w:pStyle w:val="Nagwek2"/>
      </w:pPr>
      <w:bookmarkStart w:id="4" w:name="_Toc231658077"/>
      <w:r>
        <w:lastRenderedPageBreak/>
        <w:t>3.2. Skład grupy fokusowej</w:t>
      </w:r>
      <w:bookmarkEnd w:id="4"/>
    </w:p>
    <w:p w14:paraId="01B9B76C" w14:textId="4CAAD8D1" w:rsidR="00286292" w:rsidRDefault="00286292" w:rsidP="00286292">
      <w:pPr>
        <w:pStyle w:val="Nagwek3"/>
      </w:pPr>
      <w:bookmarkStart w:id="5" w:name="_Toc231658078"/>
      <w:r>
        <w:t>3.2.1. Moderator</w:t>
      </w:r>
      <w:bookmarkEnd w:id="5"/>
    </w:p>
    <w:p w14:paraId="3D1C2AA8" w14:textId="29FB76CD" w:rsidR="00FD3EE0" w:rsidRDefault="00FD3EE0" w:rsidP="00FD3EE0">
      <w:r>
        <w:t xml:space="preserve">Odgrywa kluczową rolę w grupie fokusowej. </w:t>
      </w:r>
      <w:r w:rsidR="00487F51">
        <w:t>Standardem branżowym jest sesja prowadzona przez jedną osobę</w:t>
      </w:r>
      <w:r>
        <w:t xml:space="preserve">, jednak dopuszcza się </w:t>
      </w:r>
      <w:r w:rsidR="00487F51">
        <w:t xml:space="preserve">czasem </w:t>
      </w:r>
      <w:r>
        <w:t>dwóch moderatorów</w:t>
      </w:r>
      <w:r w:rsidR="00487F51">
        <w:t xml:space="preserve"> (dual moderator </w:t>
      </w:r>
      <w:proofErr w:type="spellStart"/>
      <w:r w:rsidR="00487F51">
        <w:t>focus</w:t>
      </w:r>
      <w:proofErr w:type="spellEnd"/>
      <w:r w:rsidR="00487F51">
        <w:t xml:space="preserve"> </w:t>
      </w:r>
      <w:proofErr w:type="spellStart"/>
      <w:r w:rsidR="00487F51">
        <w:t>group</w:t>
      </w:r>
      <w:proofErr w:type="spellEnd"/>
      <w:r w:rsidR="00487F51">
        <w:t>)</w:t>
      </w:r>
      <w:r w:rsidR="00B85929">
        <w:t>,</w:t>
      </w:r>
      <w:r>
        <w:t xml:space="preserve"> by uniknąć ryzyka skupienia się zbyt na temacie lub na atmosferze panującej w grupie przez jednego moderatora poprzez przejęcie na określony czas obowiązków przez drugiego. Benefitem takiego duetu też często jest moderowanie tych części dyskusji, w których dany moderator jest ekspertem, co prowadzi do ciekawszych i bardziej wnikliwych dyskusji. Duet moderatorów może zostać także użyty </w:t>
      </w:r>
      <w:r w:rsidR="00B610A9">
        <w:t>do pobudzenia konwersacji – dwaj moderatorzy przyjmują odmienne punkty widzenia zmuszając uczestników do zajęcia różnych stanowisk lub wypracowania rozwiązań pośrednic</w:t>
      </w:r>
      <w:r w:rsidR="00B85929">
        <w:t xml:space="preserve">h – technika </w:t>
      </w:r>
      <w:r w:rsidR="00B610A9">
        <w:t xml:space="preserve">szczególnie przydatna w kontrowersyjnych </w:t>
      </w:r>
      <w:r w:rsidR="00B85929">
        <w:t>tematach,</w:t>
      </w:r>
      <w:r w:rsidR="00B610A9">
        <w:t xml:space="preserve"> w których uczestnicy często wpadają w konformizm</w:t>
      </w:r>
      <w:r w:rsidR="00487F51">
        <w:t>.</w:t>
      </w:r>
      <w:r w:rsidR="00487F51">
        <w:rPr>
          <w:rStyle w:val="Odwoanieprzypisudolnego"/>
        </w:rPr>
        <w:footnoteReference w:id="4"/>
      </w:r>
    </w:p>
    <w:p w14:paraId="595D7742" w14:textId="265EF77C" w:rsidR="00487F51" w:rsidRDefault="00A9009C" w:rsidP="00FD3EE0">
      <w:proofErr w:type="spellStart"/>
      <w:r>
        <w:t>Merton</w:t>
      </w:r>
      <w:proofErr w:type="spellEnd"/>
      <w:r w:rsidR="00487F51">
        <w:t xml:space="preserve"> definiuje najważniejsze aspekty efektywnej dyskusji którymi powinien kierować się moderator</w:t>
      </w:r>
      <w:r w:rsidR="00487F51">
        <w:rPr>
          <w:rStyle w:val="Odwoanieprzypisudolnego"/>
        </w:rPr>
        <w:footnoteReference w:id="5"/>
      </w:r>
      <w:r w:rsidR="00487F51">
        <w:t xml:space="preserve">: </w:t>
      </w:r>
    </w:p>
    <w:p w14:paraId="173D62B7" w14:textId="3A189DA7" w:rsidR="001E6DE9" w:rsidRDefault="001E6DE9" w:rsidP="001E6DE9">
      <w:pPr>
        <w:pStyle w:val="Akapitzlist"/>
        <w:numPr>
          <w:ilvl w:val="0"/>
          <w:numId w:val="11"/>
        </w:numPr>
      </w:pPr>
      <w:r>
        <w:t>Nakierowywanie dyskusji powinno być ograniczone do minimum</w:t>
      </w:r>
    </w:p>
    <w:p w14:paraId="7E1BBA2F" w14:textId="1AD3600D" w:rsidR="001E6DE9" w:rsidRDefault="006963C0" w:rsidP="001E6DE9">
      <w:pPr>
        <w:pStyle w:val="Akapitzlist"/>
        <w:numPr>
          <w:ilvl w:val="0"/>
          <w:numId w:val="11"/>
        </w:numPr>
      </w:pPr>
      <w:r>
        <w:t xml:space="preserve">Uczestnicy powinni móc wskazać które elementy bodźca </w:t>
      </w:r>
      <w:r w:rsidR="00160646">
        <w:t>wywołały ich reakcję oraz w jaki sposób</w:t>
      </w:r>
    </w:p>
    <w:p w14:paraId="40DD8BDB" w14:textId="45925BAA" w:rsidR="00160646" w:rsidRDefault="006C4239" w:rsidP="001E6DE9">
      <w:pPr>
        <w:pStyle w:val="Akapitzlist"/>
        <w:numPr>
          <w:ilvl w:val="0"/>
          <w:numId w:val="11"/>
        </w:numPr>
      </w:pPr>
      <w:r>
        <w:t>Zakres doznań powinien być maksymalizowany</w:t>
      </w:r>
    </w:p>
    <w:p w14:paraId="565749C1" w14:textId="5D64DBB8" w:rsidR="006C4239" w:rsidRDefault="006C4239" w:rsidP="001E6DE9">
      <w:pPr>
        <w:pStyle w:val="Akapitzlist"/>
        <w:numPr>
          <w:ilvl w:val="0"/>
          <w:numId w:val="11"/>
        </w:numPr>
      </w:pPr>
      <w:r>
        <w:t>Wypowiedzi respondentów powinny być oparte na jego osobistych skojarzeniach, wyobrażeniach i przekonaniach, a także głębie doznanych odczuć</w:t>
      </w:r>
    </w:p>
    <w:p w14:paraId="731B8DF4" w14:textId="15ADF23E" w:rsidR="00586613" w:rsidRDefault="00980330" w:rsidP="00586613">
      <w:r>
        <w:t xml:space="preserve">Tę listę można uzupełnić o cechy wymienione przez </w:t>
      </w:r>
      <w:proofErr w:type="spellStart"/>
      <w:r>
        <w:t>Greenbauma</w:t>
      </w:r>
      <w:proofErr w:type="spellEnd"/>
      <w:r>
        <w:rPr>
          <w:rStyle w:val="Odwoanieprzypisudolnego"/>
        </w:rPr>
        <w:footnoteReference w:id="6"/>
      </w:r>
      <w:r>
        <w:t xml:space="preserve"> jako niezbędne dla moderatora:</w:t>
      </w:r>
    </w:p>
    <w:p w14:paraId="37384E10" w14:textId="3B20E19A" w:rsidR="00980330" w:rsidRDefault="00980330" w:rsidP="00980330">
      <w:pPr>
        <w:pStyle w:val="Akapitzlist"/>
        <w:numPr>
          <w:ilvl w:val="0"/>
          <w:numId w:val="12"/>
        </w:numPr>
      </w:pPr>
      <w:r>
        <w:t>Adekwatnego reagowania na bodźce, także niespodziewane</w:t>
      </w:r>
    </w:p>
    <w:p w14:paraId="1B0B291C" w14:textId="512095DB" w:rsidR="00980330" w:rsidRDefault="00980330" w:rsidP="00980330">
      <w:pPr>
        <w:pStyle w:val="Akapitzlist"/>
        <w:numPr>
          <w:ilvl w:val="0"/>
          <w:numId w:val="12"/>
        </w:numPr>
      </w:pPr>
      <w:r>
        <w:t>Umiejętności utrzymywania dynamiki dyskusji</w:t>
      </w:r>
    </w:p>
    <w:p w14:paraId="36A1263E" w14:textId="77777777" w:rsidR="002332D2" w:rsidRDefault="002332D2" w:rsidP="00980330">
      <w:pPr>
        <w:pStyle w:val="Akapitzlist"/>
        <w:numPr>
          <w:ilvl w:val="0"/>
          <w:numId w:val="12"/>
        </w:numPr>
      </w:pPr>
      <w:r>
        <w:t>Zdolności komunikacyjnych pozwalających na utrzymanie relacji z respondentami</w:t>
      </w:r>
    </w:p>
    <w:p w14:paraId="295660B9" w14:textId="1CE178BD" w:rsidR="002332D2" w:rsidRDefault="002332D2" w:rsidP="002332D2">
      <w:r>
        <w:lastRenderedPageBreak/>
        <w:t xml:space="preserve">W literaturze można też spotkać </w:t>
      </w:r>
      <w:r w:rsidR="00D15766">
        <w:t>szereg dodatkowych cech jakie powinien mieć moderator, m.in.:</w:t>
      </w:r>
      <w:r>
        <w:rPr>
          <w:rStyle w:val="Odwoanieprzypisudolnego"/>
        </w:rPr>
        <w:footnoteReference w:id="7"/>
      </w:r>
    </w:p>
    <w:p w14:paraId="60E15E5F" w14:textId="6BA38821" w:rsidR="00980330" w:rsidRDefault="002332D2" w:rsidP="002332D2">
      <w:pPr>
        <w:pStyle w:val="Akapitzlist"/>
        <w:numPr>
          <w:ilvl w:val="0"/>
          <w:numId w:val="13"/>
        </w:numPr>
      </w:pPr>
      <w:r>
        <w:t>„</w:t>
      </w:r>
      <w:r w:rsidRPr="002332D2">
        <w:t>poczucie humoru pozbawione agresji i złośliwości</w:t>
      </w:r>
      <w:r>
        <w:t>”</w:t>
      </w:r>
    </w:p>
    <w:p w14:paraId="4D818785" w14:textId="4410AE3E" w:rsidR="002332D2" w:rsidRDefault="00D15766" w:rsidP="002332D2">
      <w:pPr>
        <w:pStyle w:val="Akapitzlist"/>
        <w:numPr>
          <w:ilvl w:val="0"/>
          <w:numId w:val="13"/>
        </w:numPr>
      </w:pPr>
      <w:r>
        <w:t>Umiejętność rozbudzenia grupy przy braku wypowiedzi</w:t>
      </w:r>
    </w:p>
    <w:p w14:paraId="502626C8" w14:textId="4559DF81" w:rsidR="00D15766" w:rsidRDefault="00D15766" w:rsidP="002332D2">
      <w:pPr>
        <w:pStyle w:val="Akapitzlist"/>
        <w:numPr>
          <w:ilvl w:val="0"/>
          <w:numId w:val="13"/>
        </w:numPr>
      </w:pPr>
      <w:r>
        <w:t>Formułowania pytań by zachęcić respondentów do podzielenia się swoimi przeżyciami i obserwacjami</w:t>
      </w:r>
    </w:p>
    <w:p w14:paraId="68AF1147" w14:textId="133C4A06" w:rsidR="00D15766" w:rsidRDefault="00D15766" w:rsidP="002332D2">
      <w:pPr>
        <w:pStyle w:val="Akapitzlist"/>
        <w:numPr>
          <w:ilvl w:val="0"/>
          <w:numId w:val="13"/>
        </w:numPr>
      </w:pPr>
      <w:r>
        <w:t>Brak lęku w stresujących sytuacjach społecznych</w:t>
      </w:r>
    </w:p>
    <w:p w14:paraId="4529A032" w14:textId="6530F0E1" w:rsidR="00D15766" w:rsidRDefault="00D15766" w:rsidP="00B610A9">
      <w:r>
        <w:t>Oraz wiele innych. Tak szeroki wachlarz kompetencji i cech wskazuję krytyczną rolę, jaką odgrywa moderator w sukcesie grupy fokusowej.</w:t>
      </w:r>
      <w:r w:rsidR="00D3353E">
        <w:t xml:space="preserve"> </w:t>
      </w:r>
      <w:r w:rsidR="00B610A9">
        <w:t xml:space="preserve">Czyni go to zarazem pojedynczym punktem awarii (ang. Single Point of </w:t>
      </w:r>
      <w:proofErr w:type="spellStart"/>
      <w:r w:rsidR="00B610A9">
        <w:t>Failure</w:t>
      </w:r>
      <w:proofErr w:type="spellEnd"/>
      <w:r w:rsidR="00B610A9">
        <w:t xml:space="preserve">) całego procesu grupy fokusowej – jeśli zostanie źle dobrany, nie będzie kontrolował grupy, czy zbytnio narzucał swoje poglądy grupie – drastycznie obniży jakość wyników. </w:t>
      </w:r>
      <w:r w:rsidR="00B610A9">
        <w:t>Spostrzeżenie to stanowi jeden z punktów wyjścia dla rozważań nad zastosowaniem systemów opartych na dużych modelach językowych</w:t>
      </w:r>
      <w:r w:rsidR="00B610A9">
        <w:t xml:space="preserve"> (LLM)</w:t>
      </w:r>
      <w:r w:rsidR="00B610A9">
        <w:t>, w których</w:t>
      </w:r>
      <w:r w:rsidR="00B610A9">
        <w:rPr>
          <w:rFonts w:ascii="Segoe UI Symbol" w:hAnsi="Segoe UI Symbol" w:cs="Segoe UI Symbol"/>
        </w:rPr>
        <w:t xml:space="preserve"> </w:t>
      </w:r>
      <w:r w:rsidR="00B610A9">
        <w:t>odpowiedzialno</w:t>
      </w:r>
      <w:r w:rsidR="00B610A9">
        <w:rPr>
          <w:rFonts w:cs="Times New Roman"/>
        </w:rPr>
        <w:t>ść</w:t>
      </w:r>
      <w:r w:rsidR="00B610A9">
        <w:t xml:space="preserve"> za jako</w:t>
      </w:r>
      <w:r w:rsidR="00B610A9">
        <w:rPr>
          <w:rFonts w:cs="Times New Roman"/>
        </w:rPr>
        <w:t>ść</w:t>
      </w:r>
      <w:r w:rsidR="00B610A9">
        <w:t xml:space="preserve"> interakcji mo</w:t>
      </w:r>
      <w:r w:rsidR="00B610A9">
        <w:rPr>
          <w:rFonts w:cs="Times New Roman"/>
        </w:rPr>
        <w:t>ż</w:t>
      </w:r>
      <w:r w:rsidR="00B610A9">
        <w:t>e by</w:t>
      </w:r>
      <w:r w:rsidR="00B610A9">
        <w:rPr>
          <w:rFonts w:cs="Times New Roman"/>
        </w:rPr>
        <w:t>ć</w:t>
      </w:r>
      <w:r w:rsidR="00B610A9">
        <w:t xml:space="preserve"> roz</w:t>
      </w:r>
      <w:r w:rsidR="00B610A9">
        <w:rPr>
          <w:rFonts w:cs="Times New Roman"/>
        </w:rPr>
        <w:t>ł</w:t>
      </w:r>
      <w:r w:rsidR="00B610A9">
        <w:t>o</w:t>
      </w:r>
      <w:r w:rsidR="00B610A9">
        <w:rPr>
          <w:rFonts w:cs="Times New Roman"/>
        </w:rPr>
        <w:t>ż</w:t>
      </w:r>
      <w:r w:rsidR="00B610A9">
        <w:t>ona pomi</w:t>
      </w:r>
      <w:r w:rsidR="00B610A9">
        <w:rPr>
          <w:rFonts w:cs="Times New Roman"/>
        </w:rPr>
        <w:t>ę</w:t>
      </w:r>
      <w:r w:rsidR="00B610A9">
        <w:t>dzy wyspecjalizowane komponenty programowe</w:t>
      </w:r>
      <w:r w:rsidR="00B610A9">
        <w:t>.</w:t>
      </w:r>
    </w:p>
    <w:p w14:paraId="6531E2E8" w14:textId="0F0F8876" w:rsidR="00D3353E" w:rsidRPr="00FD3EE0" w:rsidRDefault="00D3353E" w:rsidP="00D15766">
      <w:r>
        <w:t>Sama rola moderatora w grupie fokusowej wykracza poza przewodniczenie sesji, pierwszym zadaniem jest konstrukcja scenariusza badawczego, następnie dobór respondentów do grupy</w:t>
      </w:r>
      <w:r w:rsidR="00B85929">
        <w:t xml:space="preserve">. </w:t>
      </w:r>
      <w:r w:rsidR="00B85929" w:rsidRPr="00B85929">
        <w:t>Po zakończeniu sesji obowiązk</w:t>
      </w:r>
      <w:r w:rsidR="00B85929">
        <w:t>iem</w:t>
      </w:r>
      <w:r w:rsidR="00B85929" w:rsidRPr="00B85929">
        <w:t xml:space="preserve"> moderatora </w:t>
      </w:r>
      <w:r w:rsidR="00B85929">
        <w:t>jest</w:t>
      </w:r>
      <w:r w:rsidR="00B85929" w:rsidRPr="00B85929">
        <w:t xml:space="preserve"> natomiast</w:t>
      </w:r>
      <w:r>
        <w:t xml:space="preserve"> </w:t>
      </w:r>
      <w:r w:rsidR="00B610A9">
        <w:t>stworzenie raportu z wnioskami dla klienta (zazwyczaj przedsiębiorcy).</w:t>
      </w:r>
    </w:p>
    <w:p w14:paraId="59EE7029" w14:textId="62A2A5B2" w:rsidR="00980330" w:rsidRDefault="00286292" w:rsidP="00980330">
      <w:pPr>
        <w:pStyle w:val="Nagwek3"/>
        <w:numPr>
          <w:ilvl w:val="2"/>
          <w:numId w:val="10"/>
        </w:numPr>
      </w:pPr>
      <w:bookmarkStart w:id="6" w:name="_Toc231658079"/>
      <w:r>
        <w:t>Respondenci</w:t>
      </w:r>
      <w:bookmarkEnd w:id="6"/>
    </w:p>
    <w:p w14:paraId="1723DC6D" w14:textId="60AC1CB8" w:rsidR="00573BF9" w:rsidRDefault="00573BF9" w:rsidP="00573BF9">
      <w:r>
        <w:t>Od respondentów, czy też uczestników grupy fokusowej, wymagany jest skromniejszy zestaw cech i zalet – jednak jedna jest najważniejsza – muszą wpisywać się w kryteria odbioru danego produktu.</w:t>
      </w:r>
    </w:p>
    <w:p w14:paraId="752B46BB" w14:textId="77777777" w:rsidR="00630967" w:rsidRDefault="00630967" w:rsidP="00630967">
      <w:pPr>
        <w:keepNext/>
      </w:pPr>
      <w:r w:rsidRPr="00630967">
        <w:lastRenderedPageBreak/>
        <w:drawing>
          <wp:inline distT="0" distB="0" distL="0" distR="0" wp14:anchorId="28D11434" wp14:editId="7800DFE3">
            <wp:extent cx="4439270" cy="2524477"/>
            <wp:effectExtent l="0" t="0" r="0" b="0"/>
            <wp:docPr id="19655009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00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501C" w14:textId="78B4B646" w:rsidR="00630967" w:rsidRDefault="00630967" w:rsidP="00630967">
      <w:pPr>
        <w:pStyle w:val="Legenda"/>
      </w:pPr>
      <w:r>
        <w:t xml:space="preserve">Planowanie sesji – kryteria doboru uczestników - </w:t>
      </w:r>
      <w:r w:rsidRPr="00EB6C8C">
        <w:t>https://strongerhead.com/wp-content/uploads/2012/10/Ad340-Focus_Group_Transcript_Make-Up.pdf</w:t>
      </w:r>
      <w:r>
        <w:t xml:space="preserve"> </w:t>
      </w:r>
    </w:p>
    <w:p w14:paraId="0EB3C582" w14:textId="32B74C27" w:rsidR="00243D6A" w:rsidRDefault="00243D6A" w:rsidP="00573BF9">
      <w:r>
        <w:t xml:space="preserve">Kryteria doboru uczestników można usystematyzować w czterech warstwach łączące się w profil rekrutacyjny. Pierwszą stanowią kryteria demograficzne – charakterystyki kandydata, takie jak płeć, wiek, miejsce zamieszkania, czy wykonywany zawód. Kryteria behawioralne odnoszą się do przejawianych </w:t>
      </w:r>
      <w:proofErr w:type="spellStart"/>
      <w:r>
        <w:t>zachowań</w:t>
      </w:r>
      <w:proofErr w:type="spellEnd"/>
      <w:r>
        <w:t xml:space="preserve"> – sposobu/częstotliwości korzystania z produktu. Kryteria kompetencyjne muszą zostać spełnione przez każdego uczestnika by w pełni uczestniczyć dla efektywnego przebiegu sesji – np. każdy musi umieć korzystać z komputera czy posługiwać się językiem angielskim. Kryteria wykluczające </w:t>
      </w:r>
      <w:r w:rsidR="00B80C84">
        <w:t>dyskwalifikują kandydata na uczestnika bez względu na spełnienie reszty warunków – co jest szczególnie przydatne, jeśli celem badania jest poznanie perspektywy potencjalnych użytkowników, nie obecnych klientów marki.</w:t>
      </w:r>
    </w:p>
    <w:p w14:paraId="53A713D8" w14:textId="0AE58CCD" w:rsidR="000746C3" w:rsidRDefault="00632D11" w:rsidP="00573BF9">
      <w:r>
        <w:t>Rekrutacja uczestników to metodyczny proces, którego jakość przekłada się bezpośrednio na wartość zebranego materiału</w:t>
      </w:r>
      <w:r w:rsidR="00E33B9C">
        <w:t xml:space="preserve"> badawczego</w:t>
      </w:r>
      <w:r w:rsidR="000746C3">
        <w:t xml:space="preserve">. Na proces składa się określenie kryteriów selekcji odpowiadającym celom badania (kryteria omówione powyżej), wybór kanałów rekrutacyjnych, dobór lokalizacji i czasu, a czasem organizacja grupy fokusowej w tandemie z innym wydarzeniem związanym z daną grupą </w:t>
      </w:r>
      <w:proofErr w:type="spellStart"/>
      <w:r w:rsidR="000746C3">
        <w:t>obdiorców</w:t>
      </w:r>
      <w:proofErr w:type="spellEnd"/>
      <w:r w:rsidR="000746C3">
        <w:t>, prowadzenie przesiewu chętnych do udziału względem kryteriów oraz potwierdzenie udziału przez respondentów</w:t>
      </w:r>
      <w:r w:rsidR="000746C3">
        <w:rPr>
          <w:rStyle w:val="Odwoanieprzypisudolnego"/>
        </w:rPr>
        <w:footnoteReference w:id="8"/>
      </w:r>
      <w:r w:rsidR="000746C3">
        <w:t xml:space="preserve">. W praktyce czasem oddelegowuje się przynajmniej część powyższych </w:t>
      </w:r>
      <w:r w:rsidR="000746C3">
        <w:lastRenderedPageBreak/>
        <w:t>obowiązków wyspecjalizowanym podmiotom rekrutacyjnym, dysponującym własną bazą respondentów jak i doświadczeniem w doborze niszowych segmentów.</w:t>
      </w:r>
    </w:p>
    <w:p w14:paraId="7248E685" w14:textId="338CBBB6" w:rsidR="00D22329" w:rsidRDefault="000746C3" w:rsidP="00573BF9">
      <w:r>
        <w:t>Rekrutacja</w:t>
      </w:r>
      <w:r w:rsidR="00630967">
        <w:t xml:space="preserve"> jest</w:t>
      </w:r>
      <w:r>
        <w:t xml:space="preserve"> </w:t>
      </w:r>
      <w:r w:rsidR="00F13FD4">
        <w:t>przez to czasochłonna</w:t>
      </w:r>
      <w:r w:rsidR="00AF68E5">
        <w:t xml:space="preserve"> i obarczona </w:t>
      </w:r>
      <w:proofErr w:type="spellStart"/>
      <w:r w:rsidR="00AF68E5">
        <w:t>ryzykami</w:t>
      </w:r>
      <w:proofErr w:type="spellEnd"/>
      <w:r w:rsidR="00630967">
        <w:t>.</w:t>
      </w:r>
      <w:r w:rsidR="00B80C84">
        <w:rPr>
          <w:rStyle w:val="Odwoanieprzypisudolnego"/>
        </w:rPr>
        <w:footnoteReference w:id="9"/>
      </w:r>
      <w:r w:rsidR="00AF68E5">
        <w:rPr>
          <w:rStyle w:val="Odwoanieprzypisudolnego"/>
        </w:rPr>
        <w:footnoteReference w:id="10"/>
      </w:r>
      <w:r w:rsidR="00AF68E5">
        <w:t xml:space="preserve"> </w:t>
      </w:r>
      <w:r w:rsidR="008864ED">
        <w:t>Wysiłek potrzebny do zachęcenia do uczestnictwa często jest lekceważony, za to sama deklaracja obecności n</w:t>
      </w:r>
      <w:r>
        <w:t>ie zawsze przekłada się na faktyczne uczestnictwo</w:t>
      </w:r>
      <w:r w:rsidR="008864ED">
        <w:t>.</w:t>
      </w:r>
      <w:r w:rsidR="00F13FD4">
        <w:t xml:space="preserve"> Odpowiedzią na to zagrożenie często jest </w:t>
      </w:r>
      <w:proofErr w:type="spellStart"/>
      <w:r w:rsidR="00F13FD4">
        <w:t>nadrekrutacja</w:t>
      </w:r>
      <w:proofErr w:type="spellEnd"/>
      <w:r w:rsidR="00F13FD4">
        <w:t xml:space="preserve">, korygująca brak obecności. </w:t>
      </w:r>
    </w:p>
    <w:p w14:paraId="7E0BC7CA" w14:textId="79C86683" w:rsidR="00D22329" w:rsidRDefault="00D22329" w:rsidP="00573BF9">
      <w:r>
        <w:t>Decyzja o wynagrodzeniu uczestników jest trudna do wyważenia etapem rekrutacji. Poza ograniczeniami finansowymi samego przedsięwzięcia trzeba także odpowiednio dobrać proporcję nagrody za poświęcony czas i wysiłek uczestnika, zbyt niska, a potencjalni uczestnicy poczują się zlekceważeni, zbyt wysoka przyciągnie respondentów zmotywowanych głównie finansowo – niezainteresowanych samym produktem.</w:t>
      </w:r>
    </w:p>
    <w:p w14:paraId="57CCABBE" w14:textId="11743697" w:rsidR="002F1F4D" w:rsidRDefault="002F1F4D" w:rsidP="002F1F4D">
      <w:pPr>
        <w:pStyle w:val="Nagwek3"/>
        <w:numPr>
          <w:ilvl w:val="1"/>
          <w:numId w:val="10"/>
        </w:numPr>
      </w:pPr>
      <w:bookmarkStart w:id="7" w:name="_Toc231658080"/>
      <w:r>
        <w:t>Dynamika grupy</w:t>
      </w:r>
      <w:bookmarkEnd w:id="7"/>
    </w:p>
    <w:p w14:paraId="3A792375" w14:textId="4E1172F0" w:rsidR="003A0DDA" w:rsidRDefault="00F3332F" w:rsidP="00980330">
      <w:r>
        <w:t xml:space="preserve">Uczestnictwo w rozmowie, wchodzenie w relacje, prezentowanie własnych opinii przed grupą – wszystko to </w:t>
      </w:r>
      <w:r w:rsidR="00470491">
        <w:t>ułatwia wyartykułowanie podświadomych myśli rozmówców, pomaga im lepiej zrozumieć, co tak naprawdę czują.</w:t>
      </w:r>
      <w:r w:rsidR="00EC464B">
        <w:t xml:space="preserve"> Bezpieczeństwo, jakie sprzyja małej, zwartej grupie sprzyja </w:t>
      </w:r>
      <w:r w:rsidR="00CB6EEE">
        <w:t>dzieleniu się sprawami dotąd nie poddawanymi krytyce.</w:t>
      </w:r>
      <w:r w:rsidR="00673BE5">
        <w:t xml:space="preserve"> </w:t>
      </w:r>
      <w:r w:rsidR="00673BE5" w:rsidRPr="00673BE5">
        <w:t>Procesy międzyludzkie zachodzące między respondentami pod</w:t>
      </w:r>
      <w:r w:rsidR="00673BE5">
        <w:t>czas sesji, jak reagowanie na wypowiedzi innych, zadawanie sobie nawzajem pytań</w:t>
      </w:r>
      <w:r w:rsidR="008A38E0">
        <w:t xml:space="preserve"> czy modyfikowanie wypowiedzi </w:t>
      </w:r>
      <w:r w:rsidR="003A0DDA">
        <w:t>poprawiają jakość wyników. Można wyróżnić aż 5 pozytywnych aspektów (tzw. „5S”) dynamiki grupy na efekt końcowy grupy fokusowej: synergia, efekt kuli śnieżnej (</w:t>
      </w:r>
      <w:proofErr w:type="spellStart"/>
      <w:r w:rsidR="003A0DDA">
        <w:t>snowballing</w:t>
      </w:r>
      <w:proofErr w:type="spellEnd"/>
      <w:r w:rsidR="003A0DDA">
        <w:t>), stymulacji, bezpieczeństwa (</w:t>
      </w:r>
      <w:proofErr w:type="spellStart"/>
      <w:r w:rsidR="003A0DDA">
        <w:t>security</w:t>
      </w:r>
      <w:proofErr w:type="spellEnd"/>
      <w:r w:rsidR="003A0DDA">
        <w:t>) oraz spontaniczności</w:t>
      </w:r>
      <w:r w:rsidR="003F5057">
        <w:t>.</w:t>
      </w:r>
      <w:r w:rsidR="003A0DDA">
        <w:rPr>
          <w:rStyle w:val="Odwoanieprzypisudolnego"/>
        </w:rPr>
        <w:footnoteReference w:id="11"/>
      </w:r>
      <w:r w:rsidR="003A0DDA">
        <w:rPr>
          <w:rStyle w:val="Odwoanieprzypisudolnego"/>
        </w:rPr>
        <w:footnoteReference w:id="12"/>
      </w:r>
      <w:r w:rsidR="003A0DDA">
        <w:rPr>
          <w:rStyle w:val="Odwoanieprzypisudolnego"/>
        </w:rPr>
        <w:footnoteReference w:id="13"/>
      </w:r>
    </w:p>
    <w:p w14:paraId="7392C565" w14:textId="0EEE37F8" w:rsidR="003F5057" w:rsidRDefault="003F5057" w:rsidP="00980330">
      <w:r>
        <w:t xml:space="preserve">Synergia opisuje </w:t>
      </w:r>
      <w:proofErr w:type="gramStart"/>
      <w:r>
        <w:t>sytuację</w:t>
      </w:r>
      <w:proofErr w:type="gramEnd"/>
      <w:r>
        <w:t xml:space="preserve"> w której zbiorcza dyskusja uczestników wytwarza głębszy zakres treści niż prosta suma indywidualnych odpowiedzi – zebrana chociażby </w:t>
      </w:r>
      <w:proofErr w:type="spellStart"/>
      <w:r>
        <w:t>ankietną</w:t>
      </w:r>
      <w:proofErr w:type="spellEnd"/>
      <w:r>
        <w:t xml:space="preserve">. </w:t>
      </w:r>
      <w:r>
        <w:lastRenderedPageBreak/>
        <w:t xml:space="preserve">Jeden uczestnik wprowadza wątek, kolejni rozszerzają o własne doświadczenie, formułują kontrargumenty i wprowadzają perspektywy, których pojedynczy respondent nie rozważał. Efektem przeciwnym do synergii jest Syndrom Apolla, to </w:t>
      </w:r>
      <w:proofErr w:type="gramStart"/>
      <w:r>
        <w:t>sytuacja</w:t>
      </w:r>
      <w:proofErr w:type="gramEnd"/>
      <w:r>
        <w:t xml:space="preserve"> w której brak synergii przynosi rezultaty jeszcze gorsze niż suma indywidualnych wypowiedzi. Ten problem częściej przejawia się, gdy w składzie grupie fokusowej pojawiają się silne </w:t>
      </w:r>
      <w:proofErr w:type="gramStart"/>
      <w:r>
        <w:t>osobowości,</w:t>
      </w:r>
      <w:proofErr w:type="gramEnd"/>
      <w:r>
        <w:t xml:space="preserve"> lub respondenci z doświadczeniem marketingowym czy psychologów – ten typ uczestnika może próbować dominować nad całą grupą i przekonywać ją do swoich argumentów.</w:t>
      </w:r>
    </w:p>
    <w:p w14:paraId="03814CEA" w14:textId="333A9708" w:rsidR="003F5057" w:rsidRDefault="003F5057" w:rsidP="00980330">
      <w:r>
        <w:t>Efekt kuli śnieżnej podkreśla fakt, że z początkowych idei pojedynczego respondenta, poprzez rozmowy, reakcje i wzajemne zadawanie pytań – głębia poznania tematu jest coraz większa</w:t>
      </w:r>
    </w:p>
    <w:p w14:paraId="24E6E5D5" w14:textId="30320818" w:rsidR="003F5057" w:rsidRDefault="003F5057" w:rsidP="00980330">
      <w:r>
        <w:t>Poczucie bezpieczeństwa pozwala na otwarcie się na nowe pomysły, a także na odczucie wsparcia grupowego, zmniejszając poczucie własnej odpowiedzialności, a co za tym idzie, dojście do bardziej radykalnych wniosków i decyzji w grupie niż osobno.</w:t>
      </w:r>
    </w:p>
    <w:p w14:paraId="21182789" w14:textId="023C3255" w:rsidR="003F5057" w:rsidRDefault="004D1873" w:rsidP="00980330">
      <w:r>
        <w:t xml:space="preserve">Te same mechanizmy, które generują synergię, są źródłem negatywnych efektów na wynik grupy fokusowej. Brak dyscypliny w grupie i próba dyskusji o różnych rzeczach na raz to coś, na co moderator musi być wyczulony, i czemu musi zapobiegać. Wyrównywanie opinii poprzez mylne założenie, że celem grupy jest wypracowanie wspólnego stanowiska, a co za tym idzie, brak eksploracji różnic opinii może doprowadzić do znacznie gorszych rezultatów przedsięwzięcia. </w:t>
      </w:r>
    </w:p>
    <w:p w14:paraId="6922C8D6" w14:textId="19CD17CD" w:rsidR="003F5057" w:rsidRDefault="003F5057" w:rsidP="00980330">
      <w:r>
        <w:t>Negatywne efekty:</w:t>
      </w:r>
      <w:r>
        <w:br/>
        <w:t>dyskusje o różnych rzeczach</w:t>
      </w:r>
    </w:p>
    <w:p w14:paraId="40768E7A" w14:textId="56C8E059" w:rsidR="003F5057" w:rsidRDefault="003F5057" w:rsidP="00980330">
      <w:r>
        <w:t>Konformizm</w:t>
      </w:r>
    </w:p>
    <w:p w14:paraId="1685AD56" w14:textId="21578885" w:rsidR="003F5057" w:rsidRDefault="003F5057" w:rsidP="00980330">
      <w:proofErr w:type="spellStart"/>
      <w:r>
        <w:t>Group</w:t>
      </w:r>
      <w:proofErr w:type="spellEnd"/>
      <w:r>
        <w:t xml:space="preserve"> </w:t>
      </w:r>
      <w:proofErr w:type="spellStart"/>
      <w:r>
        <w:t>think</w:t>
      </w:r>
      <w:proofErr w:type="spellEnd"/>
    </w:p>
    <w:p w14:paraId="2E949A9A" w14:textId="34D15F2F" w:rsidR="00286292" w:rsidRDefault="00286292" w:rsidP="00286292">
      <w:pPr>
        <w:pStyle w:val="Nagwek2"/>
      </w:pPr>
      <w:bookmarkStart w:id="8" w:name="_Toc231658081"/>
      <w:r>
        <w:t>3.</w:t>
      </w:r>
      <w:r w:rsidR="00752B3D">
        <w:t>4</w:t>
      </w:r>
      <w:r>
        <w:t xml:space="preserve">. </w:t>
      </w:r>
      <w:bookmarkEnd w:id="8"/>
      <w:r w:rsidR="00F13FD4">
        <w:t xml:space="preserve">Adaptacja </w:t>
      </w:r>
      <w:r w:rsidR="00E0080A">
        <w:t>w symulacji</w:t>
      </w:r>
    </w:p>
    <w:p w14:paraId="3928D103" w14:textId="5C6C485E" w:rsidR="006963C0" w:rsidRPr="006963C0" w:rsidRDefault="006963C0" w:rsidP="006963C0">
      <w:r>
        <w:t>Szeroki zakres odmian grup fokusowych, jak i dość ogólne kryteria którymi powinien się kierować moderator pozwalają</w:t>
      </w:r>
      <w:r w:rsidR="00980330">
        <w:t xml:space="preserve"> na </w:t>
      </w:r>
      <w:r w:rsidR="00B85929">
        <w:t>dość swobodną realizację symulacji. Warto ponownie zaznaczyć najważniejszą cechę grup fokusowych, jaką jest dynamika grupy – i to ona powinna zostać oddana w każdej symulacji</w:t>
      </w:r>
    </w:p>
    <w:p w14:paraId="15FBDA64" w14:textId="77777777" w:rsidR="00286292" w:rsidRPr="00286292" w:rsidRDefault="00286292" w:rsidP="00286292">
      <w:pPr>
        <w:pStyle w:val="Nagwek1"/>
        <w:jc w:val="both"/>
      </w:pPr>
      <w:bookmarkStart w:id="9" w:name="_Toc231658082"/>
      <w:r>
        <w:lastRenderedPageBreak/>
        <w:t>4. AI i LLM</w:t>
      </w:r>
      <w:bookmarkEnd w:id="9"/>
    </w:p>
    <w:p w14:paraId="79F5FD00" w14:textId="3A6BC1B8" w:rsidR="00286292" w:rsidRDefault="00286292" w:rsidP="00286292">
      <w:pPr>
        <w:pStyle w:val="Nagwek2"/>
      </w:pPr>
      <w:bookmarkStart w:id="10" w:name="_Toc231658083"/>
      <w:r>
        <w:t>4.1. Definicja AI</w:t>
      </w:r>
      <w:bookmarkEnd w:id="10"/>
    </w:p>
    <w:p w14:paraId="6CF7DE8F" w14:textId="0CCF86D3" w:rsidR="00286292" w:rsidRDefault="00286292" w:rsidP="00286292">
      <w:pPr>
        <w:pStyle w:val="Nagwek2"/>
      </w:pPr>
      <w:bookmarkStart w:id="11" w:name="_Toc231658084"/>
      <w:r>
        <w:t>4.2. Boom AI</w:t>
      </w:r>
      <w:bookmarkEnd w:id="11"/>
    </w:p>
    <w:p w14:paraId="7C221400" w14:textId="1474B882" w:rsidR="00286292" w:rsidRDefault="00286292" w:rsidP="00286292">
      <w:pPr>
        <w:pStyle w:val="Nagwek2"/>
      </w:pPr>
      <w:bookmarkStart w:id="12" w:name="_Toc231658085"/>
      <w:r>
        <w:t>4.3. Możliwości wykorzystania AI i LLM w symulacji prawdziwych użytkowników</w:t>
      </w:r>
      <w:bookmarkEnd w:id="12"/>
    </w:p>
    <w:p w14:paraId="139BB1CB" w14:textId="1233B7BD" w:rsidR="00286292" w:rsidRPr="00286292" w:rsidRDefault="00286292" w:rsidP="00286292">
      <w:pPr>
        <w:pStyle w:val="Nagwek1"/>
        <w:jc w:val="both"/>
      </w:pPr>
      <w:bookmarkStart w:id="13" w:name="_Toc231658086"/>
      <w:r>
        <w:t>5. Rozwiązanie techniczne</w:t>
      </w:r>
      <w:bookmarkEnd w:id="13"/>
    </w:p>
    <w:p w14:paraId="57007549" w14:textId="3208C7E5" w:rsidR="00286292" w:rsidRDefault="002C755E" w:rsidP="00286292">
      <w:pPr>
        <w:pStyle w:val="Nagwek2"/>
      </w:pPr>
      <w:bookmarkStart w:id="14" w:name="_Toc231658087"/>
      <w:r>
        <w:t>5</w:t>
      </w:r>
      <w:r w:rsidR="00286292">
        <w:t xml:space="preserve">.1. </w:t>
      </w:r>
      <w:r>
        <w:t>Budowa systemu</w:t>
      </w:r>
      <w:bookmarkEnd w:id="14"/>
    </w:p>
    <w:p w14:paraId="47A068BB" w14:textId="0D4AE51F" w:rsidR="00286292" w:rsidRDefault="002C755E" w:rsidP="00286292">
      <w:pPr>
        <w:pStyle w:val="Nagwek2"/>
      </w:pPr>
      <w:bookmarkStart w:id="15" w:name="_Toc231658088"/>
      <w:r>
        <w:t>5</w:t>
      </w:r>
      <w:r w:rsidR="00286292">
        <w:t xml:space="preserve">.2. </w:t>
      </w:r>
      <w:r>
        <w:t>Dobór technologii</w:t>
      </w:r>
      <w:bookmarkEnd w:id="15"/>
    </w:p>
    <w:p w14:paraId="6FDEA765" w14:textId="60CF3642" w:rsidR="00286292" w:rsidRDefault="002C755E" w:rsidP="00286292">
      <w:pPr>
        <w:pStyle w:val="Nagwek2"/>
      </w:pPr>
      <w:bookmarkStart w:id="16" w:name="_Toc231658089"/>
      <w:r>
        <w:t>5</w:t>
      </w:r>
      <w:r w:rsidR="00286292">
        <w:t xml:space="preserve">.3. </w:t>
      </w:r>
      <w:r>
        <w:t>Kolejka jako rozwiązanie problemu asynchronicznej generacji dużej ilości odpowiedzi</w:t>
      </w:r>
      <w:bookmarkEnd w:id="16"/>
    </w:p>
    <w:p w14:paraId="48D17B5F" w14:textId="74F56514" w:rsidR="00EF58BD" w:rsidRDefault="002C755E" w:rsidP="00EF58BD">
      <w:pPr>
        <w:pStyle w:val="Nagwek2"/>
      </w:pPr>
      <w:bookmarkStart w:id="17" w:name="_Toc231658090"/>
      <w:r>
        <w:t>5.4. Zrzuty ekranów aplikacji</w:t>
      </w:r>
      <w:bookmarkEnd w:id="17"/>
    </w:p>
    <w:p w14:paraId="27585990" w14:textId="77777777" w:rsidR="006444D2" w:rsidRDefault="006444D2" w:rsidP="006444D2"/>
    <w:p w14:paraId="146C49D7" w14:textId="77777777" w:rsidR="006444D2" w:rsidRDefault="006444D2" w:rsidP="006444D2"/>
    <w:p w14:paraId="177D3316" w14:textId="77777777" w:rsidR="006444D2" w:rsidRDefault="006444D2" w:rsidP="006444D2"/>
    <w:p w14:paraId="40F26AC5" w14:textId="77777777" w:rsidR="006444D2" w:rsidRPr="006444D2" w:rsidRDefault="006444D2" w:rsidP="006444D2"/>
    <w:p w14:paraId="729B645A" w14:textId="1FCC7AFA" w:rsidR="00EF58BD" w:rsidRDefault="00EF58BD" w:rsidP="00EF58BD">
      <w:pPr>
        <w:pStyle w:val="Nagwek2"/>
      </w:pPr>
      <w:bookmarkStart w:id="18" w:name="_Toc231658091"/>
      <w:r>
        <w:t>5.5. Rozwiązanie jednej odpowiedzi per respondent</w:t>
      </w:r>
      <w:bookmarkEnd w:id="18"/>
    </w:p>
    <w:p w14:paraId="715288AB" w14:textId="1A5C622B" w:rsidR="006444D2" w:rsidRPr="00245F98" w:rsidRDefault="00245F98" w:rsidP="006444D2">
      <w:pPr>
        <w:rPr>
          <w:szCs w:val="24"/>
        </w:rPr>
      </w:pPr>
      <w:r>
        <w:rPr>
          <w:szCs w:val="24"/>
        </w:rPr>
        <w:t>Opiera się na najpierw generowaniu dużej ilości person (symulowanych użytkowników), następnie każdy z nich wysyła swoją jedną opinię. Gdy wszystkie persony prześlą swoje rekomendacje – agregowana jest rekomendacja.</w:t>
      </w:r>
    </w:p>
    <w:p w14:paraId="116CE8A1" w14:textId="715A1245" w:rsidR="006444D2" w:rsidRDefault="00245F98" w:rsidP="006444D2">
      <w:r>
        <w:rPr>
          <w:noProof/>
        </w:rPr>
        <w:lastRenderedPageBreak/>
        <w:drawing>
          <wp:inline distT="0" distB="0" distL="0" distR="0" wp14:anchorId="5E8EE9F5" wp14:editId="04F6F099">
            <wp:extent cx="5579745" cy="3295650"/>
            <wp:effectExtent l="0" t="0" r="0" b="0"/>
            <wp:docPr id="11764848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D0F3" w14:textId="77777777" w:rsidR="006444D2" w:rsidRDefault="006444D2" w:rsidP="006444D2"/>
    <w:p w14:paraId="376A5BC2" w14:textId="3EF33D5C" w:rsidR="006444D2" w:rsidRDefault="00245F98" w:rsidP="006444D2">
      <w:r>
        <w:rPr>
          <w:noProof/>
        </w:rPr>
        <w:drawing>
          <wp:inline distT="0" distB="0" distL="0" distR="0" wp14:anchorId="4B37E473" wp14:editId="47AF51AF">
            <wp:extent cx="5579745" cy="4248150"/>
            <wp:effectExtent l="0" t="0" r="0" b="0"/>
            <wp:docPr id="204452212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E2C0" w14:textId="6A1DE962" w:rsidR="006444D2" w:rsidRDefault="00245F98" w:rsidP="006444D2">
      <w:r>
        <w:rPr>
          <w:noProof/>
        </w:rPr>
        <w:lastRenderedPageBreak/>
        <w:drawing>
          <wp:inline distT="0" distB="0" distL="0" distR="0" wp14:anchorId="080495BF" wp14:editId="763EA633">
            <wp:extent cx="5579745" cy="5981700"/>
            <wp:effectExtent l="0" t="0" r="0" b="0"/>
            <wp:docPr id="2046927069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2C21" w14:textId="77777777" w:rsidR="006444D2" w:rsidRDefault="006444D2" w:rsidP="006444D2"/>
    <w:p w14:paraId="106C2A2B" w14:textId="77777777" w:rsidR="006444D2" w:rsidRDefault="006444D2" w:rsidP="006444D2"/>
    <w:p w14:paraId="704984AF" w14:textId="77777777" w:rsidR="006444D2" w:rsidRDefault="006444D2" w:rsidP="006444D2"/>
    <w:p w14:paraId="3754D9BC" w14:textId="77777777" w:rsidR="006444D2" w:rsidRDefault="006444D2" w:rsidP="006444D2"/>
    <w:p w14:paraId="08AE6D8F" w14:textId="77777777" w:rsidR="006444D2" w:rsidRDefault="006444D2" w:rsidP="006444D2"/>
    <w:p w14:paraId="73C702E5" w14:textId="77777777" w:rsidR="006444D2" w:rsidRDefault="006444D2" w:rsidP="006444D2"/>
    <w:p w14:paraId="1511A5C9" w14:textId="77777777" w:rsidR="006444D2" w:rsidRPr="006444D2" w:rsidRDefault="006444D2" w:rsidP="006444D2"/>
    <w:p w14:paraId="3100B0D7" w14:textId="32DE7A5E" w:rsidR="00EF58BD" w:rsidRDefault="00EF58BD" w:rsidP="00EF58BD">
      <w:pPr>
        <w:pStyle w:val="Nagwek2"/>
      </w:pPr>
      <w:bookmarkStart w:id="19" w:name="_Toc231658092"/>
      <w:r>
        <w:lastRenderedPageBreak/>
        <w:t xml:space="preserve">5.6. Rozwiązanie z wymianą </w:t>
      </w:r>
      <w:r w:rsidR="006444D2">
        <w:t>opinii pomiędzy respondentami</w:t>
      </w:r>
      <w:bookmarkEnd w:id="19"/>
    </w:p>
    <w:p w14:paraId="5B266406" w14:textId="3C4FBEF2" w:rsidR="00245F98" w:rsidRPr="00245F98" w:rsidRDefault="006B1E76" w:rsidP="00245F98">
      <w:r>
        <w:t>Po generowaniu person, stara się je dobierać tak, by była różnica opinii (na podstawie tagów) – na razie tylko 1 strategia dobierania w dyskusje preferencyjnie 3-osobowe. Każda dyskusja ma rundy, w których każdy respondent się wypowiada, a potem następują rundy konfrontacyjne. Dyskusja kończy się gdy wszyscy mają zgodne opinie, o czym decyduje moderator, lub gdy wyczerpuje się limit rund, by zabezpieczyć się przed „upartymi” personami.</w:t>
      </w:r>
    </w:p>
    <w:p w14:paraId="028CF73C" w14:textId="7336EBB9" w:rsidR="00EF58BD" w:rsidRPr="00EF58BD" w:rsidRDefault="00245F98" w:rsidP="00EF58BD">
      <w:r>
        <w:rPr>
          <w:noProof/>
        </w:rPr>
        <w:drawing>
          <wp:inline distT="0" distB="0" distL="0" distR="0" wp14:anchorId="1E46A36F" wp14:editId="0B87C901">
            <wp:extent cx="5575300" cy="2622550"/>
            <wp:effectExtent l="0" t="0" r="0" b="0"/>
            <wp:docPr id="176109879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5C343" w14:textId="3354B8A3" w:rsidR="00EF58BD" w:rsidRPr="00EF58BD" w:rsidRDefault="006B1E76" w:rsidP="00EF58BD">
      <w:r>
        <w:rPr>
          <w:noProof/>
        </w:rPr>
        <w:lastRenderedPageBreak/>
        <w:drawing>
          <wp:inline distT="0" distB="0" distL="0" distR="0" wp14:anchorId="0EC62170" wp14:editId="7A29DEC9">
            <wp:extent cx="5575300" cy="5861050"/>
            <wp:effectExtent l="0" t="0" r="0" b="0"/>
            <wp:docPr id="1213695051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C0342" w14:textId="02718C4D" w:rsidR="002C755E" w:rsidRPr="002C755E" w:rsidRDefault="002C755E" w:rsidP="002C755E"/>
    <w:p w14:paraId="5E62E944" w14:textId="065BA904" w:rsidR="00286292" w:rsidRPr="00286292" w:rsidRDefault="006B1E76" w:rsidP="00286292">
      <w:r>
        <w:rPr>
          <w:noProof/>
        </w:rPr>
        <w:lastRenderedPageBreak/>
        <w:drawing>
          <wp:inline distT="0" distB="0" distL="0" distR="0" wp14:anchorId="02ACC43D" wp14:editId="34F06B93">
            <wp:extent cx="5562600" cy="6819900"/>
            <wp:effectExtent l="0" t="0" r="0" b="0"/>
            <wp:docPr id="7144088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E882" w14:textId="77777777" w:rsidR="00286292" w:rsidRDefault="00286292" w:rsidP="00286292"/>
    <w:p w14:paraId="40211712" w14:textId="77777777" w:rsidR="00286292" w:rsidRPr="00286292" w:rsidRDefault="00286292" w:rsidP="00286292"/>
    <w:p w14:paraId="4BC9889E" w14:textId="77777777" w:rsidR="00286292" w:rsidRDefault="00286292">
      <w:pPr>
        <w:pStyle w:val="Nagwek1"/>
        <w:jc w:val="both"/>
      </w:pPr>
    </w:p>
    <w:p w14:paraId="29502312" w14:textId="77777777" w:rsidR="00286292" w:rsidRDefault="00286292">
      <w:pPr>
        <w:pStyle w:val="Nagwek1"/>
        <w:jc w:val="both"/>
      </w:pPr>
    </w:p>
    <w:p w14:paraId="6D9D54EC" w14:textId="77777777" w:rsidR="00286292" w:rsidRDefault="00286292" w:rsidP="00286292"/>
    <w:p w14:paraId="0D692285" w14:textId="77777777" w:rsidR="00286292" w:rsidRDefault="00286292" w:rsidP="00286292"/>
    <w:p w14:paraId="4CC72127" w14:textId="77777777" w:rsidR="00286292" w:rsidRDefault="00286292" w:rsidP="00286292"/>
    <w:p w14:paraId="301E99CB" w14:textId="77777777" w:rsidR="00286292" w:rsidRPr="00286292" w:rsidRDefault="00286292" w:rsidP="00286292"/>
    <w:p w14:paraId="69D72628" w14:textId="77777777" w:rsidR="00010363" w:rsidRDefault="00000000">
      <w:pPr>
        <w:pStyle w:val="Nagwek1"/>
        <w:jc w:val="both"/>
        <w:rPr>
          <w:lang w:val="en-GB"/>
        </w:rPr>
      </w:pPr>
      <w:bookmarkStart w:id="20" w:name="_Toc231658093"/>
      <w:r>
        <w:rPr>
          <w:lang w:val="en-GB"/>
        </w:rPr>
        <w:t>11. Bibliografia</w:t>
      </w:r>
      <w:bookmarkEnd w:id="20"/>
    </w:p>
    <w:p w14:paraId="49806933" w14:textId="77777777" w:rsidR="00010363" w:rsidRDefault="00010363">
      <w:pPr>
        <w:jc w:val="both"/>
        <w:rPr>
          <w:rFonts w:cs="Times New Roman"/>
          <w:szCs w:val="24"/>
          <w:lang w:val="en-GB"/>
        </w:rPr>
      </w:pPr>
    </w:p>
    <w:p w14:paraId="5E50AAEF" w14:textId="77777777" w:rsidR="00010363" w:rsidRDefault="00010363">
      <w:pPr>
        <w:jc w:val="both"/>
        <w:rPr>
          <w:rFonts w:cs="Times New Roman"/>
          <w:szCs w:val="24"/>
          <w:lang w:val="en-GB"/>
        </w:rPr>
      </w:pPr>
    </w:p>
    <w:p w14:paraId="57BA71C2" w14:textId="77777777" w:rsidR="00010363" w:rsidRDefault="00010363">
      <w:pPr>
        <w:jc w:val="both"/>
        <w:rPr>
          <w:rFonts w:cs="Times New Roman"/>
          <w:szCs w:val="24"/>
          <w:lang w:val="en-GB"/>
        </w:rPr>
      </w:pPr>
    </w:p>
    <w:sectPr w:rsidR="00010363">
      <w:footerReference w:type="default" r:id="rId17"/>
      <w:footerReference w:type="first" r:id="rId18"/>
      <w:pgSz w:w="11906" w:h="16838"/>
      <w:pgMar w:top="1418" w:right="1134" w:bottom="1418" w:left="1985" w:header="0" w:footer="709" w:gutter="0"/>
      <w:pgNumType w:start="2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2A0A" w14:textId="77777777" w:rsidR="002759BE" w:rsidRDefault="002759BE">
      <w:pPr>
        <w:spacing w:after="0" w:line="240" w:lineRule="auto"/>
      </w:pPr>
      <w:r>
        <w:separator/>
      </w:r>
    </w:p>
  </w:endnote>
  <w:endnote w:type="continuationSeparator" w:id="0">
    <w:p w14:paraId="412211D5" w14:textId="77777777" w:rsidR="002759BE" w:rsidRDefault="00275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tillium">
    <w:altName w:val="Cambria"/>
    <w:charset w:val="EE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2506474"/>
      <w:docPartObj>
        <w:docPartGallery w:val="Page Numbers (Bottom of Page)"/>
        <w:docPartUnique/>
      </w:docPartObj>
    </w:sdtPr>
    <w:sdtContent>
      <w:p w14:paraId="73C7143C" w14:textId="77777777" w:rsidR="00010363" w:rsidRDefault="00010363">
        <w:pPr>
          <w:pStyle w:val="Stopka"/>
          <w:jc w:val="center"/>
        </w:pPr>
      </w:p>
      <w:p w14:paraId="37603D6E" w14:textId="77777777" w:rsidR="00010363" w:rsidRDefault="00000000">
        <w:pPr>
          <w:pStyle w:val="Stopka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4179533"/>
      <w:docPartObj>
        <w:docPartGallery w:val="Page Numbers (Bottom of Page)"/>
        <w:docPartUnique/>
      </w:docPartObj>
    </w:sdtPr>
    <w:sdtContent>
      <w:p w14:paraId="5860E349" w14:textId="77777777" w:rsidR="00010363" w:rsidRDefault="00000000">
        <w:pPr>
          <w:pStyle w:val="Stopka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65</w:t>
        </w:r>
        <w:r>
          <w:fldChar w:fldCharType="end"/>
        </w:r>
      </w:p>
    </w:sdtContent>
  </w:sdt>
  <w:p w14:paraId="17FC3D05" w14:textId="77777777" w:rsidR="00010363" w:rsidRDefault="00010363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44BE" w14:textId="77777777" w:rsidR="00010363" w:rsidRDefault="000103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A581C" w14:textId="77777777" w:rsidR="002759BE" w:rsidRDefault="002759BE">
      <w:pPr>
        <w:spacing w:after="0" w:line="240" w:lineRule="auto"/>
      </w:pPr>
      <w:r>
        <w:separator/>
      </w:r>
    </w:p>
  </w:footnote>
  <w:footnote w:type="continuationSeparator" w:id="0">
    <w:p w14:paraId="0516F5DD" w14:textId="77777777" w:rsidR="002759BE" w:rsidRDefault="002759BE">
      <w:pPr>
        <w:spacing w:after="0" w:line="240" w:lineRule="auto"/>
      </w:pPr>
      <w:r>
        <w:continuationSeparator/>
      </w:r>
    </w:p>
  </w:footnote>
  <w:footnote w:id="1">
    <w:p w14:paraId="08555D5A" w14:textId="6A37AAF2" w:rsidR="001155AA" w:rsidRDefault="001155AA" w:rsidP="0096394F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proofErr w:type="spellStart"/>
      <w:r w:rsidR="0096394F">
        <w:t>Merton</w:t>
      </w:r>
      <w:proofErr w:type="spellEnd"/>
      <w:r w:rsidR="0096394F">
        <w:t xml:space="preserve">, R. K., </w:t>
      </w:r>
      <w:proofErr w:type="spellStart"/>
      <w:r w:rsidR="0096394F">
        <w:t>Fiske</w:t>
      </w:r>
      <w:proofErr w:type="spellEnd"/>
      <w:r w:rsidR="0096394F">
        <w:t xml:space="preserve">, M., &amp; Curtis, A. (1946). Mass </w:t>
      </w:r>
      <w:proofErr w:type="spellStart"/>
      <w:r w:rsidR="0096394F">
        <w:t>persuasion</w:t>
      </w:r>
      <w:proofErr w:type="spellEnd"/>
      <w:r w:rsidR="0096394F">
        <w:t xml:space="preserve">: The </w:t>
      </w:r>
      <w:proofErr w:type="spellStart"/>
      <w:r w:rsidR="0096394F">
        <w:t>social</w:t>
      </w:r>
      <w:proofErr w:type="spellEnd"/>
      <w:r w:rsidR="0096394F">
        <w:t xml:space="preserve"> </w:t>
      </w:r>
      <w:proofErr w:type="spellStart"/>
      <w:r w:rsidR="0096394F">
        <w:t>psychology</w:t>
      </w:r>
      <w:proofErr w:type="spellEnd"/>
      <w:r w:rsidR="0096394F">
        <w:t xml:space="preserve"> of a war </w:t>
      </w:r>
      <w:proofErr w:type="spellStart"/>
      <w:r w:rsidR="0096394F">
        <w:t>bond</w:t>
      </w:r>
      <w:proofErr w:type="spellEnd"/>
      <w:r w:rsidR="0096394F">
        <w:t xml:space="preserve"> </w:t>
      </w:r>
      <w:proofErr w:type="spellStart"/>
      <w:r w:rsidR="0096394F">
        <w:t>drive</w:t>
      </w:r>
      <w:proofErr w:type="spellEnd"/>
      <w:r w:rsidR="0096394F">
        <w:t>. New York:</w:t>
      </w:r>
      <w:r w:rsidR="0096394F">
        <w:t xml:space="preserve"> </w:t>
      </w:r>
      <w:r w:rsidR="0096394F">
        <w:t xml:space="preserve">Harper &amp; </w:t>
      </w:r>
      <w:proofErr w:type="spellStart"/>
      <w:r w:rsidR="0096394F">
        <w:t>Brothers</w:t>
      </w:r>
      <w:proofErr w:type="spellEnd"/>
      <w:r w:rsidR="0096394F">
        <w:t>.</w:t>
      </w:r>
    </w:p>
  </w:footnote>
  <w:footnote w:id="2">
    <w:p w14:paraId="6427AC62" w14:textId="519451BE" w:rsidR="0096394F" w:rsidRDefault="0096394F" w:rsidP="0096394F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>
        <w:t xml:space="preserve">Stewart, D. W., &amp; </w:t>
      </w:r>
      <w:proofErr w:type="spellStart"/>
      <w:r>
        <w:t>Shamdasani</w:t>
      </w:r>
      <w:proofErr w:type="spellEnd"/>
      <w:r>
        <w:t xml:space="preserve">, P. N. (2014). Focus </w:t>
      </w:r>
      <w:proofErr w:type="spellStart"/>
      <w:r>
        <w:t>groups</w:t>
      </w:r>
      <w:proofErr w:type="spellEnd"/>
      <w:r>
        <w:t xml:space="preserve">: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practice</w:t>
      </w:r>
      <w:proofErr w:type="spellEnd"/>
      <w:r>
        <w:t xml:space="preserve"> (3rd ed.).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Oaks</w:t>
      </w:r>
      <w:proofErr w:type="spellEnd"/>
      <w:r>
        <w:t xml:space="preserve">, CA: </w:t>
      </w:r>
      <w:proofErr w:type="spellStart"/>
      <w:r>
        <w:t>Sage</w:t>
      </w:r>
      <w:proofErr w:type="spellEnd"/>
      <w:r>
        <w:t xml:space="preserve"> Publications.</w:t>
      </w:r>
      <w:r>
        <w:t>, s. 6-8</w:t>
      </w:r>
    </w:p>
  </w:footnote>
  <w:footnote w:id="3">
    <w:p w14:paraId="44DB2FE0" w14:textId="1366554F" w:rsidR="00910DA4" w:rsidRDefault="00910DA4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910DA4">
        <w:t>https://dspace.uni.lodz.pl/bitstream/handle/11089/31412/Lisek-Michalska_Badania%20fokusowe.pdf</w:t>
      </w:r>
    </w:p>
  </w:footnote>
  <w:footnote w:id="4">
    <w:p w14:paraId="030AD8D4" w14:textId="10EF73C4" w:rsidR="00487F51" w:rsidRDefault="00487F51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910DA4">
        <w:t>https://dspace.uni.lodz.pl/bitstream/handle/11089/31412/Lisek-Michalska_Badania%20fokusowe.pdf</w:t>
      </w:r>
    </w:p>
  </w:footnote>
  <w:footnote w:id="5">
    <w:p w14:paraId="2828C14E" w14:textId="3FCEB55C" w:rsidR="00487F51" w:rsidRDefault="00487F51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proofErr w:type="spellStart"/>
      <w:r w:rsidR="006963C0" w:rsidRPr="006963C0">
        <w:t>Merton</w:t>
      </w:r>
      <w:proofErr w:type="spellEnd"/>
      <w:r w:rsidR="006963C0" w:rsidRPr="006963C0">
        <w:t xml:space="preserve">, R. K., &amp; Kendall, P. L. (1946). The </w:t>
      </w:r>
      <w:proofErr w:type="spellStart"/>
      <w:r w:rsidR="006963C0" w:rsidRPr="006963C0">
        <w:t>focused</w:t>
      </w:r>
      <w:proofErr w:type="spellEnd"/>
      <w:r w:rsidR="006963C0" w:rsidRPr="006963C0">
        <w:t xml:space="preserve"> interview. American </w:t>
      </w:r>
      <w:proofErr w:type="spellStart"/>
      <w:r w:rsidR="006963C0" w:rsidRPr="006963C0">
        <w:t>Journal</w:t>
      </w:r>
      <w:proofErr w:type="spellEnd"/>
      <w:r w:rsidR="006963C0" w:rsidRPr="006963C0">
        <w:t xml:space="preserve"> of </w:t>
      </w:r>
      <w:proofErr w:type="spellStart"/>
      <w:r w:rsidR="006963C0" w:rsidRPr="006963C0">
        <w:t>Sociology</w:t>
      </w:r>
      <w:proofErr w:type="spellEnd"/>
      <w:r w:rsidR="006963C0" w:rsidRPr="006963C0">
        <w:t>, 51(6), 541–557.</w:t>
      </w:r>
    </w:p>
  </w:footnote>
  <w:footnote w:id="6">
    <w:p w14:paraId="014F9087" w14:textId="618715E1" w:rsidR="00980330" w:rsidRDefault="00980330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proofErr w:type="spellStart"/>
      <w:r w:rsidRPr="00980330">
        <w:t>Greenbaum</w:t>
      </w:r>
      <w:proofErr w:type="spellEnd"/>
      <w:r w:rsidRPr="00980330">
        <w:t xml:space="preserve">, T. L. (1998). The </w:t>
      </w:r>
      <w:proofErr w:type="spellStart"/>
      <w:r w:rsidRPr="00980330">
        <w:t>handbook</w:t>
      </w:r>
      <w:proofErr w:type="spellEnd"/>
      <w:r w:rsidRPr="00980330">
        <w:t xml:space="preserve"> for </w:t>
      </w:r>
      <w:proofErr w:type="spellStart"/>
      <w:r w:rsidRPr="00980330">
        <w:t>focus</w:t>
      </w:r>
      <w:proofErr w:type="spellEnd"/>
      <w:r w:rsidRPr="00980330">
        <w:t xml:space="preserve"> </w:t>
      </w:r>
      <w:proofErr w:type="spellStart"/>
      <w:r w:rsidRPr="00980330">
        <w:t>group</w:t>
      </w:r>
      <w:proofErr w:type="spellEnd"/>
      <w:r w:rsidRPr="00980330">
        <w:t xml:space="preserve"> </w:t>
      </w:r>
      <w:proofErr w:type="spellStart"/>
      <w:r w:rsidRPr="00980330">
        <w:t>research</w:t>
      </w:r>
      <w:proofErr w:type="spellEnd"/>
      <w:r w:rsidRPr="00980330">
        <w:t xml:space="preserve"> (2nd ed.). SAGE Publications.</w:t>
      </w:r>
    </w:p>
  </w:footnote>
  <w:footnote w:id="7">
    <w:p w14:paraId="2F39662E" w14:textId="2CB93515" w:rsidR="002332D2" w:rsidRDefault="002332D2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 w:rsidRPr="00910DA4">
        <w:t>https://dspace.uni.lodz.pl/bitstream/handle/11089/31412/Lisek-Michalska_Badania%20fokusowe.pdf</w:t>
      </w:r>
    </w:p>
  </w:footnote>
  <w:footnote w:id="8">
    <w:p w14:paraId="302AC2A2" w14:textId="5462882B" w:rsidR="000746C3" w:rsidRDefault="000746C3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>
        <w:t xml:space="preserve">R. A. </w:t>
      </w:r>
      <w:proofErr w:type="spellStart"/>
      <w:r>
        <w:t>Krueger</w:t>
      </w:r>
      <w:proofErr w:type="spellEnd"/>
      <w:r>
        <w:t xml:space="preserve">, M. A. </w:t>
      </w:r>
      <w:proofErr w:type="spellStart"/>
      <w:r>
        <w:t>Casey</w:t>
      </w:r>
      <w:proofErr w:type="spellEnd"/>
      <w:r>
        <w:t xml:space="preserve">, Focus </w:t>
      </w:r>
      <w:proofErr w:type="spellStart"/>
      <w:r>
        <w:t>Groups</w:t>
      </w:r>
      <w:proofErr w:type="spellEnd"/>
      <w:r>
        <w:t xml:space="preserve">: A </w:t>
      </w:r>
      <w:proofErr w:type="spellStart"/>
      <w:r>
        <w:t>Practical</w:t>
      </w:r>
      <w:proofErr w:type="spellEnd"/>
      <w:r>
        <w:t xml:space="preserve"> Guide for Applied </w:t>
      </w:r>
      <w:proofErr w:type="spellStart"/>
      <w:r>
        <w:t>Research</w:t>
      </w:r>
      <w:proofErr w:type="spellEnd"/>
      <w:r>
        <w:t xml:space="preserve">, wyd. 5, SAGE Publications,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Oaks</w:t>
      </w:r>
      <w:proofErr w:type="spellEnd"/>
      <w:r>
        <w:t xml:space="preserve"> 2015, s. 86-103.</w:t>
      </w:r>
    </w:p>
  </w:footnote>
  <w:footnote w:id="9">
    <w:p w14:paraId="116427BA" w14:textId="5637CC08" w:rsidR="00B80C84" w:rsidRDefault="00B80C84" w:rsidP="00B80C84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>
        <w:t xml:space="preserve">R. A. </w:t>
      </w:r>
      <w:proofErr w:type="spellStart"/>
      <w:r>
        <w:t>Krueger</w:t>
      </w:r>
      <w:proofErr w:type="spellEnd"/>
      <w:r>
        <w:t xml:space="preserve">, M. A. </w:t>
      </w:r>
      <w:proofErr w:type="spellStart"/>
      <w:r>
        <w:t>Casey</w:t>
      </w:r>
      <w:proofErr w:type="spellEnd"/>
      <w:r>
        <w:t xml:space="preserve">, Focus </w:t>
      </w:r>
      <w:proofErr w:type="spellStart"/>
      <w:r>
        <w:t>Groups</w:t>
      </w:r>
      <w:proofErr w:type="spellEnd"/>
      <w:r>
        <w:t xml:space="preserve">: A </w:t>
      </w:r>
      <w:proofErr w:type="spellStart"/>
      <w:r>
        <w:t>Practical</w:t>
      </w:r>
      <w:proofErr w:type="spellEnd"/>
      <w:r>
        <w:t xml:space="preserve"> Guide for Applied </w:t>
      </w:r>
      <w:proofErr w:type="spellStart"/>
      <w:r>
        <w:t>Research</w:t>
      </w:r>
      <w:proofErr w:type="spellEnd"/>
      <w:r>
        <w:t>, wyd. 5, SAGE Publications,</w:t>
      </w:r>
      <w:r>
        <w:t xml:space="preserve">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Oaks</w:t>
      </w:r>
      <w:proofErr w:type="spellEnd"/>
      <w:r>
        <w:t xml:space="preserve"> 2015, s. 86-103.</w:t>
      </w:r>
    </w:p>
  </w:footnote>
  <w:footnote w:id="10">
    <w:p w14:paraId="0671BD4D" w14:textId="52696A8A" w:rsidR="00AF68E5" w:rsidRDefault="00AF68E5" w:rsidP="00AF68E5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proofErr w:type="spellStart"/>
      <w:r>
        <w:t>Newcomer</w:t>
      </w:r>
      <w:proofErr w:type="spellEnd"/>
      <w:r>
        <w:t xml:space="preserve">, K. E., </w:t>
      </w:r>
      <w:proofErr w:type="spellStart"/>
      <w:r>
        <w:t>Hatry</w:t>
      </w:r>
      <w:proofErr w:type="spellEnd"/>
      <w:r>
        <w:t xml:space="preserve">, H. P., &amp; </w:t>
      </w:r>
      <w:proofErr w:type="spellStart"/>
      <w:r>
        <w:t>Wholey</w:t>
      </w:r>
      <w:proofErr w:type="spellEnd"/>
      <w:r>
        <w:t>, J. S. (</w:t>
      </w:r>
      <w:proofErr w:type="spellStart"/>
      <w:r>
        <w:t>Eds</w:t>
      </w:r>
      <w:proofErr w:type="spellEnd"/>
      <w:r>
        <w:t xml:space="preserve">.). (2015). </w:t>
      </w:r>
      <w:proofErr w:type="spellStart"/>
      <w:r>
        <w:t>Handbook</w:t>
      </w:r>
      <w:proofErr w:type="spellEnd"/>
      <w:r>
        <w:t xml:space="preserve"> of </w:t>
      </w:r>
      <w:proofErr w:type="spellStart"/>
      <w:r>
        <w:t>Practical</w:t>
      </w:r>
      <w:proofErr w:type="spellEnd"/>
      <w:r>
        <w:t xml:space="preserve"> Program Evaluation (4th ed.). </w:t>
      </w:r>
      <w:proofErr w:type="spellStart"/>
      <w:r>
        <w:t>Jossey-Bass</w:t>
      </w:r>
      <w:proofErr w:type="spellEnd"/>
      <w:r>
        <w:t>.</w:t>
      </w:r>
    </w:p>
  </w:footnote>
  <w:footnote w:id="11">
    <w:p w14:paraId="14584FB5" w14:textId="01F6473A" w:rsidR="003A0DDA" w:rsidRDefault="003A0DDA" w:rsidP="003A0DDA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>
        <w:t xml:space="preserve">Hess, J. M. (1968).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Interviewing</w:t>
      </w:r>
      <w:proofErr w:type="spellEnd"/>
      <w:r>
        <w:t>. In R. L. King (Ed.), New Science of Planning (pp. 193-196). American</w:t>
      </w:r>
      <w:r>
        <w:t xml:space="preserve"> </w:t>
      </w:r>
      <w:r>
        <w:t xml:space="preserve">Marketing </w:t>
      </w:r>
      <w:proofErr w:type="spellStart"/>
      <w:r>
        <w:t>Association</w:t>
      </w:r>
      <w:proofErr w:type="spellEnd"/>
      <w:r>
        <w:t>.</w:t>
      </w:r>
    </w:p>
  </w:footnote>
  <w:footnote w:id="12">
    <w:p w14:paraId="74963EE2" w14:textId="2B31B073" w:rsidR="003A0DDA" w:rsidRDefault="003A0DDA" w:rsidP="003A0DDA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r>
        <w:t xml:space="preserve"> </w:t>
      </w:r>
      <w:r w:rsidRPr="003A0DDA">
        <w:t xml:space="preserve">Goldman, A. E. (1962). The </w:t>
      </w:r>
      <w:proofErr w:type="spellStart"/>
      <w:r w:rsidRPr="003A0DDA">
        <w:t>Group</w:t>
      </w:r>
      <w:proofErr w:type="spellEnd"/>
      <w:r w:rsidRPr="003A0DDA">
        <w:t xml:space="preserve"> Depth Interview. </w:t>
      </w:r>
      <w:proofErr w:type="spellStart"/>
      <w:r w:rsidRPr="003A0DDA">
        <w:t>Journal</w:t>
      </w:r>
      <w:proofErr w:type="spellEnd"/>
      <w:r w:rsidRPr="003A0DDA">
        <w:t xml:space="preserve"> of Marketing, 26(3), 61-68.</w:t>
      </w:r>
    </w:p>
  </w:footnote>
  <w:footnote w:id="13">
    <w:p w14:paraId="510CFF25" w14:textId="0FA71FF6" w:rsidR="003A0DDA" w:rsidRDefault="003A0DDA" w:rsidP="003A0DDA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proofErr w:type="spellStart"/>
      <w:r>
        <w:t>Merton</w:t>
      </w:r>
      <w:proofErr w:type="spellEnd"/>
      <w:r>
        <w:t xml:space="preserve">, R. K., </w:t>
      </w:r>
      <w:proofErr w:type="spellStart"/>
      <w:r>
        <w:t>Fiske</w:t>
      </w:r>
      <w:proofErr w:type="spellEnd"/>
      <w:r>
        <w:t xml:space="preserve">, M., &amp; Kendall, P. L. (1956). The </w:t>
      </w:r>
      <w:proofErr w:type="spellStart"/>
      <w:r>
        <w:t>Focused</w:t>
      </w:r>
      <w:proofErr w:type="spellEnd"/>
      <w:r>
        <w:t xml:space="preserve"> Interview: A Manual of </w:t>
      </w:r>
      <w:proofErr w:type="spellStart"/>
      <w:r>
        <w:t>Problems</w:t>
      </w:r>
      <w:proofErr w:type="spellEnd"/>
      <w:r>
        <w:t xml:space="preserve"> and </w:t>
      </w:r>
      <w:proofErr w:type="spellStart"/>
      <w:r>
        <w:t>Procedures</w:t>
      </w:r>
      <w:proofErr w:type="spellEnd"/>
      <w:r>
        <w:t xml:space="preserve">. </w:t>
      </w:r>
      <w:proofErr w:type="spellStart"/>
      <w:r>
        <w:t>Free</w:t>
      </w:r>
      <w:proofErr w:type="spellEnd"/>
      <w:r>
        <w:rPr>
          <w:rFonts w:ascii="Segoe UI Symbol" w:hAnsi="Segoe UI Symbol" w:cs="Segoe UI Symbol"/>
        </w:rPr>
        <w:t xml:space="preserve"> </w:t>
      </w:r>
      <w:r>
        <w:t>Press.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9F3"/>
    <w:multiLevelType w:val="multilevel"/>
    <w:tmpl w:val="44D869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CB11B1"/>
    <w:multiLevelType w:val="multilevel"/>
    <w:tmpl w:val="F1C016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07B640F"/>
    <w:multiLevelType w:val="multilevel"/>
    <w:tmpl w:val="EDDA61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1260E09"/>
    <w:multiLevelType w:val="multilevel"/>
    <w:tmpl w:val="36B058D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56F0891"/>
    <w:multiLevelType w:val="multilevel"/>
    <w:tmpl w:val="AFCCC19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39E2EB5"/>
    <w:multiLevelType w:val="multilevel"/>
    <w:tmpl w:val="EDDA61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19F6659"/>
    <w:multiLevelType w:val="hybridMultilevel"/>
    <w:tmpl w:val="5838B7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F4C0D"/>
    <w:multiLevelType w:val="hybridMultilevel"/>
    <w:tmpl w:val="99AE21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D62AA"/>
    <w:multiLevelType w:val="multilevel"/>
    <w:tmpl w:val="DC6A6D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46A702E"/>
    <w:multiLevelType w:val="multilevel"/>
    <w:tmpl w:val="EDDA61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C3D3173"/>
    <w:multiLevelType w:val="multilevel"/>
    <w:tmpl w:val="8C5295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F042F69"/>
    <w:multiLevelType w:val="multilevel"/>
    <w:tmpl w:val="0FA45A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2C115C9"/>
    <w:multiLevelType w:val="multilevel"/>
    <w:tmpl w:val="10E0AE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4176CC8"/>
    <w:multiLevelType w:val="multilevel"/>
    <w:tmpl w:val="F0E2CC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55064445">
    <w:abstractNumId w:val="12"/>
  </w:num>
  <w:num w:numId="2" w16cid:durableId="1291285502">
    <w:abstractNumId w:val="13"/>
  </w:num>
  <w:num w:numId="3" w16cid:durableId="1938783049">
    <w:abstractNumId w:val="4"/>
  </w:num>
  <w:num w:numId="4" w16cid:durableId="1862891186">
    <w:abstractNumId w:val="0"/>
  </w:num>
  <w:num w:numId="5" w16cid:durableId="158086987">
    <w:abstractNumId w:val="11"/>
  </w:num>
  <w:num w:numId="6" w16cid:durableId="1087384836">
    <w:abstractNumId w:val="10"/>
  </w:num>
  <w:num w:numId="7" w16cid:durableId="1435973866">
    <w:abstractNumId w:val="3"/>
  </w:num>
  <w:num w:numId="8" w16cid:durableId="174420465">
    <w:abstractNumId w:val="8"/>
  </w:num>
  <w:num w:numId="9" w16cid:durableId="1121264299">
    <w:abstractNumId w:val="7"/>
  </w:num>
  <w:num w:numId="10" w16cid:durableId="1454052583">
    <w:abstractNumId w:val="2"/>
  </w:num>
  <w:num w:numId="11" w16cid:durableId="1403408460">
    <w:abstractNumId w:val="6"/>
  </w:num>
  <w:num w:numId="12" w16cid:durableId="271010290">
    <w:abstractNumId w:val="1"/>
  </w:num>
  <w:num w:numId="13" w16cid:durableId="1244491178">
    <w:abstractNumId w:val="9"/>
  </w:num>
  <w:num w:numId="14" w16cid:durableId="75980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63"/>
    <w:rsid w:val="00010363"/>
    <w:rsid w:val="00064231"/>
    <w:rsid w:val="000746C3"/>
    <w:rsid w:val="000D7A8C"/>
    <w:rsid w:val="001155AA"/>
    <w:rsid w:val="00122CFD"/>
    <w:rsid w:val="00160646"/>
    <w:rsid w:val="001878F0"/>
    <w:rsid w:val="001A49EC"/>
    <w:rsid w:val="001C31FE"/>
    <w:rsid w:val="001E592A"/>
    <w:rsid w:val="001E6DE9"/>
    <w:rsid w:val="002332D2"/>
    <w:rsid w:val="00243D6A"/>
    <w:rsid w:val="00245F98"/>
    <w:rsid w:val="002759BE"/>
    <w:rsid w:val="00280516"/>
    <w:rsid w:val="00286292"/>
    <w:rsid w:val="00296703"/>
    <w:rsid w:val="002A5783"/>
    <w:rsid w:val="002C1B93"/>
    <w:rsid w:val="002C4D84"/>
    <w:rsid w:val="002C5821"/>
    <w:rsid w:val="002C755E"/>
    <w:rsid w:val="002D57DC"/>
    <w:rsid w:val="002F1F4D"/>
    <w:rsid w:val="00304F2F"/>
    <w:rsid w:val="003A0DDA"/>
    <w:rsid w:val="003A1719"/>
    <w:rsid w:val="003A65C1"/>
    <w:rsid w:val="003D467C"/>
    <w:rsid w:val="003F0003"/>
    <w:rsid w:val="003F1EE5"/>
    <w:rsid w:val="003F5057"/>
    <w:rsid w:val="00410B27"/>
    <w:rsid w:val="00470491"/>
    <w:rsid w:val="00487F51"/>
    <w:rsid w:val="004A6178"/>
    <w:rsid w:val="004D1873"/>
    <w:rsid w:val="004D1ECE"/>
    <w:rsid w:val="004F52EA"/>
    <w:rsid w:val="00501AE4"/>
    <w:rsid w:val="00541BA9"/>
    <w:rsid w:val="005544AC"/>
    <w:rsid w:val="00573BF9"/>
    <w:rsid w:val="00583939"/>
    <w:rsid w:val="00586613"/>
    <w:rsid w:val="005A52D5"/>
    <w:rsid w:val="005D3E72"/>
    <w:rsid w:val="006123CD"/>
    <w:rsid w:val="00630967"/>
    <w:rsid w:val="00632D11"/>
    <w:rsid w:val="006444D2"/>
    <w:rsid w:val="006715D4"/>
    <w:rsid w:val="00673BE5"/>
    <w:rsid w:val="006963C0"/>
    <w:rsid w:val="006A41AF"/>
    <w:rsid w:val="006B1E76"/>
    <w:rsid w:val="006C09C5"/>
    <w:rsid w:val="006C4239"/>
    <w:rsid w:val="00752B3D"/>
    <w:rsid w:val="00785169"/>
    <w:rsid w:val="00804CB5"/>
    <w:rsid w:val="008864ED"/>
    <w:rsid w:val="008A38E0"/>
    <w:rsid w:val="008B3C6C"/>
    <w:rsid w:val="008D0245"/>
    <w:rsid w:val="008E3A53"/>
    <w:rsid w:val="00910341"/>
    <w:rsid w:val="00910DA4"/>
    <w:rsid w:val="00955516"/>
    <w:rsid w:val="0096394F"/>
    <w:rsid w:val="00980330"/>
    <w:rsid w:val="009F6100"/>
    <w:rsid w:val="00A11899"/>
    <w:rsid w:val="00A9009C"/>
    <w:rsid w:val="00AF0E03"/>
    <w:rsid w:val="00AF68E5"/>
    <w:rsid w:val="00B610A9"/>
    <w:rsid w:val="00B66C7B"/>
    <w:rsid w:val="00B80C84"/>
    <w:rsid w:val="00B813D5"/>
    <w:rsid w:val="00B85929"/>
    <w:rsid w:val="00B96549"/>
    <w:rsid w:val="00BF2CB2"/>
    <w:rsid w:val="00C30A19"/>
    <w:rsid w:val="00C57539"/>
    <w:rsid w:val="00C809C9"/>
    <w:rsid w:val="00C91460"/>
    <w:rsid w:val="00CB6EEE"/>
    <w:rsid w:val="00D15766"/>
    <w:rsid w:val="00D22329"/>
    <w:rsid w:val="00D3353E"/>
    <w:rsid w:val="00D635B8"/>
    <w:rsid w:val="00DB3F48"/>
    <w:rsid w:val="00E0080A"/>
    <w:rsid w:val="00E33B9C"/>
    <w:rsid w:val="00E97A4A"/>
    <w:rsid w:val="00EA0A74"/>
    <w:rsid w:val="00EA5310"/>
    <w:rsid w:val="00EC464B"/>
    <w:rsid w:val="00EF4CEF"/>
    <w:rsid w:val="00EF58BD"/>
    <w:rsid w:val="00F13FD4"/>
    <w:rsid w:val="00F3332F"/>
    <w:rsid w:val="00FD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68B6"/>
  <w15:docId w15:val="{B9251F49-3936-47A8-8F65-4F0C482A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83939"/>
    <w:pPr>
      <w:spacing w:after="160" w:line="360" w:lineRule="auto"/>
    </w:pPr>
    <w:rPr>
      <w:rFonts w:ascii="Times New Roman" w:hAnsi="Times New Roman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B55F9"/>
    <w:pPr>
      <w:keepNext/>
      <w:keepLines/>
      <w:spacing w:before="360" w:after="240"/>
      <w:outlineLvl w:val="0"/>
    </w:pPr>
    <w:rPr>
      <w:rFonts w:eastAsiaTheme="majorEastAsia" w:cstheme="majorBidi"/>
      <w:b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B55F9"/>
    <w:pPr>
      <w:keepNext/>
      <w:keepLines/>
      <w:spacing w:before="160" w:after="12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1576B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B32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Uwydatnienie">
    <w:name w:val="Emphasis"/>
    <w:basedOn w:val="Domylnaczcionkaakapitu"/>
    <w:uiPriority w:val="20"/>
    <w:qFormat/>
    <w:rsid w:val="000C1CF9"/>
    <w:rPr>
      <w:i/>
      <w:iCs/>
    </w:rPr>
  </w:style>
  <w:style w:type="character" w:styleId="Odwoaniedokomentarza">
    <w:name w:val="annotation reference"/>
    <w:basedOn w:val="Domylnaczcionkaakapitu"/>
    <w:uiPriority w:val="99"/>
    <w:semiHidden/>
    <w:unhideWhenUsed/>
    <w:qFormat/>
    <w:rsid w:val="0026723B"/>
    <w:rPr>
      <w:sz w:val="16"/>
      <w:szCs w:val="16"/>
    </w:rPr>
  </w:style>
  <w:style w:type="character" w:customStyle="1" w:styleId="TekstkomentarzaZnak">
    <w:name w:val="Tekst komentarza Znak"/>
    <w:basedOn w:val="Domylnaczcionkaakapitu"/>
    <w:link w:val="Tekstkomentarza"/>
    <w:uiPriority w:val="99"/>
    <w:qFormat/>
    <w:rsid w:val="0026723B"/>
    <w:rPr>
      <w:sz w:val="20"/>
      <w:szCs w:val="20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qFormat/>
    <w:rsid w:val="0026723B"/>
    <w:rPr>
      <w:b/>
      <w:bCs/>
      <w:sz w:val="20"/>
      <w:szCs w:val="20"/>
    </w:rPr>
  </w:style>
  <w:style w:type="character" w:customStyle="1" w:styleId="Nagwek1Znak">
    <w:name w:val="Nagłówek 1 Znak"/>
    <w:basedOn w:val="Domylnaczcionkaakapitu"/>
    <w:link w:val="Nagwek1"/>
    <w:uiPriority w:val="9"/>
    <w:qFormat/>
    <w:rsid w:val="00EB55F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qFormat/>
    <w:rsid w:val="00EB55F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ipercze">
    <w:name w:val="Hyperlink"/>
    <w:basedOn w:val="Domylnaczcionkaakapitu"/>
    <w:uiPriority w:val="99"/>
    <w:unhideWhenUsed/>
    <w:rsid w:val="003C7AA9"/>
    <w:rPr>
      <w:color w:val="0563C1" w:themeColor="hyperlink"/>
      <w:u w:val="single"/>
    </w:rPr>
  </w:style>
  <w:style w:type="character" w:customStyle="1" w:styleId="NagwekZnak">
    <w:name w:val="Nagłówek Znak"/>
    <w:basedOn w:val="Domylnaczcionkaakapitu"/>
    <w:link w:val="Nagwek"/>
    <w:uiPriority w:val="99"/>
    <w:qFormat/>
    <w:rsid w:val="00C42E24"/>
    <w:rPr>
      <w:rFonts w:ascii="Times New Roman" w:hAnsi="Times New Roman"/>
      <w:sz w:val="24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C42E24"/>
    <w:rPr>
      <w:rFonts w:ascii="Times New Roman" w:hAnsi="Times New Roman"/>
      <w:sz w:val="24"/>
    </w:rPr>
  </w:style>
  <w:style w:type="character" w:customStyle="1" w:styleId="Nagwek3Znak">
    <w:name w:val="Nagłówek 3 Znak"/>
    <w:basedOn w:val="Domylnaczcionkaakapitu"/>
    <w:link w:val="Nagwek3"/>
    <w:uiPriority w:val="9"/>
    <w:qFormat/>
    <w:rsid w:val="00F1576B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qFormat/>
    <w:rsid w:val="006B32F9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ytuZnak">
    <w:name w:val="Tytuł Znak"/>
    <w:basedOn w:val="Domylnaczcionkaakapitu"/>
    <w:link w:val="Tytu"/>
    <w:uiPriority w:val="10"/>
    <w:qFormat/>
    <w:rsid w:val="006B32F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6B32F9"/>
    <w:rPr>
      <w:rFonts w:eastAsiaTheme="minorEastAsia"/>
      <w:color w:val="5A5A5A" w:themeColor="text1" w:themeTint="A5"/>
      <w:spacing w:val="15"/>
    </w:rPr>
  </w:style>
  <w:style w:type="character" w:styleId="Nierozpoznanawzmianka">
    <w:name w:val="Unresolved Mention"/>
    <w:basedOn w:val="Domylnaczcionkaakapitu"/>
    <w:uiPriority w:val="99"/>
    <w:semiHidden/>
    <w:unhideWhenUsed/>
    <w:qFormat/>
    <w:rsid w:val="008F30C6"/>
    <w:rPr>
      <w:color w:val="605E5C"/>
      <w:shd w:val="clear" w:color="auto" w:fill="E1DFDD"/>
    </w:rPr>
  </w:style>
  <w:style w:type="character" w:customStyle="1" w:styleId="TekstprzypisudolnegoZnak">
    <w:name w:val="Tekst przypisu dolnego Znak"/>
    <w:basedOn w:val="Domylnaczcionkaakapitu"/>
    <w:link w:val="Tekstprzypisudolnego"/>
    <w:qFormat/>
    <w:rsid w:val="002D5A84"/>
    <w:rPr>
      <w:rFonts w:ascii="Calibri Light" w:eastAsia="Times New Roman" w:hAnsi="Calibri Light" w:cs="Times New Roman"/>
      <w:sz w:val="20"/>
      <w:szCs w:val="20"/>
    </w:rPr>
  </w:style>
  <w:style w:type="character" w:customStyle="1" w:styleId="FootnoteCharacters">
    <w:name w:val="Footnote Characters"/>
    <w:semiHidden/>
    <w:unhideWhenUsed/>
    <w:qFormat/>
    <w:rsid w:val="002D5A84"/>
    <w:rPr>
      <w:vertAlign w:val="superscript"/>
    </w:rPr>
  </w:style>
  <w:style w:type="character" w:styleId="Odwoanieprzypisudolnego">
    <w:name w:val="footnote reference"/>
    <w:rPr>
      <w:vertAlign w:val="superscript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ucida 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Lucida Sans"/>
    </w:rPr>
  </w:style>
  <w:style w:type="paragraph" w:styleId="Akapitzlist">
    <w:name w:val="List Paragraph"/>
    <w:basedOn w:val="Normalny"/>
    <w:uiPriority w:val="34"/>
    <w:qFormat/>
    <w:rsid w:val="00A70446"/>
    <w:pPr>
      <w:ind w:left="720"/>
      <w:contextualSpacing/>
    </w:pPr>
  </w:style>
  <w:style w:type="paragraph" w:customStyle="1" w:styleId="caption1">
    <w:name w:val="caption1"/>
    <w:basedOn w:val="Normalny"/>
    <w:next w:val="Normalny"/>
    <w:uiPriority w:val="35"/>
    <w:unhideWhenUsed/>
    <w:qFormat/>
    <w:rsid w:val="00F940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kstkomentarza">
    <w:name w:val="annotation text"/>
    <w:basedOn w:val="Normalny"/>
    <w:link w:val="TekstkomentarzaZnak"/>
    <w:uiPriority w:val="99"/>
    <w:unhideWhenUsed/>
    <w:qFormat/>
    <w:rsid w:val="0026723B"/>
    <w:pPr>
      <w:spacing w:line="240" w:lineRule="auto"/>
    </w:pPr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qFormat/>
    <w:rsid w:val="0026723B"/>
    <w:rPr>
      <w:b/>
      <w:bCs/>
    </w:rPr>
  </w:style>
  <w:style w:type="paragraph" w:styleId="Poprawka">
    <w:name w:val="Revision"/>
    <w:uiPriority w:val="99"/>
    <w:semiHidden/>
    <w:qFormat/>
    <w:rsid w:val="0026723B"/>
  </w:style>
  <w:style w:type="paragraph" w:styleId="Nagwekindeksu">
    <w:name w:val="index heading"/>
    <w:basedOn w:val="Heading"/>
  </w:style>
  <w:style w:type="paragraph" w:styleId="Nagwekspisutreci">
    <w:name w:val="TOC Heading"/>
    <w:basedOn w:val="Nagwek1"/>
    <w:next w:val="Normalny"/>
    <w:uiPriority w:val="39"/>
    <w:unhideWhenUsed/>
    <w:qFormat/>
    <w:rsid w:val="003C7AA9"/>
    <w:pPr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3C7AA9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3C7AA9"/>
    <w:pPr>
      <w:spacing w:after="100"/>
      <w:ind w:left="220"/>
    </w:pPr>
  </w:style>
  <w:style w:type="paragraph" w:customStyle="1" w:styleId="HeaderandFooter">
    <w:name w:val="Header and Footer"/>
    <w:basedOn w:val="Normalny"/>
    <w:qFormat/>
  </w:style>
  <w:style w:type="paragraph" w:styleId="Nagwek">
    <w:name w:val="header"/>
    <w:basedOn w:val="Normalny"/>
    <w:link w:val="NagwekZnak"/>
    <w:uiPriority w:val="99"/>
    <w:unhideWhenUsed/>
    <w:rsid w:val="00C42E24"/>
    <w:pPr>
      <w:tabs>
        <w:tab w:val="center" w:pos="4536"/>
        <w:tab w:val="right" w:pos="9072"/>
      </w:tabs>
      <w:spacing w:after="0" w:line="240" w:lineRule="auto"/>
    </w:pPr>
  </w:style>
  <w:style w:type="paragraph" w:styleId="Stopka">
    <w:name w:val="footer"/>
    <w:basedOn w:val="Normalny"/>
    <w:link w:val="StopkaZnak"/>
    <w:uiPriority w:val="99"/>
    <w:unhideWhenUsed/>
    <w:rsid w:val="00C42E24"/>
    <w:pPr>
      <w:tabs>
        <w:tab w:val="center" w:pos="4536"/>
        <w:tab w:val="right" w:pos="9072"/>
      </w:tabs>
      <w:spacing w:after="0" w:line="240" w:lineRule="auto"/>
    </w:pPr>
  </w:style>
  <w:style w:type="paragraph" w:styleId="Spistreci3">
    <w:name w:val="toc 3"/>
    <w:basedOn w:val="Normalny"/>
    <w:next w:val="Normalny"/>
    <w:autoRedefine/>
    <w:uiPriority w:val="39"/>
    <w:unhideWhenUsed/>
    <w:rsid w:val="00B94EE6"/>
    <w:pPr>
      <w:spacing w:after="100"/>
      <w:ind w:left="480"/>
    </w:pPr>
  </w:style>
  <w:style w:type="paragraph" w:styleId="Tytu">
    <w:name w:val="Title"/>
    <w:basedOn w:val="Normalny"/>
    <w:next w:val="Normalny"/>
    <w:link w:val="TytuZnak"/>
    <w:uiPriority w:val="10"/>
    <w:qFormat/>
    <w:rsid w:val="006B32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B32F9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paragraph" w:styleId="Bezodstpw">
    <w:name w:val="No Spacing"/>
    <w:uiPriority w:val="1"/>
    <w:qFormat/>
    <w:rsid w:val="006B32F9"/>
    <w:rPr>
      <w:rFonts w:ascii="Times New Roman" w:hAnsi="Times New Roman"/>
      <w:sz w:val="24"/>
    </w:rPr>
  </w:style>
  <w:style w:type="paragraph" w:styleId="Tekstprzypisudolnego">
    <w:name w:val="footnote text"/>
    <w:basedOn w:val="Normalny"/>
    <w:link w:val="TekstprzypisudolnegoZnak"/>
    <w:unhideWhenUsed/>
    <w:rsid w:val="002D5A84"/>
    <w:pPr>
      <w:spacing w:after="200" w:line="240" w:lineRule="auto"/>
    </w:pPr>
    <w:rPr>
      <w:rFonts w:ascii="Calibri Light" w:eastAsia="Times New Roman" w:hAnsi="Calibri Light" w:cs="Times New Roman"/>
      <w:sz w:val="20"/>
      <w:szCs w:val="20"/>
    </w:rPr>
  </w:style>
  <w:style w:type="paragraph" w:customStyle="1" w:styleId="FrameContents">
    <w:name w:val="Frame Contents"/>
    <w:basedOn w:val="Normalny"/>
    <w:qFormat/>
  </w:style>
  <w:style w:type="table" w:styleId="Tabela-Siatka">
    <w:name w:val="Table Grid"/>
    <w:basedOn w:val="Standardowy"/>
    <w:uiPriority w:val="39"/>
    <w:rsid w:val="00F73C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yteHipercze">
    <w:name w:val="FollowedHyperlink"/>
    <w:basedOn w:val="Domylnaczcionkaakapitu"/>
    <w:uiPriority w:val="99"/>
    <w:semiHidden/>
    <w:unhideWhenUsed/>
    <w:rsid w:val="00E97A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DB7AF-51B0-423B-9131-8D1A88353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13766</TotalTime>
  <Pages>18</Pages>
  <Words>2212</Words>
  <Characters>13272</Characters>
  <Application>Microsoft Office Word</Application>
  <DocSecurity>0</DocSecurity>
  <Lines>110</Lines>
  <Paragraphs>30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Dragosz</dc:creator>
  <cp:keywords/>
  <dc:description/>
  <cp:lastModifiedBy>Rafał Klimek</cp:lastModifiedBy>
  <cp:revision>13</cp:revision>
  <cp:lastPrinted>2022-10-26T20:40:00Z</cp:lastPrinted>
  <dcterms:created xsi:type="dcterms:W3CDTF">2026-05-03T20:03:00Z</dcterms:created>
  <dcterms:modified xsi:type="dcterms:W3CDTF">2026-06-06T23:18:00Z</dcterms:modified>
  <dc:language>en-GB</dc:language>
</cp:coreProperties>
</file>