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04B41" w:rsidP="007B78B1" w:rsidRDefault="00704B41" w14:paraId="3C88C559" w14:textId="77777777" w14:noSpellErr="1">
      <w:pPr>
        <w:spacing w:line="480" w:lineRule="auto"/>
        <w:ind w:firstLine="720"/>
        <w:jc w:val="center"/>
        <w:rPr>
          <w:b w:val="1"/>
          <w:bCs w:val="1"/>
          <w:u w:val="single"/>
        </w:rPr>
      </w:pPr>
      <w:bookmarkStart w:name="dabmch_37" w:id="143"/>
      <w:r w:rsidRPr="169C089D" w:rsidR="00704B41">
        <w:rPr>
          <w:b w:val="1"/>
          <w:bCs w:val="1"/>
          <w:u w:val="single"/>
        </w:rPr>
        <w:t>BRIEF IN SUPPORT</w:t>
      </w:r>
      <w:bookmarkEnd w:id="143"/>
    </w:p>
    <w:sectPr w:rsidRPr="00704B41" w:rsidR="00300552" w:rsidSect="00704B41">
      <w:footerReference w:type="default" r:id="rId10"/>
      <w:headerReference w:type="default" r:id="rId15"/>
      <w:pgSz w:w="12240" w:h="15840" w:orient="portrait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34EC3" w:rsidP="00B51487" w:rsidRDefault="00134EC3" w14:paraId="6D30BFB5" w14:textId="77777777">
      <w:r>
        <w:separator/>
      </w:r>
    </w:p>
  </w:endnote>
  <w:endnote w:type="continuationSeparator" w:id="0">
    <w:p w:rsidR="00134EC3" w:rsidP="00B51487" w:rsidRDefault="00134EC3" w14:paraId="224C74E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name="dabmch_0" w:displacedByCustomXml="next" w:id="587"/>
  <w:sdt>
    <w:sdtPr>
      <w:id w:val="-2104718035"/>
      <w:docPartObj>
        <w:docPartGallery w:val="Page Numbers (Bottom of Page)"/>
        <w:docPartUnique/>
      </w:docPartObj>
    </w:sdtPr>
    <w:sdtEndPr>
      <w:rPr>
        <w:noProof/>
      </w:rPr>
    </w:sdtEndPr>
    <w:sdtContent>
      <w:p w:rsidRPr="00EC03FB" w:rsidR="00B51487" w:rsidRDefault="00000000" w14:paraId="1D503761" w14:textId="77777777">
        <w:pPr>
          <w:pStyle w:val="Footer"/>
          <w:jc w:val="right"/>
        </w:pPr>
        <w:r w:rsidRPr="00EC03FB">
          <w:fldChar w:fldCharType="begin"/>
        </w:r>
        <w:r w:rsidRPr="00EC03FB">
          <w:instrText xml:space="preserve"> PAGE   \* MERGEFORMAT </w:instrText>
        </w:r>
        <w:r w:rsidRPr="00EC03FB">
          <w:fldChar w:fldCharType="separate"/>
        </w:r>
        <w:r w:rsidRPr="00EC03FB">
          <w:rPr>
            <w:noProof/>
          </w:rPr>
          <w:t>2</w:t>
        </w:r>
        <w:r w:rsidRPr="00EC03FB">
          <w:rPr>
            <w:noProof/>
          </w:rPr>
          <w:fldChar w:fldCharType="end"/>
        </w:r>
      </w:p>
    </w:sdtContent>
  </w:sdt>
  <w:bookmarkEnd w:displacedByCustomXml="next" w:id="587"/>
  <w:p w:rsidRPr="00EC03FB" w:rsidR="00B51487" w:rsidRDefault="00B51487" w14:paraId="2969383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34EC3" w:rsidP="00B51487" w:rsidRDefault="00134EC3" w14:paraId="55954239" w14:textId="77777777">
      <w:r>
        <w:separator/>
      </w:r>
    </w:p>
  </w:footnote>
  <w:footnote w:type="continuationSeparator" w:id="0">
    <w:p w:rsidR="00134EC3" w:rsidP="00B51487" w:rsidRDefault="00134EC3" w14:paraId="422E0113" w14:textId="7777777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1SaxkX1iJrgWY0" int2:id="URXEbOMY">
      <int2:state int2:type="spell" int2:value="Rejected"/>
    </int2:textHash>
    <int2:textHash int2:hashCode="xUxujjLOwuJv/x" int2:id="I2wIqbqn">
      <int2:state int2:type="spell" int2:value="Rejected"/>
    </int2:textHash>
    <int2:textHash int2:hashCode="Jsuoe+rYKzaSnN" int2:id="5iZHY8xc">
      <int2:state int2:type="spell" int2:value="Rejected"/>
    </int2:textHash>
    <int2:bookmark int2:bookmarkName="_Int_UsURpiDz" int2:invalidationBookmarkName="" int2:hashCode="cTCZZo8EHQ9y1m" int2:id="HBFWmwhj">
      <int2:state int2:type="style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FA205E"/>
    <w:multiLevelType w:val="hybridMultilevel"/>
    <w:tmpl w:val="FFFAA880"/>
    <w:lvl w:ilvl="0" w:tplc="65642922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6458F808">
      <w:start w:val="1"/>
      <w:numFmt w:val="lowerLetter"/>
      <w:lvlText w:val="%2."/>
      <w:lvlJc w:val="left"/>
      <w:pPr>
        <w:ind w:left="1800" w:hanging="360"/>
      </w:pPr>
    </w:lvl>
    <w:lvl w:ilvl="2" w:tplc="02AE12CE" w:tentative="1">
      <w:start w:val="1"/>
      <w:numFmt w:val="lowerRoman"/>
      <w:lvlText w:val="%3."/>
      <w:lvlJc w:val="right"/>
      <w:pPr>
        <w:ind w:left="2520" w:hanging="180"/>
      </w:pPr>
    </w:lvl>
    <w:lvl w:ilvl="3" w:tplc="D4323FBE" w:tentative="1">
      <w:start w:val="1"/>
      <w:numFmt w:val="decimal"/>
      <w:lvlText w:val="%4."/>
      <w:lvlJc w:val="left"/>
      <w:pPr>
        <w:ind w:left="3240" w:hanging="360"/>
      </w:pPr>
    </w:lvl>
    <w:lvl w:ilvl="4" w:tplc="E86E59E4" w:tentative="1">
      <w:start w:val="1"/>
      <w:numFmt w:val="lowerLetter"/>
      <w:lvlText w:val="%5."/>
      <w:lvlJc w:val="left"/>
      <w:pPr>
        <w:ind w:left="3960" w:hanging="360"/>
      </w:pPr>
    </w:lvl>
    <w:lvl w:ilvl="5" w:tplc="16BC7D50" w:tentative="1">
      <w:start w:val="1"/>
      <w:numFmt w:val="lowerRoman"/>
      <w:lvlText w:val="%6."/>
      <w:lvlJc w:val="right"/>
      <w:pPr>
        <w:ind w:left="4680" w:hanging="180"/>
      </w:pPr>
    </w:lvl>
    <w:lvl w:ilvl="6" w:tplc="CE5C57F0" w:tentative="1">
      <w:start w:val="1"/>
      <w:numFmt w:val="decimal"/>
      <w:lvlText w:val="%7."/>
      <w:lvlJc w:val="left"/>
      <w:pPr>
        <w:ind w:left="5400" w:hanging="360"/>
      </w:pPr>
    </w:lvl>
    <w:lvl w:ilvl="7" w:tplc="E7AC6D38" w:tentative="1">
      <w:start w:val="1"/>
      <w:numFmt w:val="lowerLetter"/>
      <w:lvlText w:val="%8."/>
      <w:lvlJc w:val="left"/>
      <w:pPr>
        <w:ind w:left="6120" w:hanging="360"/>
      </w:pPr>
    </w:lvl>
    <w:lvl w:ilvl="8" w:tplc="95E85E66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01580107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Vincel, Matthew">
    <w15:presenceInfo w15:providerId="AD" w15:userId="S::mvincel@lasclev.org::f7635690-5f59-4429-9416-d45603291819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8B1"/>
    <w:rsid w:val="00001436"/>
    <w:rsid w:val="00002442"/>
    <w:rsid w:val="0000300A"/>
    <w:rsid w:val="00003537"/>
    <w:rsid w:val="00005680"/>
    <w:rsid w:val="00026B94"/>
    <w:rsid w:val="00033FB7"/>
    <w:rsid w:val="00044DA6"/>
    <w:rsid w:val="00065B5E"/>
    <w:rsid w:val="00072A2B"/>
    <w:rsid w:val="000863D5"/>
    <w:rsid w:val="000B3747"/>
    <w:rsid w:val="000D3C72"/>
    <w:rsid w:val="000D62A4"/>
    <w:rsid w:val="000E7905"/>
    <w:rsid w:val="00115F95"/>
    <w:rsid w:val="00120949"/>
    <w:rsid w:val="0013127E"/>
    <w:rsid w:val="00134EC3"/>
    <w:rsid w:val="001402FF"/>
    <w:rsid w:val="0015258B"/>
    <w:rsid w:val="00173D28"/>
    <w:rsid w:val="00192DF7"/>
    <w:rsid w:val="001A478C"/>
    <w:rsid w:val="001B3324"/>
    <w:rsid w:val="001C037D"/>
    <w:rsid w:val="001E0081"/>
    <w:rsid w:val="001E2593"/>
    <w:rsid w:val="001E6A36"/>
    <w:rsid w:val="001E7E5E"/>
    <w:rsid w:val="001F50EA"/>
    <w:rsid w:val="00212296"/>
    <w:rsid w:val="00212494"/>
    <w:rsid w:val="00221264"/>
    <w:rsid w:val="002412E8"/>
    <w:rsid w:val="00244E29"/>
    <w:rsid w:val="00250720"/>
    <w:rsid w:val="002724B4"/>
    <w:rsid w:val="002A5F7D"/>
    <w:rsid w:val="002B2B6F"/>
    <w:rsid w:val="002C5C4F"/>
    <w:rsid w:val="002D6B1D"/>
    <w:rsid w:val="002E20A5"/>
    <w:rsid w:val="00300552"/>
    <w:rsid w:val="00302CCA"/>
    <w:rsid w:val="00323326"/>
    <w:rsid w:val="00331CC1"/>
    <w:rsid w:val="003353A3"/>
    <w:rsid w:val="00342968"/>
    <w:rsid w:val="003564B2"/>
    <w:rsid w:val="00390142"/>
    <w:rsid w:val="00397546"/>
    <w:rsid w:val="003D169A"/>
    <w:rsid w:val="004003F4"/>
    <w:rsid w:val="0043072A"/>
    <w:rsid w:val="00432586"/>
    <w:rsid w:val="00432A59"/>
    <w:rsid w:val="00453B52"/>
    <w:rsid w:val="00456646"/>
    <w:rsid w:val="00457604"/>
    <w:rsid w:val="00461BAA"/>
    <w:rsid w:val="004753B4"/>
    <w:rsid w:val="00476A25"/>
    <w:rsid w:val="0047751B"/>
    <w:rsid w:val="0049443A"/>
    <w:rsid w:val="004970DD"/>
    <w:rsid w:val="004A19F1"/>
    <w:rsid w:val="004B4234"/>
    <w:rsid w:val="004B528B"/>
    <w:rsid w:val="004C5B9A"/>
    <w:rsid w:val="004C7C0E"/>
    <w:rsid w:val="00504C75"/>
    <w:rsid w:val="00507FB1"/>
    <w:rsid w:val="00522E82"/>
    <w:rsid w:val="005529AE"/>
    <w:rsid w:val="005609E7"/>
    <w:rsid w:val="005913EF"/>
    <w:rsid w:val="0059282C"/>
    <w:rsid w:val="00595CC6"/>
    <w:rsid w:val="00596549"/>
    <w:rsid w:val="005976E0"/>
    <w:rsid w:val="005B4EF9"/>
    <w:rsid w:val="005C3E81"/>
    <w:rsid w:val="005D7C38"/>
    <w:rsid w:val="005F7B7A"/>
    <w:rsid w:val="006107D2"/>
    <w:rsid w:val="006229DE"/>
    <w:rsid w:val="00636F32"/>
    <w:rsid w:val="00637B81"/>
    <w:rsid w:val="006557D8"/>
    <w:rsid w:val="00657C6E"/>
    <w:rsid w:val="00657CE0"/>
    <w:rsid w:val="00661094"/>
    <w:rsid w:val="00671E9F"/>
    <w:rsid w:val="006816F1"/>
    <w:rsid w:val="006872E5"/>
    <w:rsid w:val="006874D9"/>
    <w:rsid w:val="00690A84"/>
    <w:rsid w:val="006C057D"/>
    <w:rsid w:val="006C1CCC"/>
    <w:rsid w:val="006D1D08"/>
    <w:rsid w:val="006E022B"/>
    <w:rsid w:val="006E4367"/>
    <w:rsid w:val="00704B41"/>
    <w:rsid w:val="007079A3"/>
    <w:rsid w:val="00716551"/>
    <w:rsid w:val="00717518"/>
    <w:rsid w:val="00733271"/>
    <w:rsid w:val="0073521E"/>
    <w:rsid w:val="00735951"/>
    <w:rsid w:val="0073714A"/>
    <w:rsid w:val="00737D55"/>
    <w:rsid w:val="00751149"/>
    <w:rsid w:val="00751EA1"/>
    <w:rsid w:val="00752744"/>
    <w:rsid w:val="00753A77"/>
    <w:rsid w:val="0075AF38"/>
    <w:rsid w:val="007625CF"/>
    <w:rsid w:val="00776E81"/>
    <w:rsid w:val="00795005"/>
    <w:rsid w:val="00795032"/>
    <w:rsid w:val="007A6A8A"/>
    <w:rsid w:val="007B78B1"/>
    <w:rsid w:val="007C1016"/>
    <w:rsid w:val="007C591F"/>
    <w:rsid w:val="007E0036"/>
    <w:rsid w:val="007E0768"/>
    <w:rsid w:val="007F4365"/>
    <w:rsid w:val="0081283A"/>
    <w:rsid w:val="00831CB2"/>
    <w:rsid w:val="00836855"/>
    <w:rsid w:val="00837F82"/>
    <w:rsid w:val="00845748"/>
    <w:rsid w:val="0085250B"/>
    <w:rsid w:val="00864A61"/>
    <w:rsid w:val="00866B59"/>
    <w:rsid w:val="00881A9E"/>
    <w:rsid w:val="00883295"/>
    <w:rsid w:val="008912B9"/>
    <w:rsid w:val="00897309"/>
    <w:rsid w:val="008A6951"/>
    <w:rsid w:val="008B0473"/>
    <w:rsid w:val="008B7152"/>
    <w:rsid w:val="008C4AF4"/>
    <w:rsid w:val="008C65F7"/>
    <w:rsid w:val="008E39B6"/>
    <w:rsid w:val="008F54F0"/>
    <w:rsid w:val="00925E63"/>
    <w:rsid w:val="00953F18"/>
    <w:rsid w:val="009543D0"/>
    <w:rsid w:val="00961B34"/>
    <w:rsid w:val="009625B0"/>
    <w:rsid w:val="0096371E"/>
    <w:rsid w:val="00972D91"/>
    <w:rsid w:val="0098333F"/>
    <w:rsid w:val="00990B67"/>
    <w:rsid w:val="009914D2"/>
    <w:rsid w:val="0099734A"/>
    <w:rsid w:val="009C0F6A"/>
    <w:rsid w:val="009E0103"/>
    <w:rsid w:val="009E7731"/>
    <w:rsid w:val="009F6DD0"/>
    <w:rsid w:val="00A1056B"/>
    <w:rsid w:val="00A113E5"/>
    <w:rsid w:val="00A36C64"/>
    <w:rsid w:val="00A51A46"/>
    <w:rsid w:val="00A53711"/>
    <w:rsid w:val="00A640FD"/>
    <w:rsid w:val="00A851F8"/>
    <w:rsid w:val="00AA51C6"/>
    <w:rsid w:val="00AB3E46"/>
    <w:rsid w:val="00AC6397"/>
    <w:rsid w:val="00AC649D"/>
    <w:rsid w:val="00AE146A"/>
    <w:rsid w:val="00B06180"/>
    <w:rsid w:val="00B23AF1"/>
    <w:rsid w:val="00B24E19"/>
    <w:rsid w:val="00B25523"/>
    <w:rsid w:val="00B3705A"/>
    <w:rsid w:val="00B4647F"/>
    <w:rsid w:val="00B51487"/>
    <w:rsid w:val="00B52ABF"/>
    <w:rsid w:val="00B52D8E"/>
    <w:rsid w:val="00B60828"/>
    <w:rsid w:val="00B81196"/>
    <w:rsid w:val="00B81621"/>
    <w:rsid w:val="00B8206D"/>
    <w:rsid w:val="00B92516"/>
    <w:rsid w:val="00BB531A"/>
    <w:rsid w:val="00BC1A15"/>
    <w:rsid w:val="00BC69DF"/>
    <w:rsid w:val="00BD2FC3"/>
    <w:rsid w:val="00BD52CB"/>
    <w:rsid w:val="00BE4D48"/>
    <w:rsid w:val="00C4001B"/>
    <w:rsid w:val="00C40137"/>
    <w:rsid w:val="00C45D35"/>
    <w:rsid w:val="00C672B8"/>
    <w:rsid w:val="00C91EC4"/>
    <w:rsid w:val="00C94780"/>
    <w:rsid w:val="00CA0301"/>
    <w:rsid w:val="00CA4845"/>
    <w:rsid w:val="00CB7579"/>
    <w:rsid w:val="00CC488C"/>
    <w:rsid w:val="00CC6A81"/>
    <w:rsid w:val="00CD0ACA"/>
    <w:rsid w:val="00CD799E"/>
    <w:rsid w:val="00CF0667"/>
    <w:rsid w:val="00D1055C"/>
    <w:rsid w:val="00D40CD0"/>
    <w:rsid w:val="00D6670A"/>
    <w:rsid w:val="00D73D2C"/>
    <w:rsid w:val="00D74591"/>
    <w:rsid w:val="00D856B8"/>
    <w:rsid w:val="00DA0E17"/>
    <w:rsid w:val="00DA1E85"/>
    <w:rsid w:val="00DB3809"/>
    <w:rsid w:val="00DC65E3"/>
    <w:rsid w:val="00DE0724"/>
    <w:rsid w:val="00DF6720"/>
    <w:rsid w:val="00E0108D"/>
    <w:rsid w:val="00E10789"/>
    <w:rsid w:val="00E10D18"/>
    <w:rsid w:val="00E257C1"/>
    <w:rsid w:val="00E44156"/>
    <w:rsid w:val="00E4631C"/>
    <w:rsid w:val="00E54B71"/>
    <w:rsid w:val="00E64082"/>
    <w:rsid w:val="00E71473"/>
    <w:rsid w:val="00E8015B"/>
    <w:rsid w:val="00EB263D"/>
    <w:rsid w:val="00EB5220"/>
    <w:rsid w:val="00EB6D5E"/>
    <w:rsid w:val="00EC03FB"/>
    <w:rsid w:val="00ED048A"/>
    <w:rsid w:val="00EF12B9"/>
    <w:rsid w:val="00F078A8"/>
    <w:rsid w:val="00F12079"/>
    <w:rsid w:val="00F20EF7"/>
    <w:rsid w:val="00F2639E"/>
    <w:rsid w:val="00F27056"/>
    <w:rsid w:val="00F35BFF"/>
    <w:rsid w:val="00F35F14"/>
    <w:rsid w:val="00F45080"/>
    <w:rsid w:val="00F45496"/>
    <w:rsid w:val="00F51547"/>
    <w:rsid w:val="00F72C12"/>
    <w:rsid w:val="00F7635E"/>
    <w:rsid w:val="00F825C5"/>
    <w:rsid w:val="00F82AE3"/>
    <w:rsid w:val="00F970D7"/>
    <w:rsid w:val="00FA454B"/>
    <w:rsid w:val="00FB5ABA"/>
    <w:rsid w:val="00FC1EE5"/>
    <w:rsid w:val="0280B275"/>
    <w:rsid w:val="0289FE4B"/>
    <w:rsid w:val="059C0A41"/>
    <w:rsid w:val="0657816B"/>
    <w:rsid w:val="082D5ED8"/>
    <w:rsid w:val="0D22002C"/>
    <w:rsid w:val="0EC4CA7F"/>
    <w:rsid w:val="104A6296"/>
    <w:rsid w:val="10ED67B1"/>
    <w:rsid w:val="12340717"/>
    <w:rsid w:val="161BC173"/>
    <w:rsid w:val="169C089D"/>
    <w:rsid w:val="17AC0B76"/>
    <w:rsid w:val="1B552420"/>
    <w:rsid w:val="1B89D893"/>
    <w:rsid w:val="1BEB7B80"/>
    <w:rsid w:val="1CD02C85"/>
    <w:rsid w:val="1D476532"/>
    <w:rsid w:val="1D54E41C"/>
    <w:rsid w:val="1DF19E5B"/>
    <w:rsid w:val="2324AE0A"/>
    <w:rsid w:val="25820F63"/>
    <w:rsid w:val="28A36EEE"/>
    <w:rsid w:val="2909A697"/>
    <w:rsid w:val="2932AA90"/>
    <w:rsid w:val="2ACA3430"/>
    <w:rsid w:val="2CCEC122"/>
    <w:rsid w:val="2E05D2A5"/>
    <w:rsid w:val="2EA3E4BE"/>
    <w:rsid w:val="2F26CA45"/>
    <w:rsid w:val="30145FC1"/>
    <w:rsid w:val="32484016"/>
    <w:rsid w:val="33480864"/>
    <w:rsid w:val="336144E1"/>
    <w:rsid w:val="36461E5C"/>
    <w:rsid w:val="3731A8C4"/>
    <w:rsid w:val="38CB7567"/>
    <w:rsid w:val="3A0A2165"/>
    <w:rsid w:val="3AD568E2"/>
    <w:rsid w:val="3FD99189"/>
    <w:rsid w:val="405A4D25"/>
    <w:rsid w:val="40D23B18"/>
    <w:rsid w:val="428F7484"/>
    <w:rsid w:val="43436671"/>
    <w:rsid w:val="434D6277"/>
    <w:rsid w:val="43A9A5A3"/>
    <w:rsid w:val="43F73EED"/>
    <w:rsid w:val="44A2ED8F"/>
    <w:rsid w:val="476A933F"/>
    <w:rsid w:val="484B04DE"/>
    <w:rsid w:val="48BD888F"/>
    <w:rsid w:val="48C84E39"/>
    <w:rsid w:val="4A184330"/>
    <w:rsid w:val="4C0FAE2C"/>
    <w:rsid w:val="51ED5050"/>
    <w:rsid w:val="523A0C5F"/>
    <w:rsid w:val="52B06A19"/>
    <w:rsid w:val="52F51F61"/>
    <w:rsid w:val="5474377D"/>
    <w:rsid w:val="56726A2B"/>
    <w:rsid w:val="56CE4EC8"/>
    <w:rsid w:val="57A40D39"/>
    <w:rsid w:val="57E41899"/>
    <w:rsid w:val="58FA3E37"/>
    <w:rsid w:val="5980E7D0"/>
    <w:rsid w:val="5C518C77"/>
    <w:rsid w:val="5D109A8C"/>
    <w:rsid w:val="5E28294D"/>
    <w:rsid w:val="5F97511F"/>
    <w:rsid w:val="5FB7292F"/>
    <w:rsid w:val="5FF21245"/>
    <w:rsid w:val="62C14D26"/>
    <w:rsid w:val="66A6D93E"/>
    <w:rsid w:val="66B11BD7"/>
    <w:rsid w:val="670B8EE2"/>
    <w:rsid w:val="6723B411"/>
    <w:rsid w:val="6766F8C9"/>
    <w:rsid w:val="682BE25F"/>
    <w:rsid w:val="6A26C8E2"/>
    <w:rsid w:val="6B6478B3"/>
    <w:rsid w:val="6BC2959A"/>
    <w:rsid w:val="6BF2816A"/>
    <w:rsid w:val="6FD99E8F"/>
    <w:rsid w:val="7184D5D0"/>
    <w:rsid w:val="74018936"/>
    <w:rsid w:val="78A51655"/>
    <w:rsid w:val="79F58663"/>
    <w:rsid w:val="7B009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12CD7"/>
  <w15:chartTrackingRefBased/>
  <w15:docId w15:val="{8EFD7FFD-6BDB-4A81-9C60-07C7A0E9CC4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04B41"/>
    <w:pPr>
      <w:spacing w:after="0" w:line="240" w:lineRule="auto"/>
    </w:pPr>
    <w:rPr>
      <w:rFonts w:ascii="Garamond" w:hAnsi="Garamond" w:eastAsia="Times New Roman" w:cs="Times New Roman"/>
      <w:kern w:val="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4B41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B41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B41"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B41"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B41"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0F4761" w:themeColor="accent1" w:themeShade="BF"/>
      <w:kern w:val="2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B41"/>
    <w:pPr>
      <w:keepNext/>
      <w:keepLines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B41"/>
    <w:pPr>
      <w:keepNext/>
      <w:keepLines/>
      <w:spacing w:before="4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B41"/>
    <w:pPr>
      <w:keepNext/>
      <w:keepLines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B41"/>
    <w:pPr>
      <w:keepNext/>
      <w:keepLines/>
      <w:spacing w:line="278" w:lineRule="auto"/>
      <w:outlineLvl w:val="8"/>
    </w:pPr>
    <w:rPr>
      <w:rFonts w:asciiTheme="minorHAnsi" w:hAnsiTheme="minorHAnsi" w:eastAsiaTheme="majorEastAsia" w:cstheme="majorBidi"/>
      <w:color w:val="272727" w:themeColor="text1" w:themeTint="D8"/>
      <w:kern w:val="2"/>
      <w:szCs w:val="24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rsid w:val="00704B41"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  <w:rsid w:val="00704B41"/>
  </w:style>
  <w:style w:type="character" w:styleId="Heading1Char" w:customStyle="1">
    <w:name w:val="Heading 1 Char"/>
    <w:basedOn w:val="DefaultParagraphFont"/>
    <w:link w:val="Heading1"/>
    <w:uiPriority w:val="9"/>
    <w:rsid w:val="00704B4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04B4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04B4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04B4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04B4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04B4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04B4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04B4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04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B41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sid w:val="00704B4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B41"/>
    <w:pPr>
      <w:numPr>
        <w:ilvl w:val="1"/>
      </w:numPr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styleId="SubtitleChar" w:customStyle="1">
    <w:name w:val="Subtitle Char"/>
    <w:basedOn w:val="DefaultParagraphFont"/>
    <w:link w:val="Subtitle"/>
    <w:uiPriority w:val="11"/>
    <w:rsid w:val="00704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B41"/>
    <w:pPr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:szCs w:val="24"/>
      <w14:ligatures w14:val="standardContextual"/>
    </w:rPr>
  </w:style>
  <w:style w:type="character" w:styleId="QuoteChar" w:customStyle="1">
    <w:name w:val="Quote Char"/>
    <w:basedOn w:val="DefaultParagraphFont"/>
    <w:link w:val="Quote"/>
    <w:uiPriority w:val="29"/>
    <w:rsid w:val="00704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B41"/>
    <w:pPr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04B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B4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0F4761" w:themeColor="accent1" w:themeShade="BF"/>
      <w:kern w:val="2"/>
      <w:szCs w:val="24"/>
      <w14:ligatures w14:val="standardContextual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04B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B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4B41"/>
    <w:rPr>
      <w:color w:val="467886" w:themeColor="hyperlink"/>
      <w:u w:val="single"/>
    </w:rPr>
  </w:style>
  <w:style w:type="character" w:styleId="normaltextrun" w:customStyle="1">
    <w:name w:val="normaltextrun"/>
    <w:basedOn w:val="DefaultParagraphFont"/>
    <w:rsid w:val="00704B41"/>
  </w:style>
  <w:style w:type="paragraph" w:styleId="paragraph" w:customStyle="1">
    <w:name w:val="paragraph"/>
    <w:basedOn w:val="Normal"/>
    <w:rsid w:val="00704B41"/>
    <w:pPr>
      <w:spacing w:before="100" w:beforeAutospacing="1" w:after="100" w:afterAutospacing="1"/>
    </w:pPr>
    <w:rPr>
      <w:szCs w:val="24"/>
    </w:rPr>
  </w:style>
  <w:style w:type="character" w:styleId="eop" w:customStyle="1">
    <w:name w:val="eop"/>
    <w:basedOn w:val="DefaultParagraphFont"/>
    <w:rsid w:val="00704B41"/>
  </w:style>
  <w:style w:type="character" w:styleId="tabchar" w:customStyle="1">
    <w:name w:val="tabchar"/>
    <w:basedOn w:val="DefaultParagraphFont"/>
    <w:rsid w:val="00704B41"/>
  </w:style>
  <w:style w:type="paragraph" w:styleId="Revision">
    <w:name w:val="Revision"/>
    <w:hidden/>
    <w:uiPriority w:val="99"/>
    <w:semiHidden/>
    <w:rsid w:val="00704B41"/>
    <w:pPr>
      <w:spacing w:after="0" w:line="240" w:lineRule="auto"/>
    </w:pPr>
    <w:rPr>
      <w:rFonts w:ascii="Times New Roman" w:hAnsi="Times New Roman" w:eastAsia="Times New Roman" w:cs="Times New Roman"/>
      <w:kern w:val="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704B4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04B41"/>
    <w:rPr>
      <w:sz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704B41"/>
    <w:rPr>
      <w:rFonts w:ascii="Garamond" w:hAnsi="Garamond" w:eastAsia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04B41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704B41"/>
    <w:rPr>
      <w:rFonts w:ascii="Garamond" w:hAnsi="Garamond" w:eastAsia="Times New Roman" w:cs="Times New Roman"/>
      <w:b/>
      <w:bCs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04B41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04B41"/>
    <w:rPr>
      <w:rFonts w:ascii="Garamond" w:hAnsi="Garamond" w:eastAsia="Times New Roman" w:cs="Times New Roman"/>
      <w:kern w:val="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04B41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704B41"/>
    <w:rPr>
      <w:rFonts w:ascii="Garamond" w:hAnsi="Garamond" w:eastAsia="Times New Roman" w:cs="Times New Roman"/>
      <w:kern w:val="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40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20/10/relationships/intelligence" Target="intelligence2.xml"/><Relationship Id="rId15" Type="http://schemas.openxmlformats.org/officeDocument/2006/relationships/header" Target="header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4335293-8D56-456D-AE69-9D84589DBC3A}">
  <we:reference id="wa200006174" version="2.2.4.0" store="en-US" storeType="OMEX"/>
  <we:alternateReferences>
    <we:reference id="wa200006174" version="2.2.4.0" store="" storeType="OMEX"/>
  </we:alternateReferences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55a21bdc9b90b58f841cc2df78ff5dc4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b64e240919a4fe11bffdb09aab583098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79586D-8F34-4ACD-89C7-07BCDD767ACB}"/>
</file>

<file path=customXml/itemProps2.xml><?xml version="1.0" encoding="utf-8"?>
<ds:datastoreItem xmlns:ds="http://schemas.openxmlformats.org/officeDocument/2006/customXml" ds:itemID="{E1A2DC53-24E2-4ADB-96DE-C0AC31D14C99}">
  <ds:schemaRefs>
    <ds:schemaRef ds:uri="http://schemas.microsoft.com/office/2006/metadata/properties"/>
    <ds:schemaRef ds:uri="http://schemas.microsoft.com/office/infopath/2007/PartnerControls"/>
    <ds:schemaRef ds:uri="d62e41c9-7822-42ad-9c04-bd8d0fb23f5c"/>
    <ds:schemaRef ds:uri="4d2751dc-8e68-43b6-b178-a0d80fdb56b1"/>
  </ds:schemaRefs>
</ds:datastoreItem>
</file>

<file path=customXml/itemProps3.xml><?xml version="1.0" encoding="utf-8"?>
<ds:datastoreItem xmlns:ds="http://schemas.openxmlformats.org/officeDocument/2006/customXml" ds:itemID="{8B260023-E438-408D-A99E-FF3632BF9DE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Goodluck, Grace</dc:creator>
  <keywords/>
  <dc:description/>
  <lastModifiedBy>Patel, Shruti</lastModifiedBy>
  <revision>90</revision>
  <dcterms:created xsi:type="dcterms:W3CDTF">2025-03-06T14:10:00.0000000Z</dcterms:created>
  <dcterms:modified xsi:type="dcterms:W3CDTF">2025-11-20T18:49:04.3207026Z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MediaServiceImageTags">
    <vt:lpwstr/>
  </property>
  <property fmtid="{D5CDD505-2E9C-101B-9397-08002B2CF9AE}" pid="4" name="CL_DOC_WFID">
    <vt:lpwstr>00a69b0cc822446bba3cd4367499fd1c</vt:lpwstr>
  </property>
  <property fmtid="{D5CDD505-2E9C-101B-9397-08002B2CF9AE}" pid="5" name="CL_DOC">
    <vt:lpwstr>[{"CiteId":"dabmci_75c316d5644843c5b232944225e022dc","ShortFormType":null,"ParentId":null,"CiteWithHistoryParent":null,"CiteWithHistoryChildren":[],"SequenceNumber":15,"Offset":12,"Length":12,"OriginalCitationWithoutHistory":"R.C. 2505.09","OriginalCitation":"R.C. 2505.09","OriginalCitationWithNonbreakingChars":"R.C. 2505.09","SelectedText":null,"SelectedSuggestionIndex":null,"DocGuid":"NA0B155B05ECB11DB8852FC25F2F5B472","VerificationStatus":"NoSuggestions","EligibleCitations":null,"ContentTypes":{"System":"Statutes","DraftingAssistant":"Statutes","TableOfAuthorities":"Statutes","KeyCite":"Statutes","AuthorityCompiler":"Statutes"},"ContentSubType":"Statutes","TitleOfficial":"2505.09 Requirements for stay of execution","TitleUser":null,"CitationBounds":{"offset":0,"length":12},"CourtDateInfo":{"offset":-1,"length":-1},"DetailedUserCitation":[{"Paragraph":{"offset":-1,"length":-1},"PrePub":{"offset":-1,"length":-1},"Pub":{"offset":0,"length":4},"PubNumber":"1000279","PostPub":{"offset":5,"length":7},"PinpointPages":{"offset":-1,"length":-1},"PinpointPagesString":null,"Subsection":{"offset":-1,"length":-1},"SubsectionString":"","ExtraSuggestionString":"","NormalizedCite":"OHSTS2505.09","ParentWithHistory":"","ParentWithoutHistory":"","offset":0,"length":12}],"Jurisdiction":"State","TargetType":"","RenditionId":null,"Verified":true,"AttachedQuoteIds":[],"AllAttachedQuoteIds":null,"NonUniqueCitationInfo":null,"UserGenerated":false,"IsManualCite":false,"FormattedCitationText":"R.C. 2505.09","FormattedCitationWithHistoryText":null,"RevertCitationHtml":null,"HasKeyCite":false,"HasCitedDecisions":false,"DocumentLink":"https://www.westlaw.com/Document/NA0B155B05ECB11DB8852FC25F2F5B472/View/FullText.html?transitionType=Default&amp;contextData=(sc.Default)&amp;VR=3.0&amp;RS=da3.0","FlagLink":"https://www.westlaw.com/RelatedInformation/NA0B155B05ECB11DB8852FC25F2F5B472/kcCitingReferences.html?transitionType=Default&amp;contextData=(sc.Default)&amp;VR=3.0&amp;RS=da3.0","FlagType":"GreenFlag","FlagTypePrevious":null,"FlagHistory":null,"FlagLinks":["https://www.westlaw.com/RelatedInformation/NA0B155B05ECB11DB8852FC25F2F5B472/kcCitingReferences.html?transitionType=Default&amp;contextData=(sc.Default)&amp;VR=3.0&amp;RS=da3.0"],"FlagTypes":["GreenFlag"],"FlagTypesPrevious":[],"IgnoreKeyCiteLimits":false,"KeyCiteLimits":null,"ReporterImageAvailable":false,"ExtractedFromPageNumber":0,"ToaParentId":null,"KmDocId":null,"KmFlagImageUrl":null,"KmFlagLink":null,"PublisherDate":"","DocumentSize":null,"DocumentPageCount":null,"LocatorDocumentGuid":null,"InfoType":"Statute","EditedCitationParts":{"Title":{"FormattedText":""},"Reporter":{"FormattedText":"R.C. 2505.09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A0B155B05ECB11DB8852FC25F2F5B472/kcCitingReferences.html?transitionType=Default&amp;contextData=(sc.Default)&amp;VR=3.0&amp;RS=da3.0"}],"Order":0,"TitleMismatched":false,"TOAOrder":8,"CiteBookmark":{"id":"dabmci_75c316d5644843c5b232944225e022dc","paraNum":28,"text":"R.C. 2505.09","formattedText":"R.C. 2505.09","textInstanceIndex":0,"location":"Body","footnoteIndex":0,"offsetFromFootnote":0,"offset":331},"CustomOffset":331,"FormattedTOACitationText":"R.C. 2505.09","InHeaderFooter":false,"InToa":false},{"CiteId":"dabmci_ffd7109c85d04a098eabbd624a9dacdd","ShortFormType":null,"ParentId":"dabmci_75c316d5644843c5b232944225e022dc","CiteWithHistoryParent":null,"CiteWithHistoryChildren":[],"SequenceNumber":39,"Offset":12,"Length":12,"OriginalCitationWithoutHistory":"R.C. 2505.09","OriginalCitation":"R.C. 2505.09","OriginalCitationWithNonbreakingChars":"R.C. 2505.09","SelectedText":null,"SelectedSuggestionIndex":null,"DocGuid":"NA0B155B05ECB11DB8852FC25F2F5B472","VerificationStatus":"NoSuggestions","EligibleCitations":null,"ContentTypes":{"System":"Statutes","DraftingAssistant":"Statutes","TableOfAuthorities":"Statutes","KeyCite":"Statutes","AuthorityCompiler":"Statutes"},"ContentSubType":"Statutes","TitleOfficial":"2505.09 Requirements for stay of execution","TitleUser":null,"CitationBounds":{"offset":0,"length":12},"CourtDateInfo":{"offset":-1,"length":-1},"DetailedUserCitation":[{"Paragraph":{"offset":-1,"length":-1},"PrePub":{"offset":-1,"length":-1},"Pub":{"offset":0,"length":4},"PubNumber":"1000279","PostPub":{"offset":5,"length":7},"PinpointPages":{"offset":-1,"length":-1},"PinpointPagesString":null,"Subsection":{"offset":-1,"length":-1},"SubsectionString":"","ExtraSuggestionString":"","NormalizedCite":"OHSTS2505.09","ParentWithHistory":"","ParentWithoutHistory":"","offset":0,"length":12}],"Jurisdiction":"State","TargetType":"","RenditionId":null,"Verified":true,"AttachedQuoteIds":[],"AllAttachedQuoteIds":null,"NonUniqueCitationInfo":null,"UserGenerated":false,"IsManualCite":false,"FormattedCitationText":"R.C. 2505.09","FormattedCitationWithHistoryText":null,"RevertCitationHtml":null,"HasKeyCite":false,"HasCitedDecisions":false,"DocumentLink":"https://www.westlaw.com/Document/NA0B155B05ECB11DB8852FC25F2F5B472/View/FullText.html?transitionType=Default&amp;contextData=(sc.Default)&amp;VR=3.0&amp;RS=da3.0","FlagLink":"https://www.westlaw.com/RelatedInformation/NA0B155B05ECB11DB8852FC25F2F5B472/kcCitingReferences.html?transitionType=Default&amp;contextData=(sc.Default)&amp;VR=3.0&amp;RS=da3.0","FlagType":"GreenFlag","FlagTypePrevious":null,"FlagHistory":null,"FlagLinks":["https://www.westlaw.com/RelatedInformation/NA0B155B05ECB11DB8852FC25F2F5B472/kcCitingReferences.html?transitionType=Default&amp;contextData=(sc.Default)&amp;VR=3.0&amp;RS=da3.0"],"FlagTypes":["GreenFlag"],"FlagTypesPrevious":[],"IgnoreKeyCiteLimits":false,"KeyCiteLimits":null,"ReporterImageAvailable":false,"ExtractedFromPageNumber":0,"ToaParentId":"dabmci_75c316d5644843c5b232944225e022dc","KmDocId":null,"KmFlagImageUrl":null,"KmFlagLink":null,"PublisherDate":"","DocumentSize":null,"DocumentPageCount":null,"LocatorDocumentGuid":null,"InfoType":"Statute","EditedCitationParts":{"Title":{"FormattedText":""},"Reporter":{"FormattedText":"R.C. 2505.09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A0B155B05ECB11DB8852FC25F2F5B472/kcCitingReferences.html?transitionType=Default&amp;contextData=(sc.Default)&amp;VR=3.0&amp;RS=da3.0"}],"Order":1,"TitleMismatched":false,"TOAOrder":9,"CiteBookmark":{"id":"dabmci_ffd7109c85d04a098eabbd624a9dacdd","paraNum":59,"text":"R.C. 2505.09","formattedText":"R.C. 2505.09","textInstanceIndex":0,"location":"Body","footnoteIndex":0,"offsetFromFootnote":0,"offset":1875},"CustomOffset":1875,"FormattedTOACitationText":"R.C. 2505.09","InHeaderFooter":false,"InToa":false},{"CiteId":"dabmci_e08f2216f2f8431f9ce0a6d0a0dc0af0","ShortFormType":null,"ParentId":null,"CiteWithHistoryParent":null,"CiteWithHistoryChildren":[],"SequenceNumber":41,"Offset":244,"Length":20,"OriginalCitationWithoutHistory":"24 CFR   982.1(a)(1)","OriginalCitation":"24 CFR   982.1(a)(1)","OriginalCitationWithNonbreakingChars":"24 CFR   982.1(a)(1)","SelectedText":null,"SelectedSuggestionIndex":null,"DocGuid":"N0BA270E0CCCB11E483F7BDDF9DCB4A86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982.1 Programs: purpose and structure.","TitleUser":null,"CitationBounds":{"offset":0,"length":20},"CourtDateInfo":{"offset":-1,"length":-1},"DetailedUserCitation":[{"Paragraph":{"offset":-1,"length":-1},"PrePub":{"offset":0,"length":2},"Pub":{"offset":3,"length":3},"PubNumber":"1000547","PostPub":{"offset":9,"length":11},"PinpointPages":{"offset":-1,"length":-1},"PinpointPagesString":null,"Subsection":{"offset":14,"length":6},"SubsectionString":"(a)(1)","ExtraSuggestionString":"","NormalizedCite":"24CFRS982.1","ParentWithHistory":"","ParentWithoutHistory":"","offset":0,"length":20}],"Jurisdiction":"Federal","TargetType":"","RenditionId":null,"Verified":true,"AttachedQuoteIds":[],"AllAttachedQuoteIds":null,"NonUniqueCitationInfo":null,"UserGenerated":false,"IsManualCite":false,"FormattedCitationText":"24 CFR &amp;sect; 982.1(a)(1)","FormattedCitationWithHistoryText":null,"RevertCitationHtml":null,"HasKeyCite":false,"HasCitedDecisions":false,"DocumentLink":"https://www.westlaw.com/Document/N0BA270E0CCCB11E483F7BDDF9DCB4A86/View/FullText.html?transitionType=Default&amp;contextData=(sc.Default)&amp;VR=3.0&amp;RS=da3.0","FlagLink":"https://www.westlaw.com/RelatedInformation/N0BA270E0CCCB11E483F7BDDF9DCB4A86/kcCitingReferences.html?transitionType=Default&amp;contextData=(sc.Default)&amp;VR=3.0&amp;RS=da3.0","FlagType":"GreenFlag","FlagTypePrevious":null,"FlagHistory":null,"FlagLinks":["https://www.westlaw.com/RelatedInformation/N0BA270E0CCCB11E483F7BDDF9DCB4A86/kcCitingReferences.html?transitionType=Default&amp;contextData=(sc.Default)&amp;VR=3.0&amp;RS=da3.0"],"FlagTypes":["GreenFlag"],"FlagTypesPrevious":[],"IgnoreKeyCiteLimits":false,"KeyCiteLimits":null,"ReporterImageAvailable":false,"ExtractedFromPageNumber":0,"ToaParentId":null,"KmDocId":null,"KmFlagImageUrl":null,"KmFlagLink":null,"PublisherDate":"","DocumentSize":null,"DocumentPageCount":null,"LocatorDocumentGuid":null,"InfoType":"Admin Code","EditedCitationParts":{"Title":{"FormattedText":""},"Reporter":{"FormattedText":"24 CFR § 982.1(a)(1)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0BA270E0CCCB11E483F7BDDF9DCB4A86/kcCitingReferences.html?transitionType=Default&amp;contextData=(sc.Default)&amp;VR=3.0&amp;RS=da3.0"}],"Order":2,"TitleMismatched":false,"TOAOrder":6,"CiteBookmark":{"id":"dabmci_e08f2216f2f8431f9ce0a6d0a0dc0af0","paraNum":61,"text":"24 CFR § 982.1(a)(1)","formattedText":"24 CFR § 982.1(a)(1)","textInstanceIndex":0,"location":"Body","footnoteIndex":0,"offsetFromFootnote":0,"offset":2561},"CustomOffset":2561,"FormattedTOACitationText":"24 CFR &amp;sect; 982.1(a)(1)","InHeaderFooter":false,"InToa":false},{"CiteId":"dabmci_6ce6f63ef8ba4e23898d12427152663b","ShortFormType":"Id","ParentId":"dabmci_e08f2216f2f8431f9ce0a6d0a0dc0af0","CiteWithHistoryParent":null,"CiteWithHistoryChildren":[],"SequenceNumber":41,"Offset":421,"Length":3,"OriginalCitationWithoutHistory":"Id.","OriginalCitation":"Id.","OriginalCitationWithNonbreakingChars":"Id.","SelectedText":null,"SelectedSuggestionIndex":null,"DocGuid":"N0BA270E0CCCB11E483F7BDDF9DCB4A86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982.1 Programs: purpose and structure.","TitleUser":null,"CitationBounds":{"offset":0,"length":3},"CourtDateInfo":{"offset":-1,"length":-1},"DetailedUserCitation":[{"Paragraph":{"offset":-1,"length":-1},"PrePub":{"offset":-1,"length":2},"Pub":{"offset":-1,"length":3},"PubNumber":"1000547","PostPub":{"offset":-1,"length":11},"PinpointPages":{"offset":-1,"length":-1},"PinpointPagesString":null,"Subsection":{"offset":-1,"length":-1},"SubsectionString":"","ExtraSuggestionString":"","NormalizedCite":"24CFRS982.1","ParentWithHistory":"","ParentWithoutHistory":"","offset":0,"length":3}],"Jurisdiction":"Federal","TargetType":"","RenditionId":null,"Verified":true,"AttachedQuoteIds":[],"AllAttachedQuoteIds":null,"NonUniqueCitationInfo":null,"UserGenerated":false,"IsManualCite":false,"FormattedCitationText":"&lt;i&gt;Id.&lt;/i&gt;","FormattedCitationWithHistoryText":null,"RevertCitationHtml":null,"HasKeyCite":false,"HasCitedDecisions":false,"DocumentLink":null,"FlagLink":null,"FlagType":null,"FlagTypePrevious":null,"FlagHistory":null,"FlagLinks":[],"FlagTypes":[],"FlagTypesPrevious":[],"IgnoreKeyCiteLimits":false,"KeyCiteLimits":null,"ReporterImageAvailable":false,"ExtractedFromPageNumber":0,"ToaParentId":"dabmci_e08f2216f2f8431f9ce0a6d0a0dc0af0","KmDocId":null,"KmFlagImageUrl":null,"KmFlagLink":null,"PublisherDate":"","DocumentSize":null,"DocumentPageCount":null,"LocatorDocumentGuid":null,"InfoType":"Admin Code","EditedCitationParts":{"Title":{"FormattedText":""},"Reporter":{"FormattedText":"&lt;i&gt;Id.&lt;/i&gt;"}},"EditedCitationWithHistoryParts":null,"IsDirty":false,"AutoAccept":false,"IsLexis":false,"TitleVerificationStatus":null,"Instances":[],"Flags":[],"Order":3,"TitleMismatched":false,"TOAOrder":7,"CiteBookmark":{"id":"dabmci_6ce6f63ef8ba4e23898d12427152663b","paraNum":61,"text":"Id.","formattedText":"&lt;i&gt;Id.&lt;/i&gt;","textInstanceIndex":0,"location":"Body","footnoteIndex":0,"offsetFromFootnote":0,"offset":2738},"CustomOffset":2738,"FormattedTOACitationText":"&lt;i&gt;Id.&lt;/i&gt;","InHeaderFooter":false,"InToa":false},{"CiteId":"dabmci_37a252fecfbe4d89b889a245c7b657d0","ShortFormType":null,"ParentId":"dabmci_e08f2216f2f8431f9ce0a6d0a0dc0af0","CiteWithHistoryParent":null,"CiteWithHistoryChildren":[],"SequenceNumber":41,"Offset":569,"Length":15,"OriginalCitationWithoutHistory":"24 C.F.R. 982.1","OriginalCitation":"24 C.F.R. 982.1","OriginalCitationWithNonbreakingChars":"24 C.F.R. 982.1","SelectedText":null,"SelectedSuggestionIndex":null,"DocGuid":"N0BA270E0CCCB11E483F7BDDF9DCB4A86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982.1 Programs: purpose and structure.","TitleUser":null,"CitationBounds":{"offset":0,"length":15},"CourtDateInfo":{"offset":-1,"length":-1},"DetailedUserCitation":[{"Paragraph":{"offset":-1,"length":-1},"PrePub":{"offset":0,"length":2},"Pub":{"offset":3,"length":6},"PubNumber":"1000547","PostPub":{"offset":10,"length":5},"PinpointPages":{"offset":-1,"length":-1},"PinpointPagesString":null,"Subsection":{"offset":-1,"length":-1},"SubsectionString":"","ExtraSuggestionString":"","NormalizedCite":"24CFRS982.1","ParentWithHistory":"","ParentWithoutHistory":"","offset":0,"length":15}],"Jurisdiction":"Federal","TargetType":"","RenditionId":null,"Verified":true,"AttachedQuoteIds":[],"AllAttachedQuoteIds":null,"NonUniqueCitationInfo":null,"UserGenerated":false,"IsManualCite":false,"FormattedCitationText":"24 C.F.R. 982.1","FormattedCitationWithHistoryText":null,"RevertCitationHtml":null,"HasKeyCite":false,"HasCitedDecisions":false,"DocumentLink":"https://www.westlaw.com/Document/N0BA270E0CCCB11E483F7BDDF9DCB4A86/View/FullText.html?transitionType=Default&amp;contextData=(sc.Default)&amp;VR=3.0&amp;RS=da3.0","FlagLink":"https://www.westlaw.com/RelatedInformation/N0BA270E0CCCB11E483F7BDDF9DCB4A86/kcCitingReferences.html?transitionType=Default&amp;contextData=(sc.Default)&amp;VR=3.0&amp;RS=da3.0","FlagType":"GreenFlag","FlagTypePrevious":null,"FlagHistory":null,"FlagLinks":["https://www.westlaw.com/RelatedInformation/N0BA270E0CCCB11E483F7BDDF9DCB4A86/kcCitingReferences.html?transitionType=Default&amp;contextData=(sc.Default)&amp;VR=3.0&amp;RS=da3.0"],"FlagTypes":["GreenFlag"],"FlagTypesPrevious":[],"IgnoreKeyCiteLimits":false,"KeyCiteLimits":null,"ReporterImageAvailable":false,"ExtractedFromPageNumber":0,"ToaParentId":null,"KmDocId":null,"KmFlagImageUrl":null,"KmFlagLink":null,"PublisherDate":"","DocumentSize":null,"DocumentPageCount":null,"LocatorDocumentGuid":null,"InfoType":"Admin Code","EditedCitationParts":{"Title":{"FormattedText":""},"Reporter":{"FormattedText":"24 C.F.R. 982.1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0BA270E0CCCB11E483F7BDDF9DCB4A86/kcCitingReferences.html?transitionType=Default&amp;contextData=(sc.Default)&amp;VR=3.0&amp;RS=da3.0"}],"Order":4,"TitleMismatched":false,"TOAOrder":0,"CiteBookmark":{"id":"dabmci_37a252fecfbe4d89b889a245c7b657d0","paraNum":61,"text":"24 C.F.R. 982.1","formattedText":"24 C.F.R. 982.1","textInstanceIndex":0,"location":"Body","footnoteIndex":0,"offsetFromFootnote":0,"offset":2886},"CustomOffset":2886,"FormattedTOACitationText":"24 C.F.R. 982.1","InHeaderFooter":false,"InToa":false},{"CiteId":"dabmci_3366d204345b4fe49b83b30bd4575b0c","ShortFormType":null,"ParentId":null,"CiteWithHistoryParent":null,"CiteWithHistoryChildren":[],"SequenceNumber":42,"Offset":104,"Length":20,"OriginalCitationWithoutHistory":"24 C.F.R. 982.302(c)","OriginalCitation":"24 C.F.R. 982.302(c)","OriginalCitationWithNonbreakingChars":"24 C.F.R. 982.302(c)","SelectedText":null,"SelectedSuggestionIndex":null,"DocGuid":"NEAEC11608C1D11D98CF4E0B65F42E6DA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982.302 Issuance of voucher; Requesting PHA approval of assisted tenancy.","TitleUser":null,"CitationBounds":{"offset":0,"length":20},"CourtDateInfo":{"offset":-1,"length":-1},"DetailedUserCitation":[{"Paragraph":{"offset":-1,"length":-1},"PrePub":{"offset":0,"length":2},"Pub":{"offset":3,"length":6},"PubNumber":"1000547","PostPub":{"offset":10,"length":10},"PinpointPages":{"offset":-1,"length":-1},"PinpointPagesString":null,"Subsection":{"offset":17,"length":3},"SubsectionString":"(c)","ExtraSuggestionString":"","NormalizedCite":"24CFRS982.302","ParentWithHistory":"","ParentWithoutHistory":"","offset":0,"length":20}],"Jurisdiction":"Federal","TargetType":"","RenditionId":null,"Verified":true,"AttachedQuoteIds":[],"AllAttachedQuoteIds":null,"NonUniqueCitationInfo":null,"UserGenerated":false,"IsManualCite":false,"FormattedCitationText":"24 C.F.R. 982.302(c)","FormattedCitationWithHistoryText":null,"RevertCitationHtml":null,"HasKeyCite":false,"HasCitedDecisions":false,"DocumentLink":"https://www.westlaw.com/Document/NEAEC11608C1D11D98CF4E0B65F42E6DA/View/FullText.html?transitionType=Default&amp;contextData=(sc.Default)&amp;VR=3.0&amp;RS=da3.0","FlagLink":"https://www.westlaw.com/RelatedInformation/NEAEC11608C1D11D98CF4E0B65F42E6DA/kcCitingReferences.html?transitionType=Default&amp;contextData=(sc.Default)&amp;VR=3.0&amp;RS=da3.0","FlagType":"GreenFlag","FlagTypePrevious":null,"FlagHistory":null,"FlagLinks":["https://www.westlaw.com/RelatedInformation/NEAEC11608C1D11D98CF4E0B65F42E6DA/kcCitingReferences.html?transitionType=Default&amp;contextData=(sc.Default)&amp;VR=3.0&amp;RS=da3.0"],"FlagTypes":["GreenFlag"],"FlagTypesPrevious":[],"IgnoreKeyCiteLimits":false,"KeyCiteLimits":null,"ReporterImageAvailable":false,"ExtractedFromPageNumber":0,"ToaParentId":null,"KmDocId":null,"KmFlagImageUrl":null,"KmFlagLink":null,"PublisherDate":"","DocumentSize":null,"DocumentPageCount":null,"LocatorDocumentGuid":null,"InfoType":"Admin Code","EditedCitationParts":{"Title":{"FormattedText":""},"Reporter":{"FormattedText":"24 C.F.R. 982.302(c)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EAEC11608C1D11D98CF4E0B65F42E6DA/kcCitingReferences.html?transitionType=Default&amp;contextData=(sc.Default)&amp;VR=3.0&amp;RS=da3.0"}],"Order":5,"TitleMismatched":false,"TOAOrder":2,"CiteBookmark":{"id":"dabmci_3366d204345b4fe49b83b30bd4575b0c","paraNum":62,"text":"24 C.F.R. 982.302(c)","formattedText":"24 C.F.R. 982.302(c)","textInstanceIndex":0,"location":"Body","footnoteIndex":0,"offsetFromFootnote":0,"offset":3185},"CustomOffset":3185,"FormattedTOACitationText":"24 C.F.R. 982.302(c)","InHeaderFooter":false,"InToa":false},{"CiteId":"dabmci_9f8960d612244be7beb85f62e59ce126","ShortFormType":null,"ParentId":null,"CiteWithHistoryParent":null,"CiteWithHistoryChildren":[],"SequenceNumber":42,"Offset":236,"Length":17,"OriginalCitationWithoutHistory":"24 C.F.R. 982.305","OriginalCitation":"24 C.F.R. 982.305","OriginalCitationWithNonbreakingChars":"24 C.F.R. 982.305","SelectedText":null,"SelectedSuggestionIndex":null,"DocGuid":"N443565010D4111EFB663926EE441A660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982.305 PHA approval of assisted tenancy.","TitleUser":null,"CitationBounds":{"offset":0,"length":17},"CourtDateInfo":{"offset":-1,"length":-1},"DetailedUserCitation":[{"Paragraph":{"offset":-1,"length":-1},"PrePub":{"offset":0,"length":2},"Pub":{"offset":3,"length":6},"PubNumber":"1000547","PostPub":{"offset":10,"length":7},"PinpointPages":{"offset":-1,"length":-1},"PinpointPagesString":null,"Subsection":{"offset":-1,"length":-1},"SubsectionString":"","ExtraSuggestionString":"","NormalizedCite":"24CFRS982.305","ParentWithHistory":"","ParentWithoutHistory":"","offset":0,"length":17}],"Jurisdiction":"Federal","TargetType":"","RenditionId":null,"Verified":true,"AttachedQuoteIds":[],"AllAttachedQuoteIds":null,"NonUniqueCitationInfo":null,"UserGenerated":false,"IsManualCite":false,"FormattedCitationText":"24 C.F.R. 982.305","FormattedCitationWithHistoryText":null,"RevertCitationHtml":null,"HasKeyCite":false,"HasCitedDecisions":false,"DocumentLink":"https://www.westlaw.com/Document/N443565010D4111EFB663926EE441A660/View/FullText.html?transitionType=Default&amp;contextData=(sc.Default)&amp;VR=3.0&amp;RS=da3.0","FlagLink":"https://www.westlaw.com/RelatedInformation/N443565010D4111EFB663926EE441A660/kcCitingReferences.html?transitionType=Default&amp;contextData=(sc.Default)&amp;VR=3.0&amp;RS=da3.0","FlagType":"GreenFlag","FlagTypePrevious":null,"FlagHistory":null,"FlagLinks":["https://www.westlaw.com/RelatedInformation/N443565010D4111EFB663926EE441A660/kcCitingReferences.html?transitionType=Default&amp;contextData=(sc.Default)&amp;VR=3.0&amp;RS=da3.0"],"FlagTypes":["GreenFlag"],"FlagTypesPrevious":[],"IgnoreKeyCiteLimits":false,"KeyCiteLimits":null,"ReporterImageAvailable":false,"ExtractedFromPageNumber":0,"ToaParentId":null,"KmDocId":null,"KmFlagImageUrl":null,"KmFlagLink":null,"PublisherDate":"","DocumentSize":null,"DocumentPageCount":null,"LocatorDocumentGuid":null,"InfoType":"Admin Code","EditedCitationParts":{"Title":{"FormattedText":""},"Reporter":{"FormattedText":"24 C.F.R. 982.305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443565010D4111EFB663926EE441A660/kcCitingReferences.html?transitionType=Default&amp;contextData=(sc.Default)&amp;VR=3.0&amp;RS=da3.0"}],"Order":6,"TitleMismatched":false,"TOAOrder":3,"CiteBookmark":{"id":"dabmci_9f8960d612244be7beb85f62e59ce126","paraNum":62,"text":"24 C.F.R. 982.305","formattedText":"24 C.F.R. 982.305","textInstanceIndex":0,"location":"Body","footnoteIndex":0,"offsetFromFootnote":0,"offset":3317},"CustomOffset":3317,"FormattedTOACitationText":"24 C.F.R. 982.305","InHeaderFooter":false,"InToa":false},{"CiteId":"dabmci_0b22123d0feb4d02824364ab246a892d","ShortFormType":null,"ParentId":"dabmci_9f8960d612244be7beb85f62e59ce126","CiteWithHistoryParent":null,"CiteWithHistoryChildren":[],"SequenceNumber":42,"Offset":482,"Length":17,"OriginalCitationWithoutHistory":"24 C.F.R. 982.305","OriginalCitation":"24 C.F.R. 982.305","OriginalCitationWithNonbreakingChars":"24 C.F.R. 982.305","SelectedText":null,"SelectedSuggestionIndex":null,"DocGuid":"N443565010D4111EFB663926EE441A660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982.305 PHA approval of assisted tenancy.","TitleUser":null,"CitationBounds":{"offset":0,"length":17},"CourtDateInfo":{"offset":-1,"length":-1},"DetailedUserCitation":[{"Paragraph":{"offset":-1,"length":-1},"PrePub":{"offset":0,"length":2},"Pub":{"offset":3,"length":6},"PubNumber":"1000547","PostPub":{"offset":10,"length":7},"PinpointPages":{"offset":-1,"length":-1},"PinpointPagesString":null,"Subsection":{"offset":-1,"length":-1},"SubsectionString":"","ExtraSuggestionString":"","NormalizedCite":"24CFRS982.305","ParentWithHistory":"","ParentWithoutHistory":"","offset":0,"length":17}],"Jurisdiction":"Federal","TargetType":"","RenditionId":null,"Verified":true,"AttachedQuoteIds":[],"AllAttachedQuoteIds":null,"NonUniqueCitationInfo":null,"UserGenerated":false,"IsManualCite":false,"FormattedCitationText":"24 C.F.R. 982.305","FormattedCitationWithHistoryText":null,"RevertCitationHtml":null,"HasKeyCite":false,"HasCitedDecisions":false,"DocumentLink":"https://www.westlaw.com/Document/N443565010D4111EFB663926EE441A660/View/FullText.html?transitionType=Default&amp;contextData=(sc.Default)&amp;VR=3.0&amp;RS=da3.0","FlagLink":"https://www.westlaw.com/RelatedInformation/N443565010D4111EFB663926EE441A660/kcCitingReferences.html?transitionType=Default&amp;contextData=(sc.Default)&amp;VR=3.0&amp;RS=da3.0","FlagType":"GreenFlag","FlagTypePrevious":null,"FlagHistory":null,"FlagLinks":["https://www.westlaw.com/RelatedInformation/N443565010D4111EFB663926EE441A660/kcCitingReferences.html?transitionType=Default&amp;contextData=(sc.Default)&amp;VR=3.0&amp;RS=da3.0"],"FlagTypes":["GreenFlag"],"FlagTypesPrevious":[],"IgnoreKeyCiteLimits":false,"KeyCiteLimits":null,"ReporterImageAvailable":false,"ExtractedFromPageNumber":0,"ToaParentId":"dabmci_9f8960d612244be7beb85f62e59ce126","KmDocId":null,"KmFlagImageUrl":null,"KmFlagLink":null,"PublisherDate":"","DocumentSize":null,"DocumentPageCount":null,"LocatorDocumentGuid":null,"InfoType":"Admin Code","EditedCitationParts":{"Title":{"FormattedText":""},"Reporter":{"FormattedText":"24 C.F.R. 982.305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443565010D4111EFB663926EE441A660/kcCitingReferences.html?transitionType=Default&amp;contextData=(sc.Default)&amp;VR=3.0&amp;RS=da3.0"}],"Order":7,"TitleMismatched":false,"TOAOrder":4,"CiteBookmark":{"id":"dabmci_0b22123d0feb4d02824364ab246a892d","paraNum":62,"text":"24 C.F.R. 982.305","formattedText":"24 C.F.R. 982.305","textInstanceIndex":1,"location":"Body","footnoteIndex":0,"offsetFromFootnote":0,"offset":3563},"CustomOffset":3563,"FormattedTOACitationText":"24 C.F.R. 982.305","InHeaderFooter":false,"InToa":false},{"CiteId":"dabmci_61808e04b20044c9b70aaae50eb6ffa1","ShortFormType":null,"ParentId":"dabmci_75c316d5644843c5b232944225e022dc","CiteWithHistoryParent":null,"CiteWithHistoryChildren":[],"SequenceNumber":54,"Offset":6,"Length":12,"OriginalCitationWithoutHistory":"R.C. 2505.09","OriginalCitation":"R.C. 2505.09","OriginalCitationWithNonbreakingChars":"R.C. 2505.09","SelectedText":null,"SelectedSuggestionIndex":null,"DocGuid":"NA0B155B05ECB11DB8852FC25F2F5B472","VerificationStatus":"NoSuggestions","EligibleCitations":null,"ContentTypes":{"System":"Statutes","DraftingAssistant":"Statutes","TableOfAuthorities":"Statutes","KeyCite":"Statutes","AuthorityCompiler":"Statutes"},"ContentSubType":"Statutes","TitleOfficial":"2505.09 Requirements for stay of execution","TitleUser":null,"CitationBounds":{"offset":0,"length":12},"CourtDateInfo":{"offset":-1,"length":-1},"DetailedUserCitation":[{"Paragraph":{"offset":-1,"length":-1},"PrePub":{"offset":-1,"length":-1},"Pub":{"offset":0,"length":4},"PubNumber":"1000279","PostPub":{"offset":5,"length":7},"PinpointPages":{"offset":-1,"length":-1},"PinpointPagesString":null,"Subsection":{"offset":-1,"length":-1},"SubsectionString":"","ExtraSuggestionString":"","NormalizedCite":"OHSTS2505.09","ParentWithHistory":"","ParentWithoutHistory":"","offset":0,"length":12}],"Jurisdiction":"State","TargetType":"","RenditionId":null,"Verified":true,"AttachedQuoteIds":[],"AllAttachedQuoteIds":null,"NonUniqueCitationInfo":null,"UserGenerated":false,"IsManualCite":false,"FormattedCitationText":"R.C. 2505.09","FormattedCitationWithHistoryText":null,"RevertCitationHtml":null,"HasKeyCite":false,"HasCitedDecisions":false,"DocumentLink":"https://www.westlaw.com/Document/NA0B155B05ECB11DB8852FC25F2F5B472/View/FullText.html?transitionType=Default&amp;contextData=(sc.Default)&amp;VR=3.0&amp;RS=da3.0","FlagLink":"https://www.westlaw.com/RelatedInformation/NA0B155B05ECB11DB8852FC25F2F5B472/kcCitingReferences.html?transitionType=Default&amp;contextData=(sc.Default)&amp;VR=3.0&amp;RS=da3.0","FlagType":"GreenFlag","FlagTypePrevious":null,"FlagHistory":null,"FlagLinks":["https://www.westlaw.com/RelatedInformation/NA0B155B05ECB11DB8852FC25F2F5B472/kcCitingReferences.html?transitionType=Default&amp;contextData=(sc.Default)&amp;VR=3.0&amp;RS=da3.0"],"FlagTypes":["GreenFlag"],"FlagTypesPrevious":[],"IgnoreKeyCiteLimits":false,"KeyCiteLimits":null,"ReporterImageAvailable":false,"ExtractedFromPageNumber":0,"ToaParentId":"dabmci_75c316d5644843c5b232944225e022dc","KmDocId":null,"KmFlagImageUrl":null,"KmFlagLink":null,"PublisherDate":"","DocumentSize":null,"DocumentPageCount":null,"LocatorDocumentGuid":null,"InfoType":"Statute","EditedCitationParts":{"Title":{"FormattedText":""},"Reporter":{"FormattedText":"R.C. 2505.09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A0B155B05ECB11DB8852FC25F2F5B472/kcCitingReferences.html?transitionType=Default&amp;contextData=(sc.Default)&amp;VR=3.0&amp;RS=da3.0"}],"Order":8,"TitleMismatched":false,"TOAOrder":10,"CiteBookmark":{"id":"dabmci_61808e04b20044c9b70aaae50eb6ffa1","paraNum":74,"text":"R.C. 2505.09","formattedText":"R.C. 2505.09","textInstanceIndex":0,"location":"Body","footnoteIndex":0,"offsetFromFootnote":0,"offset":6073},"CustomOffset":6073,"FormattedTOACitationText":"R.C. 2505.09","InHeaderFooter":false,"InToa":false},{"CiteId":"dabmci_60d6c4d5f1da44d4948df84b86136cad","ShortFormType":null,"ParentId":"dabmci_e08f2216f2f8431f9ce0a6d0a0dc0af0","CiteWithHistoryParent":null,"CiteWithHistoryChildren":[],"SequenceNumber":56,"Offset":458,"Length":15,"OriginalCitationWithoutHistory":"24 C.F.R. 982.1","OriginalCitation":"24 C.F.R. 982.1","OriginalCitationWithNonbreakingChars":"24 C.F.R. 982.1","SelectedText":null,"SelectedSuggestionIndex":null,"DocGuid":"N0BA270E0CCCB11E483F7BDDF9DCB4A86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982.1 Programs: purpose and structure.","TitleUser":null,"CitationBounds":{"offset":0,"length":15},"CourtDateInfo":{"offset":-1,"length":-1},"DetailedUserCitation":[{"Paragraph":{"offset":-1,"length":-1},"PrePub":{"offset":0,"length":2},"Pub":{"offset":3,"length":6},"PubNumber":"1000547","PostPub":{"offset":10,"length":5},"PinpointPages":{"offset":-1,"length":-1},"PinpointPagesString":null,"Subsection":{"offset":-1,"length":-1},"SubsectionString":"","ExtraSuggestionString":"","NormalizedCite":"24CFRS982.1","ParentWithHistory":"","ParentWithoutHistory":"","offset":0,"length":15}],"Jurisdiction":"Federal","TargetType":"","RenditionId":null,"Verified":true,"AttachedQuoteIds":[],"AllAttachedQuoteIds":null,"NonUniqueCitationInfo":null,"UserGenerated":false,"IsManualCite":false,"FormattedCitationText":"24 C.F.R. 982.1","FormattedCitationWithHistoryText":null,"RevertCitationHtml":null,"HasKeyCite":false,"HasCitedDecisions":false,"DocumentLink":"https://www.westlaw.com/Document/N0BA270E0CCCB11E483F7BDDF9DCB4A86/View/FullText.html?transitionType=Default&amp;contextData=(sc.Default)&amp;VR=3.0&amp;RS=da3.0","FlagLink":"https://www.westlaw.com/RelatedInformation/N0BA270E0CCCB11E483F7BDDF9DCB4A86/kcCitingReferences.html?transitionType=Default&amp;contextData=(sc.Default)&amp;VR=3.0&amp;RS=da3.0","FlagType":"GreenFlag","FlagTypePrevious":null,"FlagHistory":null,"FlagLinks":["https://www.westlaw.com/RelatedInformation/N0BA270E0CCCB11E483F7BDDF9DCB4A86/kcCitingReferences.html?transitionType=Default&amp;contextData=(sc.Default)&amp;VR=3.0&amp;RS=da3.0"],"FlagTypes":["GreenFlag"],"FlagTypesPrevious":[],"IgnoreKeyCiteLimits":false,"KeyCiteLimits":null,"ReporterImageAvailable":false,"ExtractedFromPageNumber":0,"ToaParentId":"dabmci_37a252fecfbe4d89b889a245c7b657d0","KmDocId":null,"KmFlagImageUrl":null,"KmFlagLink":null,"PublisherDate":"","DocumentSize":null,"DocumentPageCount":null,"LocatorDocumentGuid":null,"InfoType":"Admin Code","EditedCitationParts":{"Title":{"FormattedText":""},"Reporter":{"FormattedText":"24 C.F.R. 982.1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0BA270E0CCCB11E483F7BDDF9DCB4A86/kcCitingReferences.html?transitionType=Default&amp;contextData=(sc.Default)&amp;VR=3.0&amp;RS=da3.0"}],"Order":9,"TitleMismatched":false,"TOAOrder":1,"CiteBookmark":{"id":"dabmci_60d6c4d5f1da44d4948df84b86136cad","paraNum":76,"text":"24 C.F.R. 982.1","formattedText":"24 C.F.R. 982.1","textInstanceIndex":0,"location":"Body","footnoteIndex":0,"offsetFromFootnote":0,"offset":7903},"CustomOffset":7903,"FormattedTOACitationText":"24 C.F.R. 982.1","InHeaderFooter":false,"InToa":false},{"CiteId":"dabmci_4f11376006e6449b9241a2b108627efb","ShortFormType":null,"ParentId":null,"CiteWithHistoryParent":null,"CiteWithHistoryChildren":[],"SequenceNumber":56,"Offset":722,"Length":20,"OriginalCitationWithoutHistory":"24 C.F.R. 982.311(b)","OriginalCitation":"24 C.F.R. 982.311(b)","OriginalCitationWithNonbreakingChars":"24 C.F.R. 982.311(b)","SelectedText":null,"SelectedSuggestionIndex":null,"DocGuid":"N46FFD1D0CCCD11E48857FAB47BA0DB38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982.311 When assistance is paid.","TitleUser":null,"CitationBounds":{"offset":0,"length":20},"CourtDateInfo":{"offset":-1,"length":-1},"DetailedUserCitation":[{"Paragraph":{"offset":-1,"length":-1},"PrePub":{"offset":0,"length":2},"Pub":{"offset":3,"length":6},"PubNumber":"1000547","PostPub":{"offset":10,"length":10},"PinpointPages":{"offset":-1,"length":-1},"PinpointPagesString":null,"Subsection":{"offset":17,"length":3},"SubsectionString":"(b)","ExtraSuggestionString":"","NormalizedCite":"24CFRS982.311","ParentWithHistory":"","ParentWithoutHistory":"","offset":0,"length":20}],"Jurisdiction":"Federal","TargetType":"","RenditionId":null,"Verified":true,"AttachedQuoteIds":[],"AllAttachedQuoteIds":null,"NonUniqueCitationInfo":null,"UserGenerated":false,"IsManualCite":false,"FormattedCitationText":"24 C.F.R. 982.311(b)","FormattedCitationWithHistoryText":null,"RevertCitationHtml":null,"HasKeyCite":false,"HasCitedDecisions":false,"DocumentLink":"https://www.westlaw.com/Document/N46FFD1D0CCCD11E48857FAB47BA0DB38/View/FullText.html?transitionType=Default&amp;contextData=(sc.Default)&amp;VR=3.0&amp;RS=da3.0","FlagLink":"https://www.westlaw.com/RelatedInformation/N46FFD1D0CCCD11E48857FAB47BA0DB38/kcCitingReferences.html?transitionType=Default&amp;contextData=(sc.Default)&amp;VR=3.0&amp;RS=da3.0","FlagType":"GreenFlag","FlagTypePrevious":null,"FlagHistory":null,"FlagLinks":["https://www.westlaw.com/RelatedInformation/N46FFD1D0CCCD11E48857FAB47BA0DB38/kcCitingReferences.html?transitionType=Default&amp;contextData=(sc.Default)&amp;VR=3.0&amp;RS=da3.0"],"FlagTypes":["GreenFlag"],"FlagTypesPrevious":[],"IgnoreKeyCiteLimits":false,"KeyCiteLimits":null,"ReporterImageAvailable":false,"ExtractedFromPageNumber":0,"ToaParentId":null,"KmDocId":null,"KmFlagImageUrl":null,"KmFlagLink":null,"PublisherDate":"","DocumentSize":null,"DocumentPageCount":null,"LocatorDocumentGuid":null,"InfoType":"Admin Code","EditedCitationParts":{"Title":{"FormattedText":""},"Reporter":{"FormattedText":"24 C.F.R. 982.311(b)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46FFD1D0CCCD11E48857FAB47BA0DB38/kcCitingReferences.html?transitionType=Default&amp;contextData=(sc.Default)&amp;VR=3.0&amp;RS=da3.0"}],"Order":10,"TitleMismatched":false,"TOAOrder":5,"CiteBookmark":{"id":"dabmci_4f11376006e6449b9241a2b108627efb","paraNum":76,"text":"24 C.F.R. 982.311(b)","formattedText":"24 C.F.R. 982.311(b)","textInstanceIndex":0,"location":"Body","footnoteIndex":0,"offsetFromFootnote":0,"offset":8167},"CustomOffset":8167,"FormattedTOACitationText":"24 C.F.R. 982.311(b)","InHeaderFooter":false,"InToa":false}]</vt:lpwstr>
  </property>
</Properties>
</file>