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Summary judgment standard</w:t>
      </w:r>
    </w:p>
    <w:p>
      <w:pPr>
        <w:pStyle w:val="BriefPlain"/>
      </w:pPr>
      <w:r>
        <w:t>{%p if blocks["summary-judgment-standard"]["revision"] %}</w:t>
      </w:r>
    </w:p>
    <w:p>
      <w:pPr>
        <w:pStyle w:val="BriefPlain"/>
      </w:pPr>
      <w:r>
        <w:t>{%p for paragraph in blocks["summary-judgment-standard"]["paragraphs"] %}</w:t>
      </w:r>
    </w:p>
    <w:p>
      <w:pPr>
        <w:pStyle w:val="BriefBody"/>
      </w:pPr>
      <w:r>
        <w:t>{{ paragraph }}</w:t>
      </w:r>
    </w:p>
    <w:p>
      <w:pPr>
        <w:pStyle w:val="BriefPlain"/>
      </w:pPr>
      <w:r>
        <w:t>{%p endfor %}</w:t>
      </w:r>
    </w:p>
    <w:p>
      <w:pPr>
        <w:pStyle w:val="BriefPlain"/>
      </w:pPr>
      <w:r>
        <w:t>{%p else %}</w:t>
      </w:r>
    </w:p>
    <w:p>
      <w:pPr>
        <w:pStyle w:val="BriefBody"/>
      </w:pPr>
      <w:r>
        <w:rPr/>
        <w:t xml:space="preserve">Summary judgment is appropriate when (1) no genuine issue as to any material fact remains to be litigated, (2) the moving party is entitled to judgment as a matter of law, and (3) it appears from the evidence that reasonable minds can come to but one conclusion, and viewing the evidence most strongly in favor of the nonmoving party, that conclusion is adverse to that party. </w:t>
      </w:r>
      <w:r>
        <w:rPr>
          <w:i/>
        </w:rPr>
        <w:t>Temple v. Wean United, Inc.</w:t>
      </w:r>
      <w:r>
        <w:rPr/>
        <w:t>, 50 Ohio St.2d 317, 327, 364 N.E.2d 267 (1977); Civ.R. 56(C).</w:t>
      </w:r>
    </w:p>
    <w:p>
      <w:pPr>
        <w:pStyle w:val="BriefBody"/>
      </w:pPr>
      <w:r>
        <w:rPr/>
        <w:t xml:space="preserve">The moving party bears the initial burden of informing the court of the basis for the motion and identifying those portions of the record that demonstrate the absence of a genuine issue of material fact on the essential elements of the nonmoving party's claims. </w:t>
      </w:r>
      <w:r>
        <w:rPr>
          <w:i/>
        </w:rPr>
        <w:t>Dresher v. Burt</w:t>
      </w:r>
      <w:r>
        <w:rPr/>
        <w:t xml:space="preserve">, 75 Ohio St.3d 280, 293, 662 N.E.2d 264 (1996). Once the moving party meets that burden, the nonmoving party "may not rest upon the mere allegations or denials of the party's pleadings," but must set forth specific facts showing that there is a genuine issue for trial. Civ.R. 56(E); </w:t>
      </w:r>
      <w:r>
        <w:rPr>
          <w:i/>
        </w:rPr>
        <w:t>Dresher</w:t>
      </w:r>
      <w:r>
        <w:rPr/>
        <w:t xml:space="preserve"> at 293.</w:t>
      </w:r>
    </w:p>
    <w:p>
      <w:pPr>
        <w:pStyle w:val="BriefPlain"/>
      </w:pPr>
      <w:r>
        <w:t>{%p endif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imes New Roman" w:hAnsi="Times New Roman" w:cs="Times New Roman" w:eastAsia="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240" w:after="240"/>
      <w:jc w:val="left"/>
      <w:outlineLvl w:val="1"/>
    </w:pPr>
    <w:rPr>
      <w:rFonts w:ascii="Times New Roman" w:hAnsi="Times New Roman" w:cs="Times New Roman" w:eastAsia="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Body">
    <w:name w:val="Brief Body"/>
    <w:basedOn w:val="Normal"/>
    <w:pPr>
      <w:spacing w:line="480" w:lineRule="auto"/>
      <w:ind w:firstLine="720"/>
    </w:pPr>
  </w:style>
  <w:style w:type="paragraph" w:customStyle="1" w:styleId="BriefPlain">
    <w:name w:val="Brief Plain"/>
    <w:basedOn w:val="Normal"/>
    <w:pPr>
      <w:spacing w:after="240"/>
    </w:pPr>
  </w:style>
  <w:style w:type="paragraph" w:customStyle="1" w:styleId="BriefTitle">
    <w:name w:val="Brief Title"/>
    <w:basedOn w:val="Normal"/>
    <w:pPr>
      <w:keepNext/>
      <w:spacing w:before="240" w:after="240"/>
      <w:jc w:val="center"/>
    </w:pPr>
    <w:rPr>
      <w:rFonts w:ascii="Times New Roman" w:hAnsi="Times New Roman" w:cs="Times New Roman" w:eastAsia="Times New Roman"/>
      <w:b/>
      <w:sz w:val="24"/>
    </w:rPr>
  </w:style>
  <w:style w:type="paragraph" w:customStyle="1" w:styleId="TOAHeading">
    <w:name w:val="toa heading"/>
    <w:basedOn w:val="Normal"/>
    <w:pPr>
      <w:keepNext/>
      <w:spacing w:before="240" w:after="120"/>
    </w:pPr>
    <w:rPr>
      <w:rFonts w:ascii="Times New Roman" w:hAnsi="Times New Roman" w:cs="Times New Roman" w:eastAsia="Times New Roman"/>
      <w:b/>
      <w:sz w:val="24"/>
    </w:rPr>
  </w:style>
  <w:style w:type="paragraph" w:customStyle="1" w:styleId="TableofAuthorities">
    <w:name w:val="table of authorities"/>
    <w:basedOn w:val="Normal"/>
    <w:pPr>
      <w:tabs>
        <w:tab w:pos="9360" w:val="right" w:leader="dot"/>
      </w:tabs>
      <w:spacing w:after="120"/>
      <w:ind w:left="360" w:hanging="3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2026-01-01T00:00:00Z</dcterms:created>
  <dcterms:modified xsi:type="dcterms:W3CDTF">2026-01-01T00:00:00Z</dcterms:modified>
  <cp:category/>
  <cp:lastModifiedBy xmlns:cp="http://schemas.openxmlformats.org/officeDocument/2006/custom-properties"/>
  <cp:revision xmlns:cp="http://schemas.openxmlformats.org/officeDocument/2006/custom-properties">1</cp:revision>
</cp:coreProperties>
</file>