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22.xml" ContentType="application/vnd.openxmlformats-officedocument.wordprocessingml.footer+xml"/>
  <Override PartName="/word/footer24.xml" ContentType="application/vnd.openxmlformats-officedocument.wordprocessingml.footer+xml"/>
  <Override PartName="/word/footer26.xml" ContentType="application/vnd.openxmlformats-officedocument.wordprocessingml.footer+xml"/>
  <Override PartName="/word/footer28.xml" ContentType="application/vnd.openxmlformats-officedocument.wordprocessingml.footer+xml"/>
  <Override PartName="/word/footer30.xml" ContentType="application/vnd.openxmlformats-officedocument.wordprocessingml.footer+xml"/>
  <Override PartName="/word/footer32.xml" ContentType="application/vnd.openxmlformats-officedocument.wordprocessingml.footer+xml"/>
  <Override PartName="/word/footer34.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2.xml" ContentType="application/vnd.openxmlformats-officedocument.wordprocessingml.footer+xml"/>
  <Override PartName="/word/footer44.xml" ContentType="application/vnd.openxmlformats-officedocument.wordprocessingml.footer+xml"/>
  <Override PartName="/word/footer46.xml" ContentType="application/vnd.openxmlformats-officedocument.wordprocessingml.footer+xml"/>
  <Override PartName="/word/footer48.xml" ContentType="application/vnd.openxmlformats-officedocument.wordprocessingml.footer+xml"/>
  <Override PartName="/word/footer50.xml" ContentType="application/vnd.openxmlformats-officedocument.wordprocessingml.footer+xml"/>
  <Override PartName="/word/footer52.xml" ContentType="application/vnd.openxmlformats-officedocument.wordprocessingml.footer+xml"/>
  <Override PartName="/word/footer54.xml" ContentType="application/vnd.openxmlformats-officedocument.wordprocessingml.footer+xml"/>
  <Override PartName="/word/footer56.xml" ContentType="application/vnd.openxmlformats-officedocument.wordprocessingml.footer+xml"/>
  <Override PartName="/word/footer58.xml" ContentType="application/vnd.openxmlformats-officedocument.wordprocessingml.footer+xml"/>
  <Override PartName="/word/footer60.xml" ContentType="application/vnd.openxmlformats-officedocument.wordprocessingml.footer+xml"/>
  <Override PartName="/word/footer62.xml" ContentType="application/vnd.openxmlformats-officedocument.wordprocessingml.footer+xml"/>
  <Override PartName="/word/footer64.xml" ContentType="application/vnd.openxmlformats-officedocument.wordprocessingml.footer+xml"/>
  <Override PartName="/word/footer66.xml" ContentType="application/vnd.openxmlformats-officedocument.wordprocessingml.footer+xml"/>
  <Override PartName="/word/footer68.xml" ContentType="application/vnd.openxmlformats-officedocument.wordprocessingml.footer+xml"/>
  <Override PartName="/word/footer70.xml" ContentType="application/vnd.openxmlformats-officedocument.wordprocessingml.footer+xml"/>
  <Override PartName="/word/footer72.xml" ContentType="application/vnd.openxmlformats-officedocument.wordprocessingml.footer+xml"/>
  <Override PartName="/word/footer74.xml" ContentType="application/vnd.openxmlformats-officedocument.wordprocessingml.footer+xml"/>
  <Override PartName="/word/footer76.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15.xml" ContentType="application/vnd.openxmlformats-officedocument.wordprocessingml.header+xml"/>
  <Override PartName="/word/header17.xml" ContentType="application/vnd.openxmlformats-officedocument.wordprocessingml.header+xml"/>
  <Override PartName="/word/header19.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5.xml" ContentType="application/vnd.openxmlformats-officedocument.wordprocessingml.header+xml"/>
  <Override PartName="/word/header27.xml" ContentType="application/vnd.openxmlformats-officedocument.wordprocessingml.header+xml"/>
  <Override PartName="/word/header29.xml" ContentType="application/vnd.openxmlformats-officedocument.wordprocessingml.header+xml"/>
  <Override PartName="/word/header31.xml" ContentType="application/vnd.openxmlformats-officedocument.wordprocessingml.header+xml"/>
  <Override PartName="/word/header33.xml" ContentType="application/vnd.openxmlformats-officedocument.wordprocessingml.header+xml"/>
  <Override PartName="/word/header35.xml" ContentType="application/vnd.openxmlformats-officedocument.wordprocessingml.header+xml"/>
  <Override PartName="/word/header37.xml" ContentType="application/vnd.openxmlformats-officedocument.wordprocessingml.header+xml"/>
  <Override PartName="/word/header39.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7.xml" ContentType="application/vnd.openxmlformats-officedocument.wordprocessingml.header+xml"/>
  <Override PartName="/word/header49.xml" ContentType="application/vnd.openxmlformats-officedocument.wordprocessingml.header+xml"/>
  <Override PartName="/word/header51.xml" ContentType="application/vnd.openxmlformats-officedocument.wordprocessingml.header+xml"/>
  <Override PartName="/word/header53.xml" ContentType="application/vnd.openxmlformats-officedocument.wordprocessingml.header+xml"/>
  <Override PartName="/word/header55.xml" ContentType="application/vnd.openxmlformats-officedocument.wordprocessingml.header+xml"/>
  <Override PartName="/word/header57.xml" ContentType="application/vnd.openxmlformats-officedocument.wordprocessingml.header+xml"/>
  <Override PartName="/word/header59.xml" ContentType="application/vnd.openxmlformats-officedocument.wordprocessingml.header+xml"/>
  <Override PartName="/word/header61.xml" ContentType="application/vnd.openxmlformats-officedocument.wordprocessingml.header+xml"/>
  <Override PartName="/word/header63.xml" ContentType="application/vnd.openxmlformats-officedocument.wordprocessingml.header+xml"/>
  <Override PartName="/word/header65.xml" ContentType="application/vnd.openxmlformats-officedocument.wordprocessingml.header+xml"/>
  <Override PartName="/word/header67.xml" ContentType="application/vnd.openxmlformats-officedocument.wordprocessingml.header+xml"/>
  <Override PartName="/word/header69.xml" ContentType="application/vnd.openxmlformats-officedocument.wordprocessingml.header+xml"/>
  <Override PartName="/word/header71.xml" ContentType="application/vnd.openxmlformats-officedocument.wordprocessingml.header+xml"/>
  <Override PartName="/word/header73.xml" ContentType="application/vnd.openxmlformats-officedocument.wordprocessingml.header+xml"/>
  <Override PartName="/word/header75.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Style w:val="Heading2"/>
        <w:pBdr/>
        <w:spacing/>
        <w:rPr/>
      </w:pPr>
      <w:r>
        <w:rPr/>
        <w:t xml:space="preserve">Chapter 150</w:t>
      </w:r>
      <w:r>
        <w:rPr/>
        <w:t xml:space="preserve"> </w:t>
      </w:r>
      <w:r>
        <w:rPr/>
        <w:t xml:space="preserve">ENVIRONMENTAL HEALTH HOUSING CODE</w:t>
      </w:r>
    </w:p>
    <w:p>
      <w:pPr>
        <w:pStyle w:val="Block1"/>
        <w:pBdr/>
        <w:spacing/>
        <w:rPr/>
      </w:pPr>
      <w:r>
        <w:rPr>
          <w:b/>
        </w:rPr>
        <w:t xml:space="preserve">Sections:</w:t>
      </w:r>
    </w:p>
    <w:p>
      <w:pPr>
        <w:pBdr/>
        <w:spacing w:before="0" w:after="0"/>
        <w:rPr/>
        <w:sectPr>
          <w:headerReference w:type="default" r:id="rId1"/>
          <w:footerReference w:type="default" r:id="rId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150.01</w:t>
      </w:r>
      <w:r>
        <w:rPr/>
        <w:t xml:space="preserve"> </w:t>
      </w:r>
      <w:r>
        <w:rPr/>
        <w:t xml:space="preserve">Definitions.</w:t>
      </w:r>
    </w:p>
    <w:p>
      <w:pPr>
        <w:pStyle w:val="List1"/>
        <w:pBdr/>
        <w:spacing/>
        <w:rPr/>
      </w:pPr>
      <w:r>
        <w:rPr/>
        <w:t xml:space="preserve">A.</w:t>
      </w:r>
      <w:r>
        <w:rPr/>
        <w:tab/>
        <w:t xml:space="preserve"/>
      </w:r>
      <w:r>
        <w:rPr/>
        <w:t xml:space="preserve">For the purpose of this chapter, the following definitions shall apply, unless the context clearly indicates or requires a different meaning. </w:t>
      </w:r>
    </w:p>
    <w:p>
      <w:pPr>
        <w:pStyle w:val="List2"/>
        <w:pBdr/>
        <w:spacing/>
        <w:rPr/>
      </w:pPr>
      <w:r>
        <w:rPr/>
        <w:t xml:space="preserve">1.</w:t>
      </w:r>
      <w:r>
        <w:rPr/>
        <w:tab/>
        <w:t xml:space="preserve"/>
      </w:r>
      <w:r>
        <w:rPr>
          <w:u w:val="single"/>
        </w:rPr>
        <w:t xml:space="preserve">"Basement"</w:t>
      </w:r>
      <w:r>
        <w:rPr/>
        <w:t xml:space="preserve"> means that portion of a building that is partly or completely below grade. </w:t>
      </w:r>
    </w:p>
    <w:p>
      <w:pPr>
        <w:pStyle w:val="List2"/>
        <w:pBdr/>
        <w:spacing/>
        <w:rPr/>
      </w:pPr>
      <w:r>
        <w:rPr/>
        <w:t xml:space="preserve">2.</w:t>
      </w:r>
      <w:r>
        <w:rPr/>
        <w:tab/>
        <w:t xml:space="preserve"/>
      </w:r>
      <w:r>
        <w:rPr>
          <w:u w:val="single"/>
        </w:rPr>
        <w:t xml:space="preserve">"Carbon monoxide detector"</w:t>
      </w:r>
      <w:r>
        <w:rPr/>
        <w:t xml:space="preserve"> means a device which detects the presence of carbon monoxide and which emits audible and visual signals indicating the presence of unhealthy or lethal levels of carbon monoxide. </w:t>
      </w:r>
    </w:p>
    <w:p>
      <w:pPr>
        <w:pStyle w:val="List2"/>
        <w:pBdr/>
        <w:spacing/>
        <w:rPr/>
      </w:pPr>
      <w:r>
        <w:rPr/>
        <w:t xml:space="preserve">3.</w:t>
      </w:r>
      <w:r>
        <w:rPr/>
        <w:tab/>
        <w:t xml:space="preserve"/>
      </w:r>
      <w:r>
        <w:rPr>
          <w:u w:val="single"/>
        </w:rPr>
        <w:t xml:space="preserve">"Certified Building Official"</w:t>
      </w:r>
      <w:r>
        <w:rPr/>
        <w:t xml:space="preserve"> means the Chief Building Official of the Summit County Department of Building Standards, as designated by the State of Ohio Board of Building Standards to enforce the Residential Code of Ohio within the city. </w:t>
      </w:r>
    </w:p>
    <w:p>
      <w:pPr>
        <w:pStyle w:val="List2"/>
        <w:pBdr/>
        <w:spacing/>
        <w:rPr/>
      </w:pPr>
      <w:r>
        <w:rPr/>
        <w:t xml:space="preserve">4.</w:t>
      </w:r>
      <w:r>
        <w:rPr/>
        <w:tab/>
        <w:t xml:space="preserve"/>
      </w:r>
      <w:r>
        <w:rPr>
          <w:u w:val="single"/>
        </w:rPr>
        <w:t xml:space="preserve">"Dwelling"</w:t>
      </w:r>
      <w:r>
        <w:rPr/>
        <w:t xml:space="preserve"> means any building or portion of a building that contains one or more dwelling units used, intended, or designed to be built, used, rented, leased, let or hired out to be occupied, or that is occupied for living purposes. Each unit must have independent means of egress. </w:t>
      </w:r>
    </w:p>
    <w:p>
      <w:pPr>
        <w:pStyle w:val="List2"/>
        <w:pBdr/>
        <w:spacing/>
        <w:rPr/>
      </w:pPr>
      <w:r>
        <w:rPr/>
        <w:t xml:space="preserve">5.</w:t>
      </w:r>
      <w:r>
        <w:rPr/>
        <w:tab/>
        <w:t xml:space="preserve"/>
      </w:r>
      <w:r>
        <w:rPr>
          <w:u w:val="single"/>
        </w:rPr>
        <w:t xml:space="preserve">"Dwelling unit"</w:t>
      </w:r>
      <w:r>
        <w:rPr/>
        <w:t xml:space="preserve"> means a single unit providing complete independent living facilities for one or more persons, including permanent provisions for living, sleeping, eating, cooking and sanitation. The unit may include any accessory space intended for the exclusive use of the occupants of an individual dwelling unit such as a private garage, greenhouse, etc. </w:t>
      </w:r>
    </w:p>
    <w:p>
      <w:pPr>
        <w:pStyle w:val="List2"/>
        <w:pBdr/>
        <w:spacing/>
        <w:rPr/>
      </w:pPr>
      <w:r>
        <w:rPr/>
        <w:t xml:space="preserve">6.</w:t>
      </w:r>
      <w:r>
        <w:rPr/>
        <w:tab/>
        <w:t xml:space="preserve"/>
      </w:r>
      <w:r>
        <w:rPr>
          <w:u w:val="single"/>
        </w:rPr>
        <w:t xml:space="preserve">"Extermination"</w:t>
      </w:r>
      <w:r>
        <w:rPr/>
        <w:t xml:space="preserve"> means the control and elimination of insects, rodents, or other pests by eliminating their harborage places; by removing or making inaccessible materials that may serve as their food; by poisoning, spraying, fumigating, or trapping; or by any other recognized and legal pest elimination methods approved by the Department of Neighborhood Assistance. </w:t>
      </w:r>
    </w:p>
    <w:p>
      <w:pPr>
        <w:pStyle w:val="List2"/>
        <w:pBdr/>
        <w:spacing/>
        <w:rPr/>
      </w:pPr>
      <w:r>
        <w:rPr/>
        <w:t xml:space="preserve">7.</w:t>
      </w:r>
      <w:r>
        <w:rPr/>
        <w:tab/>
        <w:t xml:space="preserve"/>
      </w:r>
      <w:r>
        <w:rPr>
          <w:u w:val="single"/>
        </w:rPr>
        <w:t xml:space="preserve">"Fire Prevention Code"</w:t>
      </w:r>
      <w:r>
        <w:rPr/>
        <w:t xml:space="preserve"> means </w:t>
      </w:r>
      <w:r>
        <w:rPr/>
        <w:t xml:space="preserve">Chapter 93</w:t>
      </w:r>
      <w:r>
        <w:rPr/>
        <w:t xml:space="preserve"> of this code. </w:t>
      </w:r>
    </w:p>
    <w:p>
      <w:pPr>
        <w:pStyle w:val="List2"/>
        <w:pBdr/>
        <w:spacing/>
        <w:rPr/>
      </w:pPr>
      <w:r>
        <w:rPr/>
        <w:t xml:space="preserve">8.</w:t>
      </w:r>
      <w:r>
        <w:rPr/>
        <w:tab/>
        <w:t xml:space="preserve"/>
      </w:r>
      <w:r>
        <w:rPr>
          <w:u w:val="single"/>
        </w:rPr>
        <w:t xml:space="preserve">"Fire stairs"</w:t>
      </w:r>
      <w:r>
        <w:rPr/>
        <w:t xml:space="preserve"> means an exterior stairway twenty-two inches wide with handrails, and guardrails with intermediate balusters with access from either a thirty inches wide exterior door or an emergency escape window with a forty-four inches interior sill height, twenty inch minimum width, twenty-four inch minimum height with a total of five and seven-tenths square foot minimum and with wired-glass opening protection provided for all windows both above and below the path of the stairway. </w:t>
      </w:r>
    </w:p>
    <w:p>
      <w:pPr>
        <w:pStyle w:val="List2"/>
        <w:pBdr/>
        <w:spacing/>
        <w:rPr/>
      </w:pPr>
      <w:r>
        <w:rPr/>
        <w:t xml:space="preserve">9.</w:t>
      </w:r>
      <w:r>
        <w:rPr/>
        <w:tab/>
        <w:t xml:space="preserve"/>
      </w:r>
      <w:r>
        <w:rPr>
          <w:u w:val="single"/>
        </w:rPr>
        <w:t xml:space="preserve">"Fuel-burning appliance"</w:t>
      </w:r>
      <w:r>
        <w:rPr/>
        <w:t xml:space="preserve"> means a device, apparatus, furnace, fireplace, or boiler that burns coal, wood, charcoal, oil, kerosene, propane, natural gas, or fossil fuels and that produces carbon monoxide as a combustion by-product. </w:t>
      </w:r>
    </w:p>
    <w:p>
      <w:pPr>
        <w:pStyle w:val="List2"/>
        <w:pBdr/>
        <w:spacing/>
        <w:rPr/>
      </w:pPr>
      <w:r>
        <w:rPr/>
        <w:t xml:space="preserve">10.</w:t>
      </w:r>
      <w:r>
        <w:rPr/>
        <w:tab/>
        <w:t xml:space="preserve"/>
      </w:r>
      <w:r>
        <w:rPr>
          <w:u w:val="single"/>
        </w:rPr>
        <w:t xml:space="preserve">"Garbage"</w:t>
      </w:r>
      <w:r>
        <w:rPr/>
        <w:t xml:space="preserve"> means the animal and vegetable waste resulting from the handling, preparation, cooking, and consumption of food. </w:t>
      </w:r>
    </w:p>
    <w:p>
      <w:pPr>
        <w:pStyle w:val="List2"/>
        <w:pBdr/>
        <w:spacing/>
        <w:rPr/>
      </w:pPr>
      <w:r>
        <w:rPr/>
        <w:t xml:space="preserve">11.</w:t>
      </w:r>
      <w:r>
        <w:rPr/>
        <w:tab/>
        <w:t xml:space="preserve"/>
      </w:r>
      <w:r>
        <w:rPr>
          <w:u w:val="single"/>
        </w:rPr>
        <w:t xml:space="preserve">"Habitable room"</w:t>
      </w:r>
      <w:r>
        <w:rPr/>
        <w:t xml:space="preserve"> means a room in a building for living, sleeping, eating or cooking. bathrooms, toilet rooms, closets, halls, storage or utility spaces and similar areas are not considered habitable rooms. </w:t>
      </w:r>
    </w:p>
    <w:p>
      <w:pPr>
        <w:pStyle w:val="List2"/>
        <w:pBdr/>
        <w:spacing/>
        <w:rPr/>
      </w:pPr>
      <w:r>
        <w:rPr/>
        <w:t xml:space="preserve">12.</w:t>
      </w:r>
      <w:r>
        <w:rPr/>
        <w:tab/>
        <w:t xml:space="preserve"/>
      </w:r>
      <w:r>
        <w:rPr>
          <w:u w:val="single"/>
        </w:rPr>
        <w:t xml:space="preserve">"Health, Safety and Sanitation Code"</w:t>
      </w:r>
      <w:r>
        <w:rPr/>
        <w:t xml:space="preserve"> means </w:t>
      </w:r>
      <w:r>
        <w:rPr/>
        <w:t xml:space="preserve">Chapter 94</w:t>
      </w:r>
      <w:r>
        <w:rPr/>
        <w:t xml:space="preserve"> of this code. </w:t>
      </w:r>
    </w:p>
    <w:p>
      <w:pPr>
        <w:pStyle w:val="List2"/>
        <w:pBdr/>
        <w:spacing/>
        <w:rPr/>
      </w:pPr>
      <w:r>
        <w:rPr/>
        <w:t xml:space="preserve">13.</w:t>
      </w:r>
      <w:r>
        <w:rPr/>
        <w:tab/>
        <w:t xml:space="preserve"/>
      </w:r>
      <w:r>
        <w:rPr>
          <w:u w:val="single"/>
        </w:rPr>
        <w:t xml:space="preserve">"Housing Code"</w:t>
      </w:r>
      <w:r>
        <w:rPr/>
        <w:t xml:space="preserve"> means the Environmental Health Housing Code. </w:t>
      </w:r>
    </w:p>
    <w:p>
      <w:pPr>
        <w:pStyle w:val="List2"/>
        <w:pBdr/>
        <w:spacing/>
        <w:rPr/>
      </w:pPr>
      <w:r>
        <w:rPr/>
        <w:t xml:space="preserve">14.</w:t>
      </w:r>
      <w:r>
        <w:rPr/>
        <w:tab/>
        <w:t xml:space="preserve"/>
      </w:r>
      <w:r>
        <w:rPr>
          <w:u w:val="single"/>
        </w:rPr>
        <w:t xml:space="preserve">"Housing Inspector"</w:t>
      </w:r>
      <w:r>
        <w:rPr/>
        <w:t xml:space="preserve"> means the Director of Neighborhood Assistance of the City or his authorized representative. </w:t>
      </w:r>
    </w:p>
    <w:p>
      <w:pPr>
        <w:pStyle w:val="List2"/>
        <w:pBdr/>
        <w:spacing/>
        <w:rPr/>
      </w:pPr>
      <w:r>
        <w:rPr/>
        <w:t xml:space="preserve">15.</w:t>
      </w:r>
      <w:r>
        <w:rPr/>
        <w:tab/>
        <w:t xml:space="preserve"/>
      </w:r>
      <w:r>
        <w:rPr>
          <w:u w:val="single"/>
        </w:rPr>
        <w:t xml:space="preserve">"Infestation"</w:t>
      </w:r>
      <w:r>
        <w:rPr/>
        <w:t xml:space="preserve"> means the presence, within or around a dwelling, of any insects, rodents, or other pests. </w:t>
      </w:r>
    </w:p>
    <w:p>
      <w:pPr>
        <w:pStyle w:val="List2"/>
        <w:pBdr/>
        <w:spacing/>
        <w:rPr/>
      </w:pPr>
      <w:r>
        <w:rPr/>
        <w:t xml:space="preserve">16.</w:t>
      </w:r>
      <w:r>
        <w:rPr/>
        <w:tab/>
        <w:t xml:space="preserve"/>
      </w:r>
      <w:r>
        <w:rPr>
          <w:u w:val="single"/>
        </w:rPr>
        <w:t xml:space="preserve">"Legal or equitable interest"</w:t>
      </w:r>
      <w:r>
        <w:rPr/>
        <w:t xml:space="preserve"> means the interest of a person in a premises or dwelling unit, severally or with others, with or without accompanying actual possession, whether recorded or not, as a feeholder, the vendor or vendee under a land contract, administrator, administratrix, trustee, or guardian of the estate of either the person with legal title or the land contract vendor or vendee. </w:t>
      </w:r>
    </w:p>
    <w:p>
      <w:pPr>
        <w:pStyle w:val="List2"/>
        <w:pBdr/>
        <w:spacing/>
        <w:rPr/>
      </w:pPr>
      <w:r>
        <w:rPr/>
        <w:t xml:space="preserve">17.</w:t>
      </w:r>
      <w:r>
        <w:rPr/>
        <w:tab/>
        <w:t xml:space="preserve"/>
      </w:r>
      <w:r>
        <w:rPr>
          <w:u w:val="single"/>
        </w:rPr>
        <w:t xml:space="preserve">"Litter Code"</w:t>
      </w:r>
      <w:r>
        <w:rPr/>
        <w:t xml:space="preserve"> means </w:t>
      </w:r>
      <w:r>
        <w:rPr/>
        <w:t xml:space="preserve">Chapter 95</w:t>
      </w:r>
      <w:r>
        <w:rPr/>
        <w:t xml:space="preserve"> of this code. </w:t>
      </w:r>
    </w:p>
    <w:p>
      <w:pPr>
        <w:pStyle w:val="List2"/>
        <w:pBdr/>
        <w:spacing/>
        <w:rPr/>
      </w:pPr>
      <w:r>
        <w:rPr/>
        <w:t xml:space="preserve">18.</w:t>
      </w:r>
      <w:r>
        <w:rPr/>
        <w:tab/>
        <w:t xml:space="preserve"/>
      </w:r>
      <w:r>
        <w:rPr>
          <w:u w:val="single"/>
        </w:rPr>
        <w:t xml:space="preserve">"Multiple dwelling"</w:t>
      </w:r>
      <w:r>
        <w:rPr/>
        <w:t xml:space="preserve"> means any dwelling containing more than two dwelling units. </w:t>
      </w:r>
    </w:p>
    <w:p>
      <w:pPr>
        <w:pStyle w:val="List2"/>
        <w:pBdr/>
        <w:spacing/>
        <w:rPr/>
      </w:pPr>
      <w:r>
        <w:rPr/>
        <w:t xml:space="preserve">19.</w:t>
      </w:r>
      <w:r>
        <w:rPr/>
        <w:tab/>
        <w:t xml:space="preserve"/>
      </w:r>
      <w:r>
        <w:rPr>
          <w:u w:val="single"/>
        </w:rPr>
        <w:t xml:space="preserve">"Occupant"</w:t>
      </w:r>
      <w:r>
        <w:rPr/>
        <w:t xml:space="preserve"> means any person over one year of age living, sleeping, cooking, or eating in, or having actual possession of, a dwelling unit or rooming unit. </w:t>
      </w:r>
    </w:p>
    <w:p>
      <w:pPr>
        <w:pStyle w:val="List2"/>
        <w:pBdr/>
        <w:spacing/>
        <w:rPr/>
      </w:pPr>
      <w:r>
        <w:rPr/>
        <w:t xml:space="preserve">20.</w:t>
      </w:r>
      <w:r>
        <w:rPr/>
        <w:tab/>
        <w:t xml:space="preserve"/>
      </w:r>
      <w:r>
        <w:rPr>
          <w:u w:val="single"/>
        </w:rPr>
        <w:t xml:space="preserve">"Operator"</w:t>
      </w:r>
      <w:r>
        <w:rPr/>
        <w:t xml:space="preserve"> means any person who, alone or jointly or severally with others, has charge, care, or control of any premises, or part thereof, in which there are one or more dwelling units or rooming units, whether as owner, manager, agent of the owner, or due to conduct that demonstrates the person's position of responsibility concerning the dwelling or rooming unit. </w:t>
      </w:r>
    </w:p>
    <w:p>
      <w:pPr>
        <w:pStyle w:val="List2"/>
        <w:pBdr/>
        <w:spacing/>
        <w:rPr/>
      </w:pPr>
      <w:r>
        <w:rPr/>
        <w:t xml:space="preserve">21.</w:t>
      </w:r>
      <w:r>
        <w:rPr/>
        <w:tab/>
        <w:t xml:space="preserve"/>
      </w:r>
      <w:r>
        <w:rPr>
          <w:u w:val="single"/>
        </w:rPr>
        <w:t xml:space="preserve">"Owner"</w:t>
      </w:r>
      <w:r>
        <w:rPr/>
        <w:t xml:space="preserve"> means any person, agent, firm or corporation having a legal or equitable interest in the property. </w:t>
      </w:r>
    </w:p>
    <w:p>
      <w:pPr>
        <w:pStyle w:val="List2"/>
        <w:pBdr/>
        <w:spacing/>
        <w:rPr/>
      </w:pPr>
      <w:r>
        <w:rPr/>
        <w:t xml:space="preserve">22.</w:t>
      </w:r>
      <w:r>
        <w:rPr/>
        <w:tab/>
        <w:t xml:space="preserve"/>
      </w:r>
      <w:r>
        <w:rPr>
          <w:u w:val="single"/>
        </w:rPr>
        <w:t xml:space="preserve">"Person"</w:t>
      </w:r>
      <w:r>
        <w:rPr/>
        <w:t xml:space="preserve"> means an individual, heirs, executors, administrators or assigns, and also includes a firm, partnership, corporation, trust, or any entity recognized by law, its or their successors or assigns, or the agent of any of the aforesaid. </w:t>
      </w:r>
    </w:p>
    <w:p>
      <w:pPr>
        <w:pStyle w:val="List2"/>
        <w:pBdr/>
        <w:spacing/>
        <w:rPr/>
      </w:pPr>
      <w:r>
        <w:rPr/>
        <w:t xml:space="preserve">23.</w:t>
      </w:r>
      <w:r>
        <w:rPr/>
        <w:tab/>
        <w:t xml:space="preserve"/>
      </w:r>
      <w:r>
        <w:rPr>
          <w:u w:val="single"/>
        </w:rPr>
        <w:t xml:space="preserve">"Plumbing"</w:t>
      </w:r>
      <w:r>
        <w:rPr/>
        <w:t xml:space="preserve"> means the practice, materials and fixtures utilized in the installation, maintenance, extension and alteration of all piping, fixtures, appliances and appurtenances within or adjacent to any structure, in connection with sanitary drainage or storm drainage facilities; venting systems; and public or private water supply systems. </w:t>
      </w:r>
    </w:p>
    <w:p>
      <w:pPr>
        <w:pStyle w:val="List2"/>
        <w:pBdr/>
        <w:spacing/>
        <w:rPr/>
      </w:pPr>
      <w:r>
        <w:rPr/>
        <w:t xml:space="preserve">24.</w:t>
      </w:r>
      <w:r>
        <w:rPr/>
        <w:tab/>
        <w:t xml:space="preserve"/>
      </w:r>
      <w:r>
        <w:rPr>
          <w:u w:val="single"/>
        </w:rPr>
        <w:t xml:space="preserve">"Premises"</w:t>
      </w:r>
      <w:r>
        <w:rPr/>
        <w:t xml:space="preserve"> means not only the dwelling and any other building of any kind or nature located on the lot, but also the entire parcel of land surrounding the buildings, including, but not limited to, fences, walkways, walls, and appurtenances. </w:t>
      </w:r>
    </w:p>
    <w:p>
      <w:pPr>
        <w:pStyle w:val="List2"/>
        <w:pBdr/>
        <w:spacing/>
        <w:rPr/>
      </w:pPr>
      <w:r>
        <w:rPr/>
        <w:t xml:space="preserve">25.</w:t>
      </w:r>
      <w:r>
        <w:rPr/>
        <w:tab/>
        <w:t xml:space="preserve"/>
      </w:r>
      <w:r>
        <w:rPr>
          <w:u w:val="single"/>
        </w:rPr>
        <w:t xml:space="preserve">"Purchaser"</w:t>
      </w:r>
      <w:r>
        <w:rPr/>
        <w:t xml:space="preserve"> means any person who, alone or jointly or severally with others, has entered into a contract to become the owner of any dwelling or dwelling unit, with or without accompanying actual possession thereof. </w:t>
      </w:r>
    </w:p>
    <w:p>
      <w:pPr>
        <w:pStyle w:val="List2"/>
        <w:pBdr/>
        <w:spacing/>
        <w:rPr/>
      </w:pPr>
      <w:r>
        <w:rPr/>
        <w:t xml:space="preserve">26.</w:t>
      </w:r>
      <w:r>
        <w:rPr/>
        <w:tab/>
        <w:t xml:space="preserve"/>
      </w:r>
      <w:r>
        <w:rPr>
          <w:u w:val="single"/>
        </w:rPr>
        <w:t xml:space="preserve">"Rental unit"</w:t>
      </w:r>
      <w:r>
        <w:rPr/>
        <w:t xml:space="preserve"> means a dwelling unit or rooming unit not occupied by the person with legal title. </w:t>
      </w:r>
    </w:p>
    <w:p>
      <w:pPr>
        <w:pStyle w:val="List2"/>
        <w:pBdr/>
        <w:spacing/>
        <w:rPr/>
      </w:pPr>
      <w:r>
        <w:rPr/>
        <w:t xml:space="preserve">27.</w:t>
      </w:r>
      <w:r>
        <w:rPr/>
        <w:tab/>
        <w:t xml:space="preserve"/>
      </w:r>
      <w:r>
        <w:rPr>
          <w:u w:val="single"/>
        </w:rPr>
        <w:t xml:space="preserve">"Rooming house"</w:t>
      </w:r>
      <w:r>
        <w:rPr/>
        <w:t xml:space="preserve"> means any dwelling, or that part of any dwelling, containing one or more rooming units, including hotels, in which space is let by the owner or operator to three or more persons who are not husband, wife, son, daughter, mother, father, sister, or brother of the owner or operator. </w:t>
      </w:r>
    </w:p>
    <w:p>
      <w:pPr>
        <w:pStyle w:val="List2"/>
        <w:pBdr/>
        <w:spacing/>
        <w:rPr/>
      </w:pPr>
      <w:r>
        <w:rPr/>
        <w:t xml:space="preserve">28.</w:t>
      </w:r>
      <w:r>
        <w:rPr/>
        <w:tab/>
        <w:t xml:space="preserve"/>
      </w:r>
      <w:r>
        <w:rPr>
          <w:u w:val="single"/>
        </w:rPr>
        <w:t xml:space="preserve">"Rooming unit"</w:t>
      </w:r>
      <w:r>
        <w:rPr/>
        <w:t xml:space="preserve"> means any room or group of rooms forming a single habitable unit used, intended to be used or designed to be used for living and sleeping but not for cooking or eating purposes. </w:t>
      </w:r>
    </w:p>
    <w:p>
      <w:pPr>
        <w:pStyle w:val="List2"/>
        <w:pBdr/>
        <w:spacing/>
        <w:rPr/>
      </w:pPr>
      <w:r>
        <w:rPr/>
        <w:t xml:space="preserve">29.</w:t>
      </w:r>
      <w:r>
        <w:rPr/>
        <w:tab/>
        <w:t xml:space="preserve"/>
      </w:r>
      <w:r>
        <w:rPr>
          <w:u w:val="single"/>
        </w:rPr>
        <w:t xml:space="preserve">"Rubbish"</w:t>
      </w:r>
      <w:r>
        <w:rPr/>
        <w:t xml:space="preserve"> means combustible and noncombustible waste materials, except garbage, including the residue from the burning of wood, coal, coke, and other combustible material, paper, rags, cartons, boxes, wood excelsior, rubber, leather, tree branches, yard trimmings, tin cans, metals, mineral matter, glass, crockery, plastics, dust, and other like materials. </w:t>
      </w:r>
    </w:p>
    <w:p>
      <w:pPr>
        <w:pStyle w:val="List2"/>
        <w:pBdr/>
        <w:spacing/>
        <w:rPr/>
      </w:pPr>
      <w:r>
        <w:rPr/>
        <w:t xml:space="preserve">30.</w:t>
      </w:r>
      <w:r>
        <w:rPr/>
        <w:tab/>
        <w:t xml:space="preserve"/>
      </w:r>
      <w:r>
        <w:rPr>
          <w:u w:val="single"/>
        </w:rPr>
        <w:t xml:space="preserve">"Supplied"</w:t>
      </w:r>
      <w:r>
        <w:rPr/>
        <w:t xml:space="preserve"> means paid for, furnished, or provided by, or under the control of, the owner or operator. </w:t>
      </w:r>
    </w:p>
    <w:p>
      <w:pPr>
        <w:pStyle w:val="List2"/>
        <w:pBdr/>
        <w:spacing/>
        <w:rPr/>
      </w:pPr>
      <w:r>
        <w:rPr/>
        <w:t xml:space="preserve">31.</w:t>
      </w:r>
      <w:r>
        <w:rPr/>
        <w:tab/>
        <w:t xml:space="preserve"/>
      </w:r>
      <w:r>
        <w:rPr>
          <w:u w:val="single"/>
        </w:rPr>
        <w:t xml:space="preserve">"Temporary housing"</w:t>
      </w:r>
      <w:r>
        <w:rPr/>
        <w:t xml:space="preserve"> means any tent, trailer, or other structure used for human shelter which is designed to be transportable and which is not attached to the ground, to another structure or to any utilities system on the same premises for more than thirty consecutive days. </w:t>
      </w:r>
    </w:p>
    <w:p>
      <w:pPr>
        <w:pStyle w:val="List2"/>
        <w:pBdr/>
        <w:spacing/>
        <w:rPr/>
      </w:pPr>
      <w:r>
        <w:rPr/>
        <w:t xml:space="preserve">32.</w:t>
      </w:r>
      <w:r>
        <w:rPr/>
        <w:tab/>
        <w:t xml:space="preserve"/>
      </w:r>
      <w:r>
        <w:rPr>
          <w:u w:val="single"/>
        </w:rPr>
        <w:t xml:space="preserve">"Zoning Code"</w:t>
      </w:r>
      <w:r>
        <w:rPr/>
        <w:t xml:space="preserve"> means </w:t>
      </w:r>
      <w:r>
        <w:rPr/>
        <w:t xml:space="preserve">Chapter 153</w:t>
      </w:r>
      <w:r>
        <w:rPr/>
        <w:t xml:space="preserve"> of this code. </w:t>
      </w:r>
    </w:p>
    <w:p>
      <w:pPr>
        <w:pStyle w:val="List1"/>
        <w:pBdr/>
        <w:spacing/>
        <w:rPr/>
      </w:pPr>
      <w:r>
        <w:rPr/>
        <w:t xml:space="preserve">B.</w:t>
      </w:r>
      <w:r>
        <w:rPr/>
        <w:tab/>
        <w:t xml:space="preserve"/>
      </w:r>
      <w:r>
        <w:rPr/>
        <w:t xml:space="preserve">Whenever the words "dwelling," "dwelling unit," "rooming unit," or "premises" are used in this chapter, they shall be construed as though they were followed by the words "or any part thereof." </w:t>
      </w:r>
    </w:p>
    <w:p>
      <w:pPr>
        <w:pStyle w:val="HistoryNote"/>
        <w:pBdr/>
        <w:spacing/>
        <w:rPr/>
      </w:pPr>
      <w:r>
        <w:rPr>
          <w:rStyle w:val="HistoryNote"/>
        </w:rPr>
        <w:t xml:space="preserve">(Ord. 113-1972; Ord. 205-1988; Ord. 181-1992; Ord. 769-1996; Ord. 708-1997; Ord. 14-2010; Ord. 210-2012; Ord. 291-2013; Ord. 305-2022)</w:t>
      </w:r>
    </w:p>
    <w:p>
      <w:pPr>
        <w:pBdr/>
        <w:spacing w:before="0" w:after="0"/>
        <w:rPr/>
        <w:sectPr>
          <w:headerReference w:type="default" r:id="rId3"/>
          <w:footerReference w:type="default" r:id="rId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150.011</w:t>
      </w:r>
      <w:r>
        <w:rPr/>
        <w:t xml:space="preserve"> </w:t>
      </w:r>
      <w:r>
        <w:rPr/>
        <w:t xml:space="preserve">(Reserved).</w:t>
      </w:r>
    </w:p>
    <w:p>
      <w:pPr>
        <w:pBdr/>
        <w:spacing w:before="0" w:after="0"/>
        <w:rPr/>
        <w:sectPr>
          <w:headerReference w:type="default" r:id="rId5"/>
          <w:footerReference w:type="default" r:id="rId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150.02</w:t>
      </w:r>
      <w:r>
        <w:rPr/>
        <w:t xml:space="preserve"> </w:t>
      </w:r>
      <w:r>
        <w:rPr/>
        <w:t xml:space="preserve">Entry and inspection.</w:t>
      </w:r>
    </w:p>
    <w:p>
      <w:pPr>
        <w:pStyle w:val="List1"/>
        <w:pBdr/>
        <w:spacing/>
        <w:rPr/>
      </w:pPr>
      <w:r>
        <w:rPr/>
        <w:t xml:space="preserve">A.</w:t>
      </w:r>
      <w:r>
        <w:rPr/>
        <w:tab/>
        <w:t xml:space="preserve"/>
      </w:r>
      <w:r>
        <w:rPr/>
        <w:t xml:space="preserve">The Housing Inspector is authorized and directed to make inspections to determine the conditions of dwellings, rooming houses and premises located within the city. For the purpose of making the inspections, the Housing Inspector is authorized to enter, examine, and survey, at all reasonable times, all dwellings, dwelling units, rooming units, and premises. The owner or occupant of every dwelling or rooming house or the person in charge thereof, on request of the Housing Inspector, may give the Housing Inspector free access to the dwelling or rooming house and its premises, at all reasonable times, for the purpose of the inspection, examination, and survey. If entry is refused or not obtained, the Housing Inspector shall conduct the inspection only as provided by law. This chapter shall not be construed to require an occupant, operator or owner to consent to a warrantless inspection of a dwelling, rooming house or premises except as provided by law. </w:t>
      </w:r>
    </w:p>
    <w:p>
      <w:pPr>
        <w:pStyle w:val="List1"/>
        <w:pBdr/>
        <w:spacing/>
        <w:rPr/>
      </w:pPr>
      <w:r>
        <w:rPr/>
        <w:t xml:space="preserve">B.</w:t>
      </w:r>
      <w:r>
        <w:rPr/>
        <w:tab/>
        <w:t xml:space="preserve"/>
      </w:r>
      <w:r>
        <w:rPr/>
        <w:t xml:space="preserve">Every occupant of a dwelling or rooming house shall give the owner thereof, or his agent or employee, access to any part of the building or its premises, at all reasonable times, for the purpose of making the repairs or alterations as are necessary to effect compliance with the provisions of this chapter, or with any lawful rule or regulation adopted or any lawful order issued pursuant thereto. </w:t>
      </w:r>
    </w:p>
    <w:p>
      <w:pPr>
        <w:pStyle w:val="HistoryNote"/>
        <w:pBdr/>
        <w:spacing/>
        <w:rPr/>
      </w:pPr>
      <w:r>
        <w:rPr>
          <w:rStyle w:val="HistoryNote"/>
        </w:rPr>
        <w:t xml:space="preserve">(Ord. 708-1997; Ord. 769-1996; Ord. 113-1972)</w:t>
      </w:r>
    </w:p>
    <w:p>
      <w:pPr>
        <w:pBdr/>
        <w:spacing w:before="0" w:after="0"/>
        <w:rPr/>
        <w:sectPr>
          <w:headerReference w:type="default" r:id="rId7"/>
          <w:footerReference w:type="default" r:id="rId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150.03</w:t>
      </w:r>
      <w:r>
        <w:rPr/>
        <w:t xml:space="preserve"> </w:t>
      </w:r>
      <w:r>
        <w:rPr/>
        <w:t xml:space="preserve">Notice of violation.</w:t>
      </w:r>
    </w:p>
    <w:p>
      <w:pPr>
        <w:pStyle w:val="List1"/>
        <w:pBdr/>
        <w:spacing/>
        <w:rPr/>
      </w:pPr>
      <w:r>
        <w:rPr/>
        <w:t xml:space="preserve">A.</w:t>
      </w:r>
      <w:r>
        <w:rPr/>
        <w:tab/>
        <w:t xml:space="preserve"/>
      </w:r>
      <w:r>
        <w:rPr/>
        <w:t xml:space="preserve">Whenever the Housing Inspector determines that there has been a violation of any of the provisions of this chapter, he shall give notice of the violation to the person responsible therefor and order compliance, as herein provided. The notice and order shall: </w:t>
      </w:r>
    </w:p>
    <w:p>
      <w:pPr>
        <w:pStyle w:val="List2"/>
        <w:pBdr/>
        <w:spacing/>
        <w:rPr/>
      </w:pPr>
      <w:r>
        <w:rPr/>
        <w:t xml:space="preserve">1.</w:t>
      </w:r>
      <w:r>
        <w:rPr/>
        <w:tab/>
        <w:t xml:space="preserve"/>
      </w:r>
      <w:r>
        <w:rPr/>
        <w:t xml:space="preserve">Be put in writing on an appropriate form as the Department of Neighborhood Assistance shall determine; </w:t>
      </w:r>
    </w:p>
    <w:p>
      <w:pPr>
        <w:pStyle w:val="List2"/>
        <w:pBdr/>
        <w:spacing/>
        <w:rPr/>
      </w:pPr>
      <w:r>
        <w:rPr/>
        <w:t xml:space="preserve">2.</w:t>
      </w:r>
      <w:r>
        <w:rPr/>
        <w:tab/>
        <w:t xml:space="preserve"/>
      </w:r>
      <w:r>
        <w:rPr/>
        <w:t xml:space="preserve">Include a list of violations, refer to the sections and subsections violated and order remedial action which will effect compliance with the provisions of this chapter, including obtaining a permit, inspection, and approval required by state or local law; </w:t>
      </w:r>
    </w:p>
    <w:p>
      <w:pPr>
        <w:pStyle w:val="List2"/>
        <w:pBdr/>
        <w:spacing/>
        <w:rPr/>
      </w:pPr>
      <w:r>
        <w:rPr/>
        <w:t xml:space="preserve">3.</w:t>
      </w:r>
      <w:r>
        <w:rPr/>
        <w:tab/>
        <w:t xml:space="preserve"/>
      </w:r>
      <w:r>
        <w:rPr/>
        <w:t xml:space="preserve">Specify a reasonable time within which to comply; and </w:t>
      </w:r>
    </w:p>
    <w:p>
      <w:pPr>
        <w:pStyle w:val="List2"/>
        <w:pBdr/>
        <w:spacing/>
        <w:rPr/>
      </w:pPr>
      <w:r>
        <w:rPr/>
        <w:t xml:space="preserve">4.</w:t>
      </w:r>
      <w:r>
        <w:rPr/>
        <w:tab/>
        <w:t xml:space="preserve"/>
      </w:r>
      <w:r>
        <w:rPr/>
        <w:t xml:space="preserve">Be served on the operator, owner or occupant personally or by certified mail and regular mail to the person's residence, regular place of business or last known address. If the certified or regular mail is returned undelivered, a copy shall be posted in a conspicuous place in or on the person's residence, regular place of business, last known address or the building affected. </w:t>
      </w:r>
    </w:p>
    <w:p>
      <w:pPr>
        <w:pStyle w:val="List1"/>
        <w:pBdr/>
        <w:spacing/>
        <w:rPr/>
      </w:pPr>
      <w:r>
        <w:rPr/>
        <w:t xml:space="preserve">B.</w:t>
      </w:r>
      <w:r>
        <w:rPr/>
        <w:tab/>
        <w:t xml:space="preserve"/>
      </w:r>
      <w:r>
        <w:rPr/>
        <w:t xml:space="preserve">Whenever a person violates or fails to comply with any of the provisions of this chapter, the Housing Inspector shall have the authority to impose an administrative penalty. The Housing Inspector shall consider the following criteria in assessing an administrative penalty: </w:t>
      </w:r>
    </w:p>
    <w:p>
      <w:pPr>
        <w:pStyle w:val="List2"/>
        <w:pBdr/>
        <w:spacing/>
        <w:rPr/>
      </w:pPr>
      <w:r>
        <w:rPr/>
        <w:t xml:space="preserve">1.</w:t>
      </w:r>
      <w:r>
        <w:rPr/>
        <w:tab/>
        <w:t xml:space="preserve"/>
      </w:r>
      <w:r>
        <w:rPr/>
        <w:t xml:space="preserve">The extent to which the person has benefited by the violation of this chapter; </w:t>
      </w:r>
    </w:p>
    <w:p>
      <w:pPr>
        <w:pStyle w:val="List2"/>
        <w:pBdr/>
        <w:spacing/>
        <w:rPr/>
      </w:pPr>
      <w:r>
        <w:rPr/>
        <w:t xml:space="preserve">2.</w:t>
      </w:r>
      <w:r>
        <w:rPr/>
        <w:tab/>
        <w:t xml:space="preserve"/>
      </w:r>
      <w:r>
        <w:rPr/>
        <w:t xml:space="preserve">The impact on neighboring premises; </w:t>
      </w:r>
    </w:p>
    <w:p>
      <w:pPr>
        <w:pStyle w:val="List2"/>
        <w:pBdr/>
        <w:spacing/>
        <w:rPr/>
      </w:pPr>
      <w:r>
        <w:rPr/>
        <w:t xml:space="preserve">3.</w:t>
      </w:r>
      <w:r>
        <w:rPr/>
        <w:tab/>
        <w:t xml:space="preserve"/>
      </w:r>
      <w:r>
        <w:rPr/>
        <w:t xml:space="preserve">The recidivism of the person, including previous notices and orders to comply and previous enforcement action; </w:t>
      </w:r>
    </w:p>
    <w:p>
      <w:pPr>
        <w:pStyle w:val="List2"/>
        <w:pBdr/>
        <w:spacing/>
        <w:rPr/>
      </w:pPr>
      <w:r>
        <w:rPr/>
        <w:t xml:space="preserve">4.</w:t>
      </w:r>
      <w:r>
        <w:rPr/>
        <w:tab/>
        <w:t xml:space="preserve"/>
      </w:r>
      <w:r>
        <w:rPr/>
        <w:t xml:space="preserve">Good faith efforts of the person to remedy the violation of this chapter; and </w:t>
      </w:r>
    </w:p>
    <w:p>
      <w:pPr>
        <w:pStyle w:val="List2"/>
        <w:pBdr/>
        <w:spacing/>
        <w:rPr/>
      </w:pPr>
      <w:r>
        <w:rPr/>
        <w:t xml:space="preserve">5.</w:t>
      </w:r>
      <w:r>
        <w:rPr/>
        <w:tab/>
        <w:t xml:space="preserve"/>
      </w:r>
      <w:r>
        <w:rPr/>
        <w:t xml:space="preserve">The duration of the violation after a notice and order to comply was served pursuant to this section or Section </w:t>
      </w:r>
      <w:r>
        <w:rPr/>
        <w:t xml:space="preserve">150.031</w:t>
      </w:r>
    </w:p>
    <w:p>
      <w:pPr>
        <w:pStyle w:val="List1"/>
        <w:pBdr/>
        <w:spacing/>
        <w:rPr/>
      </w:pPr>
      <w:r>
        <w:rPr/>
        <w:t xml:space="preserve">C.</w:t>
      </w:r>
      <w:r>
        <w:rPr/>
        <w:tab/>
        <w:t xml:space="preserve"/>
      </w:r>
      <w:r>
        <w:rPr/>
        <w:t xml:space="preserve">The imposition of an administrative fine shall be accomplished only after a notice and order is provided to the occupant, operator or owner. Notice of a decision imposing an administrative fine shall: </w:t>
      </w:r>
    </w:p>
    <w:p>
      <w:pPr>
        <w:pStyle w:val="List2"/>
        <w:pBdr/>
        <w:spacing/>
        <w:rPr/>
      </w:pPr>
      <w:r>
        <w:rPr/>
        <w:t xml:space="preserve">1.</w:t>
      </w:r>
      <w:r>
        <w:rPr/>
        <w:tab/>
        <w:t xml:space="preserve"/>
      </w:r>
      <w:r>
        <w:rPr/>
        <w:t xml:space="preserve">Be put in writing on an appropriate form as the Department of Neighborhood Assistance Service shall determine; </w:t>
      </w:r>
    </w:p>
    <w:p>
      <w:pPr>
        <w:pStyle w:val="List2"/>
        <w:pBdr/>
        <w:spacing/>
        <w:rPr/>
      </w:pPr>
      <w:r>
        <w:rPr/>
        <w:t xml:space="preserve">2.</w:t>
      </w:r>
      <w:r>
        <w:rPr/>
        <w:tab/>
        <w:t xml:space="preserve"/>
      </w:r>
      <w:r>
        <w:rPr/>
        <w:t xml:space="preserve">State the basis for the administrative penalty, including the section of this chapter that has been violated; </w:t>
      </w:r>
    </w:p>
    <w:p>
      <w:pPr>
        <w:pStyle w:val="List2"/>
        <w:pBdr/>
        <w:spacing/>
        <w:rPr/>
      </w:pPr>
      <w:r>
        <w:rPr/>
        <w:t xml:space="preserve">3.</w:t>
      </w:r>
      <w:r>
        <w:rPr/>
        <w:tab/>
        <w:t xml:space="preserve"/>
      </w:r>
      <w:r>
        <w:rPr/>
        <w:t xml:space="preserve">Specify the date and manner by which the penalty must be paid; and </w:t>
      </w:r>
    </w:p>
    <w:p>
      <w:pPr>
        <w:pStyle w:val="List2"/>
        <w:pBdr/>
        <w:spacing/>
        <w:rPr/>
      </w:pPr>
      <w:r>
        <w:rPr/>
        <w:t xml:space="preserve">4.</w:t>
      </w:r>
      <w:r>
        <w:rPr/>
        <w:tab/>
        <w:t xml:space="preserve"/>
      </w:r>
      <w:r>
        <w:rPr/>
        <w:t xml:space="preserve">Be served on the occupant, operator or owner personally or by certified mail and regular mail to the person's residence, regular place of business or last known address. If the certified or regular mail is returned undelivered, a copy shall be posted in a conspicuous place in or on the person's residence, regular place of business, last known address or the dwelling affected. </w:t>
      </w:r>
    </w:p>
    <w:p>
      <w:pPr>
        <w:pStyle w:val="HistoryNote"/>
        <w:pBdr/>
        <w:spacing/>
        <w:rPr/>
      </w:pPr>
      <w:r>
        <w:rPr>
          <w:rStyle w:val="HistoryNote"/>
        </w:rPr>
        <w:t xml:space="preserve">(Ord. 222-2008 §4: Ord. 708-1997; Ord. 769-1996; Ord. 904-1988; Ord. 113-1972)</w:t>
      </w:r>
    </w:p>
    <w:p>
      <w:pPr>
        <w:pStyle w:val="HistoryNote"/>
        <w:pBdr/>
        <w:spacing/>
        <w:rPr/>
      </w:pPr>
      <w:r>
        <w:rPr>
          <w:rStyle w:val="HistoryNote"/>
        </w:rPr>
        <w:t xml:space="preserve">(Ord. 14-2010; Ord. 210-2012; Ord. 291-2013)</w:t>
      </w:r>
    </w:p>
    <w:p>
      <w:pPr>
        <w:pBdr/>
        <w:spacing w:before="0" w:after="0"/>
        <w:rPr/>
        <w:sectPr>
          <w:headerReference w:type="default" r:id="rId9"/>
          <w:footerReference w:type="default" r:id="rId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150.031</w:t>
      </w:r>
      <w:r>
        <w:rPr/>
        <w:t xml:space="preserve"> </w:t>
      </w:r>
      <w:r>
        <w:rPr/>
        <w:t xml:space="preserve">(Reserved).</w:t>
      </w:r>
    </w:p>
    <w:p>
      <w:pPr>
        <w:pBdr/>
        <w:spacing w:before="0" w:after="0"/>
        <w:rPr/>
        <w:sectPr>
          <w:headerReference w:type="default" r:id="rId11"/>
          <w:footerReference w:type="default" r:id="rId1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150.04</w:t>
      </w:r>
      <w:r>
        <w:rPr/>
        <w:t xml:space="preserve"> </w:t>
      </w:r>
      <w:r>
        <w:rPr/>
        <w:t xml:space="preserve">Housing Appeals Board.</w:t>
      </w:r>
    </w:p>
    <w:p>
      <w:pPr>
        <w:pStyle w:val="List1"/>
        <w:pBdr/>
        <w:spacing/>
        <w:rPr/>
      </w:pPr>
      <w:r>
        <w:rPr/>
        <w:t xml:space="preserve">A.</w:t>
      </w:r>
      <w:r>
        <w:rPr/>
        <w:tab/>
        <w:t xml:space="preserve"/>
      </w:r>
      <w:r>
        <w:rPr/>
        <w:t xml:space="preserve">The Board. There is created a Housing Appeals Board. The words the Board or Board, as used in this chapter, mean the Housing Appeals Board. The Housing Appeals Board shall consist of seven members, who shall be appointed by the Mayor, by and with the consent of Council, for overlapping terms of three years, and they shall serve until a successor is appointed. </w:t>
      </w:r>
    </w:p>
    <w:p>
      <w:pPr>
        <w:pStyle w:val="List1"/>
        <w:pBdr/>
        <w:spacing/>
        <w:rPr/>
      </w:pPr>
      <w:r>
        <w:rPr/>
        <w:t xml:space="preserve">B.</w:t>
      </w:r>
      <w:r>
        <w:rPr/>
        <w:tab/>
        <w:t xml:space="preserve"/>
      </w:r>
      <w:r>
        <w:rPr/>
        <w:t xml:space="preserve">Members. Members of the Board shall be citizens of the United States and residents of the city. Seven members of the Board shall be scheduled to attend each meeting. Four members of the Board in attendance at any meeting shall constitute a quorum. The salary of each member of the Board shall be one hundred dollars per meeting attended. </w:t>
      </w:r>
    </w:p>
    <w:p>
      <w:pPr>
        <w:pStyle w:val="List1"/>
        <w:pBdr/>
        <w:spacing/>
        <w:rPr/>
      </w:pPr>
      <w:r>
        <w:rPr/>
        <w:t xml:space="preserve">C.</w:t>
      </w:r>
      <w:r>
        <w:rPr/>
        <w:tab/>
        <w:t xml:space="preserve"/>
      </w:r>
      <w:r>
        <w:rPr/>
        <w:t xml:space="preserve">Rules of Procedure—Quorum. The Board shall adopt rules of procedure consistent with this chapter and elect the officers as the Board deems necessary. The Board shall meet at such times prescribed by its rules or announced at a meeting. No member of the Board shall take part in any hearing or determination in which he has a personal or financial interest. </w:t>
      </w:r>
    </w:p>
    <w:p>
      <w:pPr>
        <w:pStyle w:val="List1"/>
        <w:pBdr/>
        <w:spacing/>
        <w:rPr/>
      </w:pPr>
      <w:r>
        <w:rPr/>
        <w:t xml:space="preserve">D.</w:t>
      </w:r>
      <w:r>
        <w:rPr/>
        <w:tab/>
        <w:t xml:space="preserve"/>
      </w:r>
      <w:r>
        <w:rPr/>
        <w:t xml:space="preserve">Frequency of Meetings. The Board shall meet at least once during every month of the year. </w:t>
      </w:r>
    </w:p>
    <w:p>
      <w:pPr>
        <w:pStyle w:val="HistoryNote"/>
        <w:pBdr/>
        <w:spacing/>
        <w:rPr/>
      </w:pPr>
      <w:r>
        <w:rPr>
          <w:rStyle w:val="HistoryNote"/>
        </w:rPr>
        <w:t xml:space="preserve">(Ord. 708-1997; Ord. 769-1996; Ord. 79-1980; Ord. 853-1979; Ord. 113-1972)</w:t>
      </w:r>
    </w:p>
    <w:p>
      <w:pPr>
        <w:pStyle w:val="HistoryNote"/>
        <w:pBdr/>
        <w:spacing/>
        <w:rPr/>
      </w:pPr>
      <w:r>
        <w:rPr>
          <w:rStyle w:val="HistoryNote"/>
        </w:rPr>
        <w:t xml:space="preserve">(Ord. 103-2012; Ord. 324-2024)</w:t>
      </w:r>
    </w:p>
    <w:p>
      <w:pPr>
        <w:pBdr/>
        <w:spacing w:before="0" w:after="0"/>
        <w:rPr/>
        <w:sectPr>
          <w:headerReference w:type="default" r:id="rId13"/>
          <w:footerReference w:type="default" r:id="rId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150.05</w:t>
      </w:r>
      <w:r>
        <w:rPr/>
        <w:t xml:space="preserve"> </w:t>
      </w:r>
      <w:r>
        <w:rPr/>
        <w:t xml:space="preserve">Hearings.</w:t>
      </w:r>
    </w:p>
    <w:p>
      <w:pPr>
        <w:pStyle w:val="List1"/>
        <w:pBdr/>
        <w:spacing/>
        <w:rPr/>
      </w:pPr>
      <w:r>
        <w:rPr/>
        <w:t xml:space="preserve">A.</w:t>
      </w:r>
      <w:r>
        <w:rPr/>
        <w:tab/>
        <w:t xml:space="preserve"/>
      </w:r>
      <w:r>
        <w:rPr/>
        <w:t xml:space="preserve">Appeals. For the purpose of this section, "person" shall include any entity which owns, leases, holds, or has any interest in a dwelling or premises in the city. Any person affected by any notice and order which has been issued in connection with the enforcement of any of the provisions of this chapter may request and shall be granted a hearing on the matter before the Board. The person shall file, in the office of the Director of Neighborhood Assistance, a written request for the hearing and shall set forth the name, address, and phone number of the appellant and a brief statement of the grounds for the hearing and appeal from any order of the Director of Neighborhood Assistance. Requests shall be filed within ten days after the day the notice and order is served and shall be accompanied by a deposit of fifteen dollars, which deposit shall be non-refundable. On receipt of the request, the Director of Neighborhood Assistance shall set a time and place for a hearing before the Board. The hearing shall be held within a reasonable time after a request has been filed. At the hearing, the appellant shall be given an opportunity to be heard and to show cause why the notice and order should be modified or dismissed, or why a variance should be granted. The failure of the appellant or his representative to appear and present his position at the hearing shall be grounds for dismissal of the request. </w:t>
      </w:r>
    </w:p>
    <w:p>
      <w:pPr>
        <w:pStyle w:val="List1"/>
        <w:pBdr/>
        <w:spacing/>
        <w:rPr/>
      </w:pPr>
      <w:r>
        <w:rPr/>
        <w:t xml:space="preserve">B.</w:t>
      </w:r>
      <w:r>
        <w:rPr/>
        <w:tab/>
        <w:t xml:space="preserve"/>
      </w:r>
      <w:r>
        <w:rPr/>
        <w:t xml:space="preserve">Variances. The Board shall interpret the intent of this chapter in specific cases where, on appeal, it clearly appears that, by reason of special conditions, undue hardship would result from a literal application of any section of this chapter. Where undue hardship is clearly demonstrated, the Board may permit a variance from the applicable section if the dwelling will vary only a reasonable minimum from the literal provisions of this chapter but will comply with the spirit and intent of this chapter with respect to sanitation, safety, and rehabilitation. </w:t>
      </w:r>
    </w:p>
    <w:p>
      <w:pPr>
        <w:pStyle w:val="List1"/>
        <w:pBdr/>
        <w:spacing/>
        <w:rPr/>
      </w:pPr>
      <w:r>
        <w:rPr/>
        <w:t xml:space="preserve">C.</w:t>
      </w:r>
      <w:r>
        <w:rPr/>
        <w:tab/>
        <w:t xml:space="preserve"/>
      </w:r>
      <w:r>
        <w:rPr/>
        <w:t xml:space="preserve">Notice. Written notice of the meeting of the Board shall be given by the Director of Neighborhood Assistance to the appellant and the citizen complainant. The notice shall be sent by ordinary U.S. mail at least ten days prior to the date of the hearing before the Board. Notice of the agenda to be heard by the Board shall be published on a City website at least ten days prior to the meeting of the Board. The Law Department of the City shall be notified of the hearing. </w:t>
      </w:r>
    </w:p>
    <w:p>
      <w:pPr>
        <w:pStyle w:val="List1"/>
        <w:pBdr/>
        <w:spacing/>
        <w:rPr/>
      </w:pPr>
      <w:r>
        <w:rPr/>
        <w:t xml:space="preserve">D.</w:t>
      </w:r>
      <w:r>
        <w:rPr/>
        <w:tab/>
        <w:t xml:space="preserve"/>
      </w:r>
      <w:r>
        <w:rPr/>
        <w:t xml:space="preserve">Decisions. On hearing, the Board may affirm, disaffirm, modify, or dismiss the notice and order, or grant a variance from the notice and order, by a majority vote of the members of the Board who are present. The appellant and the Director of Neighborhood Assistance shall be notified in writing of the findings. </w:t>
      </w:r>
    </w:p>
    <w:p>
      <w:pPr>
        <w:pStyle w:val="List1"/>
        <w:pBdr/>
        <w:spacing/>
        <w:rPr/>
      </w:pPr>
      <w:r>
        <w:rPr/>
        <w:t xml:space="preserve">E.</w:t>
      </w:r>
      <w:r>
        <w:rPr/>
        <w:tab/>
        <w:t xml:space="preserve"/>
      </w:r>
      <w:r>
        <w:rPr/>
        <w:t xml:space="preserve">Records. The proceedings at the hearings, including the findings and decision of the Board and reasons therefor, shall be summarized in writing and entered as a matter of public record in the office of the Director of Neighborhood Assistance. The record shall also include a copy of every notice and order issued in connection with the matter. Any person aggrieved by the decision of the Board may seek relief therefrom in any court of competent jurisdiction as provided by the laws of the state. </w:t>
      </w:r>
    </w:p>
    <w:p>
      <w:pPr>
        <w:pStyle w:val="HistoryNote"/>
        <w:pBdr/>
        <w:spacing/>
        <w:rPr/>
      </w:pPr>
      <w:r>
        <w:rPr>
          <w:rStyle w:val="HistoryNote"/>
        </w:rPr>
        <w:t xml:space="preserve">(Ord. 708-1997; Ord. 769-1996; Ord. 79-1980; Ord. 853-1979; Ord. 113-1972)</w:t>
      </w:r>
    </w:p>
    <w:p>
      <w:pPr>
        <w:pStyle w:val="HistoryNote"/>
        <w:pBdr/>
        <w:spacing/>
        <w:rPr/>
      </w:pPr>
      <w:r>
        <w:rPr>
          <w:rStyle w:val="HistoryNote"/>
        </w:rPr>
        <w:t xml:space="preserve">(Ord. 14-2010; Ord. 210-2012; Ord. 429-2025)</w:t>
      </w:r>
    </w:p>
    <w:p>
      <w:pPr>
        <w:pBdr/>
        <w:spacing w:before="0" w:after="0"/>
        <w:rPr/>
        <w:sectPr>
          <w:headerReference w:type="default" r:id="rId15"/>
          <w:footerReference w:type="default" r:id="rId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150.051</w:t>
      </w:r>
      <w:r>
        <w:rPr/>
        <w:t xml:space="preserve"> </w:t>
      </w:r>
      <w:r>
        <w:rPr/>
        <w:t xml:space="preserve">Repair, vacation and demolition—Procedure—Remedy of City for noncompliance.</w:t>
      </w:r>
    </w:p>
    <w:p>
      <w:pPr>
        <w:pStyle w:val="List1"/>
        <w:pBdr/>
        <w:spacing/>
        <w:rPr/>
      </w:pPr>
      <w:r>
        <w:rPr/>
        <w:t xml:space="preserve">A.</w:t>
      </w:r>
      <w:r>
        <w:rPr/>
        <w:tab/>
        <w:t xml:space="preserve"/>
      </w:r>
      <w:r>
        <w:rPr/>
        <w:t xml:space="preserve">On receipt of a report of the Housing Inspector that a premises is in violation of this chapter, the Board shall: </w:t>
      </w:r>
    </w:p>
    <w:p>
      <w:pPr>
        <w:pStyle w:val="List2"/>
        <w:pBdr/>
        <w:spacing/>
        <w:rPr/>
      </w:pPr>
      <w:r>
        <w:rPr/>
        <w:t xml:space="preserve">1.</w:t>
      </w:r>
      <w:r>
        <w:rPr/>
        <w:tab/>
        <w:t xml:space="preserve"/>
      </w:r>
      <w:r>
        <w:rPr/>
        <w:t xml:space="preserve">Give written notice to the owner and all other persons having an interest in the premises, as shown by the land records of Summit County, to appear before the Board on the date specified in the notice; </w:t>
      </w:r>
    </w:p>
    <w:p>
      <w:pPr>
        <w:pStyle w:val="List2"/>
        <w:pBdr/>
        <w:spacing/>
        <w:rPr/>
      </w:pPr>
      <w:r>
        <w:rPr/>
        <w:t xml:space="preserve">2.</w:t>
      </w:r>
      <w:r>
        <w:rPr/>
        <w:tab/>
        <w:t xml:space="preserve"/>
      </w:r>
      <w:r>
        <w:rPr/>
        <w:t xml:space="preserve">Hold a hearing and hear testimony of the Housing Inspector, citizens or the owner of the dwelling or premises and all other persons having an interest in the premises, as shown by the land records of Summit County, offered relative to the fitness of the building for human habitation or use; </w:t>
      </w:r>
    </w:p>
    <w:p>
      <w:pPr>
        <w:pStyle w:val="List2"/>
        <w:pBdr/>
        <w:spacing/>
        <w:rPr/>
      </w:pPr>
      <w:r>
        <w:rPr/>
        <w:t xml:space="preserve">3.</w:t>
      </w:r>
      <w:r>
        <w:rPr/>
        <w:tab/>
        <w:t xml:space="preserve"/>
      </w:r>
      <w:r>
        <w:rPr/>
        <w:t xml:space="preserve">Make written findings of fact from the testimony offered as to whether the dwelling or premises is unfit for human habitation or use; and </w:t>
      </w:r>
    </w:p>
    <w:p>
      <w:pPr>
        <w:pStyle w:val="List2"/>
        <w:pBdr/>
        <w:spacing/>
        <w:rPr/>
      </w:pPr>
      <w:r>
        <w:rPr/>
        <w:t xml:space="preserve">4.</w:t>
      </w:r>
      <w:r>
        <w:rPr/>
        <w:tab/>
        <w:t xml:space="preserve"/>
      </w:r>
      <w:r>
        <w:rPr/>
        <w:t xml:space="preserve">Issue an order based upon the findings of fact made, commanding, if proper, that the dwelling or premises must be demolished. This order shall be served on all persons specified in subsection 1 of this section. The order shall state that the dwelling or premises will be demolished by the city, and that there is a right to appeal the Board's order pursuant to O.R.C. Chapter 2506. </w:t>
      </w:r>
    </w:p>
    <w:p>
      <w:pPr>
        <w:pStyle w:val="List1"/>
        <w:pBdr/>
        <w:spacing/>
        <w:rPr/>
      </w:pPr>
      <w:r>
        <w:rPr/>
        <w:t xml:space="preserve">B.</w:t>
      </w:r>
      <w:r>
        <w:rPr/>
        <w:tab/>
        <w:t xml:space="preserve"/>
      </w:r>
      <w:r>
        <w:rPr/>
        <w:t xml:space="preserve">The Board may grant a thirty to ninety day extension to a property owner or interested party for compliance with the provisions of this chapter only upon a showing of satisfactory assurance to the Board that the property owner or interested party has the financial and practical capability of initiating and completing the required repairs to the premises within the time extended. After one thirty to ninety day extension has been granted, additional thirty to ninety day extensions for repairs may be granted only upon a showing to the Board of substantial progress toward completion of repairs at the owner's premises. In the event of noncompliance, to any extent, or partial repairs to the premises by the owner, the Board may at any time declare the premises to be a public nuisance and declare that the premises be razed. </w:t>
      </w:r>
    </w:p>
    <w:p>
      <w:pPr>
        <w:pStyle w:val="List1"/>
        <w:pBdr/>
        <w:spacing/>
        <w:rPr/>
      </w:pPr>
      <w:r>
        <w:rPr/>
        <w:t xml:space="preserve">C.</w:t>
      </w:r>
      <w:r>
        <w:rPr/>
        <w:tab/>
        <w:t xml:space="preserve"/>
      </w:r>
      <w:r>
        <w:rPr/>
        <w:t xml:space="preserve">The Board may order the dwelling or premises to be repaired, vacated, or demolished. The Board shall advise the Director of Planning and Urban Development as to the particulars involved, so the appropriate action may be instituted to cause the dwelling or premises to be demolished. Should the owner fail, neglect, or refuse to pay the costs so incurred, the costs shall be paid out of the City treasury on the certificate of the Director of Planning and Urban Development, and the Director of Finance shall then certify the amount so paid to the Fiscal Officer of Summit County. The Fiscal Officer shall enter the amount on the tax duplicate of the County as a special assessment against the real estate on which the dwelling or premises requiring the work is or was situated, and the assessment shall be collected as other taxes and assessments and, when collected, shall be refunded to the city. </w:t>
      </w:r>
    </w:p>
    <w:p>
      <w:pPr>
        <w:pStyle w:val="List1"/>
        <w:pBdr/>
        <w:spacing/>
        <w:rPr/>
      </w:pPr>
      <w:r>
        <w:rPr/>
        <w:t xml:space="preserve">D.</w:t>
      </w:r>
      <w:r>
        <w:rPr/>
        <w:tab/>
        <w:t xml:space="preserve"/>
      </w:r>
      <w:r>
        <w:rPr/>
        <w:t xml:space="preserve">When a dwelling or premises can reasonably be repaired so that it will no longer exist in violation of any of the provisions of this chapter, it shall be ordered repaired. </w:t>
      </w:r>
    </w:p>
    <w:p>
      <w:pPr>
        <w:pStyle w:val="List1"/>
        <w:pBdr/>
        <w:spacing/>
        <w:rPr/>
      </w:pPr>
      <w:r>
        <w:rPr/>
        <w:t xml:space="preserve">E.</w:t>
      </w:r>
      <w:r>
        <w:rPr/>
        <w:tab/>
        <w:t xml:space="preserve"/>
      </w:r>
      <w:r>
        <w:rPr/>
        <w:t xml:space="preserve">When a dwelling or premises is in such condition as to make it dangerous to the health, morals, safety, or general welfare of its occupants, it shall be ordered vacated. </w:t>
      </w:r>
    </w:p>
    <w:p>
      <w:pPr>
        <w:pStyle w:val="List1"/>
        <w:pBdr/>
        <w:spacing/>
        <w:rPr/>
      </w:pPr>
      <w:r>
        <w:rPr/>
        <w:t xml:space="preserve">F.</w:t>
      </w:r>
      <w:r>
        <w:rPr/>
        <w:tab/>
        <w:t xml:space="preserve"/>
      </w:r>
      <w:r>
        <w:rPr/>
        <w:t xml:space="preserve">When the board determines the dwelling or premises is a public nuisance, and in all cases where it cannot be repaired, or where the owner refuses or fails to repair the dwelling so that it will no longer be in violation of any of the terms of this chapter, it shall be demolished. In all cases where it is a fire hazard, existing or erected in violation of any of the terms of this chapter or any ordinances of the City, it shall be demolished. </w:t>
      </w:r>
    </w:p>
    <w:p>
      <w:pPr>
        <w:pStyle w:val="List1"/>
        <w:pBdr/>
        <w:spacing/>
        <w:rPr/>
      </w:pPr>
      <w:r>
        <w:rPr/>
        <w:t xml:space="preserve">G.</w:t>
      </w:r>
      <w:r>
        <w:rPr/>
        <w:tab/>
        <w:t xml:space="preserve"/>
      </w:r>
      <w:r>
        <w:rPr/>
        <w:t xml:space="preserve">Bond to Promote Rehabilitation; Reconsideration; No Right of Appeal Created. </w:t>
      </w:r>
    </w:p>
    <w:p>
      <w:pPr>
        <w:pStyle w:val="List2"/>
        <w:pBdr/>
        <w:spacing/>
        <w:rPr/>
      </w:pPr>
      <w:r>
        <w:rPr/>
        <w:t xml:space="preserve">1.</w:t>
      </w:r>
      <w:r>
        <w:rPr/>
        <w:tab/>
        <w:t xml:space="preserve"/>
      </w:r>
      <w:r>
        <w:rPr/>
        <w:t xml:space="preserve">Bond to Promote Rehabilitation. After the deadline for appeal of any demolition order issued by the Board has passed, at the discretion of the Director and upon the request of the Owner or person affected by the decision of the Board, the order of the Board that a building must be demolished may be stayed. Said stay shall only go into effect upon the posting of a bond or other method of surety in an amount equal to the anticipated expense of demolition as determined by the Director with the assistance of the Building Inspection Superintendent and/or estimated by a reputable and qualified demolition contractor. </w:t>
      </w:r>
    </w:p>
    <w:p>
      <w:pPr>
        <w:pStyle w:val="List3"/>
        <w:pBdr/>
        <w:spacing/>
        <w:rPr/>
      </w:pPr>
      <w:r>
        <w:rPr/>
        <w:t xml:space="preserve">a.</w:t>
      </w:r>
      <w:r>
        <w:rPr/>
        <w:tab/>
        <w:t xml:space="preserve"/>
      </w:r>
      <w:r>
        <w:rPr/>
        <w:t xml:space="preserve">The bond posted under this subsection shall include as a condition that if repairs are not performed to the satisfaction of the Director, the stay shall be rescinded, and the bond shall be forfeited to the City to be applied toward the expense of executing demolition. </w:t>
      </w:r>
    </w:p>
    <w:p>
      <w:pPr>
        <w:pStyle w:val="List3"/>
        <w:pBdr/>
        <w:spacing/>
        <w:rPr/>
      </w:pPr>
      <w:r>
        <w:rPr/>
        <w:t xml:space="preserve">b.</w:t>
      </w:r>
      <w:r>
        <w:rPr/>
        <w:tab/>
        <w:t xml:space="preserve"/>
      </w:r>
      <w:r>
        <w:rPr/>
        <w:t xml:space="preserve">If the repairs are not performed to the satisfaction of the Director, the stay shall be rescinded, the bond forfeited to the City to be applied toward the expense of demolition, and any excess amount returned to the party that posted the bond. </w:t>
      </w:r>
    </w:p>
    <w:p>
      <w:pPr>
        <w:pStyle w:val="List3"/>
        <w:pBdr/>
        <w:spacing/>
        <w:rPr/>
      </w:pPr>
      <w:r>
        <w:rPr/>
        <w:t xml:space="preserve">c.</w:t>
      </w:r>
      <w:r>
        <w:rPr/>
        <w:tab/>
        <w:t xml:space="preserve"/>
      </w:r>
      <w:r>
        <w:rPr/>
        <w:t xml:space="preserve">If the repairs are performed to the satisfaction of the Director, the bond, minus any expenses incurred by the City during the period of the stay, shall be returned to the party that posted the bond. </w:t>
      </w:r>
    </w:p>
    <w:p>
      <w:pPr>
        <w:pStyle w:val="List2"/>
        <w:pBdr/>
        <w:spacing/>
        <w:rPr/>
      </w:pPr>
      <w:r>
        <w:rPr/>
        <w:t xml:space="preserve">2.</w:t>
      </w:r>
      <w:r>
        <w:rPr/>
        <w:tab/>
        <w:t xml:space="preserve"/>
      </w:r>
      <w:r>
        <w:rPr/>
        <w:t xml:space="preserve">Reconsideration. Upon the Director determining that the repairs to the building have resulted in a change of circumstance sufficient for the Board to reconsider its prior decision that the building must be demolished, the matter will be presented to the Board for reconsideration, such that the Board may vacate its demolition order. </w:t>
      </w:r>
    </w:p>
    <w:p>
      <w:pPr>
        <w:pStyle w:val="List2"/>
        <w:pBdr/>
        <w:spacing/>
        <w:rPr/>
      </w:pPr>
      <w:r>
        <w:rPr/>
        <w:t xml:space="preserve">3.</w:t>
      </w:r>
      <w:r>
        <w:rPr/>
        <w:tab/>
        <w:t xml:space="preserve"/>
      </w:r>
      <w:r>
        <w:rPr/>
        <w:t xml:space="preserve">No Right of Appeal Created. This subsection is intended to promote compromise by the City and an affected person when compromise serves the interests of both. This subsection is not intended to create a right of any stay and/or appeal where such right does not otherwise exist, such as for failure to timely appeal the demolition order of the Board or an attempt to collaterally attack a timely but unsuccessful appeal of a decision of the Board. </w:t>
      </w:r>
    </w:p>
    <w:p>
      <w:pPr>
        <w:pStyle w:val="HistoryNote"/>
        <w:pBdr/>
        <w:spacing/>
        <w:rPr/>
      </w:pPr>
      <w:r>
        <w:rPr>
          <w:rStyle w:val="HistoryNote"/>
        </w:rPr>
        <w:t xml:space="preserve">(Ord. 708-1997; Ord. 769-1996)</w:t>
      </w:r>
    </w:p>
    <w:p>
      <w:pPr>
        <w:pStyle w:val="HistoryNote"/>
        <w:pBdr/>
        <w:spacing/>
        <w:rPr/>
      </w:pPr>
      <w:r>
        <w:rPr>
          <w:rStyle w:val="HistoryNote"/>
        </w:rPr>
        <w:t xml:space="preserve">(Ord. 291-2013; Ord. 429-2025)</w:t>
      </w:r>
    </w:p>
    <w:p>
      <w:pPr>
        <w:pStyle w:val="Hang1"/>
        <w:pBdr/>
        <w:spacing/>
        <w:rPr/>
      </w:pPr>
      <w:r>
        <w:rPr/>
        <w:t xml:space="preserve">Cross reference(s)—</w:t>
      </w:r>
      <w:r>
        <w:rPr>
          <w:rStyle w:val="Hang1"/>
        </w:rPr>
        <w:t xml:space="preserve">Penalty, see § </w:t>
      </w:r>
      <w:r>
        <w:rPr/>
        <w:t xml:space="preserve">150.99</w:t>
      </w:r>
      <w:r>
        <w:rPr>
          <w:rStyle w:val="Hang1"/>
        </w:rPr>
        <w:t xml:space="preserve">. </w:t>
      </w:r>
    </w:p>
    <w:p>
      <w:pPr>
        <w:pBdr/>
        <w:spacing w:before="0" w:after="0"/>
        <w:rPr/>
        <w:sectPr>
          <w:headerReference w:type="default" r:id="rId17"/>
          <w:footerReference w:type="default" r:id="rId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150.06</w:t>
      </w:r>
      <w:r>
        <w:rPr/>
        <w:t xml:space="preserve"> </w:t>
      </w:r>
      <w:r>
        <w:rPr/>
        <w:t xml:space="preserve">Director of Neighborhood Assistance.</w:t>
      </w:r>
    </w:p>
    <w:p>
      <w:pPr>
        <w:pStyle w:val="List1"/>
        <w:pBdr/>
        <w:spacing/>
        <w:rPr/>
      </w:pPr>
      <w:r>
        <w:rPr/>
        <w:t xml:space="preserve">A.</w:t>
      </w:r>
      <w:r>
        <w:rPr/>
        <w:tab/>
        <w:t xml:space="preserve"/>
      </w:r>
      <w:r>
        <w:rPr/>
        <w:t xml:space="preserve">Rules and Regulations. The Director of Neighborhood Assistance is authorized to make and adopt rules and regulations and fix the reasonable standards as may be necessary for the proper enforcement of the provisions of this chapter and to carry out the intent thereof. </w:t>
      </w:r>
    </w:p>
    <w:p>
      <w:pPr>
        <w:pStyle w:val="List1"/>
        <w:pBdr/>
        <w:spacing/>
        <w:rPr/>
      </w:pPr>
      <w:r>
        <w:rPr/>
        <w:t xml:space="preserve">B.</w:t>
      </w:r>
      <w:r>
        <w:rPr/>
        <w:tab/>
        <w:t xml:space="preserve"/>
      </w:r>
      <w:r>
        <w:rPr/>
        <w:t xml:space="preserve">Emergency Situation. Whenever the Director of Neighborhood Assistance finds that an emergency exists which requires immediate action to protect the public health, safety or welfare, including but not limited to open and vacant dwellings, gas leaks, and water leaks, he may, without notice or hearing, issue an order stating the existence of the emergency and requiring that action be taken as he deems necessary to meet the emergency. The order shall be effective immediately. Any person to whom the order is directed shall comply therewith immediately, but, on petition to the Director of Neighborhood Assistance, shall be afforded a hearing as soon as possible. After the hearing, depending on his finding as to whether or not the emergency condition has been abated, the Director of Neighborhood Assistance shall continue the order in effect or modify or revoke it. </w:t>
      </w:r>
    </w:p>
    <w:p>
      <w:pPr>
        <w:pStyle w:val="List1"/>
        <w:pBdr/>
        <w:spacing/>
        <w:rPr/>
      </w:pPr>
      <w:r>
        <w:rPr/>
        <w:t xml:space="preserve">C.</w:t>
      </w:r>
      <w:r>
        <w:rPr/>
        <w:tab/>
        <w:t xml:space="preserve"/>
      </w:r>
      <w:r>
        <w:rPr/>
        <w:t xml:space="preserve">Failure to Obey Order. In the event that the person to whom the order is directed neglects or refuses to obey the order, the Director of Neighborhood Assistance or a properly authorized employee of the Department of Neighborhood Assistance is hereby authorized to abate the emergency situation at the expense of the person in noncompliance with the order, and to collect any costs so incurred as authorized by law. </w:t>
      </w:r>
    </w:p>
    <w:p>
      <w:pPr>
        <w:pStyle w:val="HistoryNote"/>
        <w:pBdr/>
        <w:spacing/>
        <w:rPr/>
      </w:pPr>
      <w:r>
        <w:rPr>
          <w:rStyle w:val="HistoryNote"/>
        </w:rPr>
        <w:t xml:space="preserve">(Ord. 708-1997; Ord. 769-1996; Ord. 113-1972)</w:t>
      </w:r>
    </w:p>
    <w:p>
      <w:pPr>
        <w:pStyle w:val="HistoryNote"/>
        <w:pBdr/>
        <w:spacing/>
        <w:rPr/>
      </w:pPr>
      <w:r>
        <w:rPr>
          <w:rStyle w:val="HistoryNote"/>
        </w:rPr>
        <w:t xml:space="preserve">(Ord. 14-2010; Ord. 210-2012; Ord. 291-2013)</w:t>
      </w:r>
    </w:p>
    <w:p>
      <w:pPr>
        <w:pBdr/>
        <w:spacing w:before="0" w:after="0"/>
        <w:rPr/>
        <w:sectPr>
          <w:headerReference w:type="default" r:id="rId19"/>
          <w:footerReference w:type="default" r:id="rId2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150.07</w:t>
      </w:r>
      <w:r>
        <w:rPr/>
        <w:t xml:space="preserve"> </w:t>
      </w:r>
      <w:r>
        <w:rPr/>
        <w:t xml:space="preserve">Dwellings—Requirements.</w:t>
      </w:r>
    </w:p>
    <w:p>
      <w:pPr>
        <w:pStyle w:val="Paragraph1"/>
        <w:pBdr/>
        <w:spacing/>
        <w:rPr/>
      </w:pPr>
      <w:r>
        <w:rPr>
          <w:rStyle w:val="Paragraph1"/>
        </w:rPr>
        <w:t xml:space="preserve">No person shall own, operate, occupy, or let to another for occupancy, any dwelling for the purpose of living, sleeping, cooking, or eating therein, which does not comply with all of the applicable requirements of this chapter. </w:t>
      </w:r>
    </w:p>
    <w:p>
      <w:pPr>
        <w:pStyle w:val="HistoryNote"/>
        <w:pBdr/>
        <w:spacing/>
        <w:rPr/>
      </w:pPr>
      <w:r>
        <w:rPr>
          <w:rStyle w:val="HistoryNote"/>
        </w:rPr>
        <w:t xml:space="preserve">(Ord. 708-1997; Ord. 769-1996; Ord. 113-1972)</w:t>
      </w:r>
    </w:p>
    <w:p>
      <w:pPr>
        <w:pStyle w:val="Hang1"/>
        <w:pBdr/>
        <w:spacing/>
        <w:rPr/>
      </w:pPr>
      <w:r>
        <w:rPr/>
        <w:t xml:space="preserve">Cross reference(s)—</w:t>
      </w:r>
      <w:r>
        <w:rPr>
          <w:rStyle w:val="Hang1"/>
        </w:rPr>
        <w:t xml:space="preserve">Penalty, see § </w:t>
      </w:r>
      <w:r>
        <w:rPr/>
        <w:t xml:space="preserve">150.99</w:t>
      </w:r>
      <w:r>
        <w:rPr>
          <w:rStyle w:val="Hang1"/>
        </w:rPr>
        <w:t xml:space="preserve">. </w:t>
      </w:r>
    </w:p>
    <w:p>
      <w:pPr>
        <w:pBdr/>
        <w:spacing w:before="0" w:after="0"/>
        <w:rPr/>
        <w:sectPr>
          <w:headerReference w:type="default" r:id="rId21"/>
          <w:footerReference w:type="default" r:id="rId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150.08</w:t>
      </w:r>
      <w:r>
        <w:rPr/>
        <w:t xml:space="preserve"> </w:t>
      </w:r>
      <w:r>
        <w:rPr/>
        <w:t xml:space="preserve">Equipment and facilities.</w:t>
      </w:r>
    </w:p>
    <w:p>
      <w:pPr>
        <w:pStyle w:val="List1"/>
        <w:pBdr/>
        <w:spacing/>
        <w:rPr/>
      </w:pPr>
      <w:r>
        <w:rPr/>
        <w:t xml:space="preserve">A.</w:t>
      </w:r>
      <w:r>
        <w:rPr/>
        <w:tab/>
        <w:t xml:space="preserve"/>
      </w:r>
      <w:r>
        <w:rPr/>
        <w:t xml:space="preserve">Kitchen Sink. Each dwelling unit shall contain a kitchen sink in good working condition. </w:t>
      </w:r>
    </w:p>
    <w:p>
      <w:pPr>
        <w:pStyle w:val="List1"/>
        <w:pBdr/>
        <w:spacing/>
        <w:rPr/>
      </w:pPr>
      <w:r>
        <w:rPr/>
        <w:t xml:space="preserve">B.</w:t>
      </w:r>
      <w:r>
        <w:rPr/>
        <w:tab/>
        <w:t xml:space="preserve"/>
      </w:r>
      <w:r>
        <w:rPr/>
        <w:t xml:space="preserve">Water Closet—Lavatory. Each dwelling unit shall contain a room affording privacy and equipped with a flush water closet and a lavatory basin in good working condition. </w:t>
      </w:r>
    </w:p>
    <w:p>
      <w:pPr>
        <w:pStyle w:val="List1"/>
        <w:pBdr/>
        <w:spacing/>
        <w:rPr/>
      </w:pPr>
      <w:r>
        <w:rPr/>
        <w:t xml:space="preserve">C.</w:t>
      </w:r>
      <w:r>
        <w:rPr/>
        <w:tab/>
        <w:t xml:space="preserve"/>
      </w:r>
      <w:r>
        <w:rPr/>
        <w:t xml:space="preserve">Bathrooms. Each dwelling unit shall contain a bathroom affording privacy and equipped with a bathtub or shower in good working condition. The rooms mentioned in this subsection and subsection B of this section may be the same room. </w:t>
      </w:r>
    </w:p>
    <w:p>
      <w:pPr>
        <w:pStyle w:val="List1"/>
        <w:pBdr/>
        <w:spacing/>
        <w:rPr/>
      </w:pPr>
      <w:r>
        <w:rPr/>
        <w:t xml:space="preserve">D.</w:t>
      </w:r>
      <w:r>
        <w:rPr/>
        <w:tab/>
        <w:t xml:space="preserve"/>
      </w:r>
      <w:r>
        <w:rPr/>
        <w:t xml:space="preserve">Water Lines. Each kitchen sink, lavatory basin and bathtub or shower required under subsection A, B, and C of this section shall be connected with both hot and cold water lines. </w:t>
      </w:r>
    </w:p>
    <w:p>
      <w:pPr>
        <w:pStyle w:val="List1"/>
        <w:pBdr/>
        <w:spacing/>
        <w:rPr/>
      </w:pPr>
      <w:r>
        <w:rPr/>
        <w:t xml:space="preserve">E.</w:t>
      </w:r>
      <w:r>
        <w:rPr/>
        <w:tab/>
        <w:t xml:space="preserve"/>
      </w:r>
      <w:r>
        <w:rPr/>
        <w:t xml:space="preserve">Rubbish Storage. Each dwelling unit shall be supplied with adequate rubbish storage facilities in accordance with standards approved by the Housing Inspector. </w:t>
      </w:r>
    </w:p>
    <w:p>
      <w:pPr>
        <w:pStyle w:val="List1"/>
        <w:pBdr/>
        <w:spacing/>
        <w:rPr/>
      </w:pPr>
      <w:r>
        <w:rPr/>
        <w:t xml:space="preserve">F.</w:t>
      </w:r>
      <w:r>
        <w:rPr/>
        <w:tab/>
        <w:t xml:space="preserve"/>
      </w:r>
      <w:r>
        <w:rPr/>
        <w:t xml:space="preserve">Garbage Disposal. Each dwelling unit shall have adequate garbage disposal facilities in accordance with standards approved by the Housing Inspector. </w:t>
      </w:r>
    </w:p>
    <w:p>
      <w:pPr>
        <w:pStyle w:val="List1"/>
        <w:pBdr/>
        <w:spacing/>
        <w:rPr/>
      </w:pPr>
      <w:r>
        <w:rPr/>
        <w:t xml:space="preserve">G.</w:t>
      </w:r>
      <w:r>
        <w:rPr/>
        <w:tab/>
        <w:t xml:space="preserve"/>
      </w:r>
      <w:r>
        <w:rPr/>
        <w:t xml:space="preserve">Water Heating. Each dwelling unit shall be supplied with water-heating facilities, in safe working condition, and capable of heating water to such a temperature as to supply water to every connected kitchen sink, lavatory basin, bathtub, or shower at a temperature of not less than 110 degrees Fahrenheit. </w:t>
      </w:r>
    </w:p>
    <w:p>
      <w:pPr>
        <w:pStyle w:val="List1"/>
        <w:pBdr/>
        <w:spacing/>
        <w:rPr/>
      </w:pPr>
      <w:r>
        <w:rPr/>
        <w:t xml:space="preserve">H.</w:t>
      </w:r>
      <w:r>
        <w:rPr/>
        <w:tab/>
        <w:t xml:space="preserve"/>
      </w:r>
      <w:r>
        <w:rPr/>
        <w:t xml:space="preserve">Means of Egress. Each dwelling unit shall have safe, unobstructed means of egress leading to safe and open space at ground level. </w:t>
      </w:r>
    </w:p>
    <w:p>
      <w:pPr>
        <w:pStyle w:val="List1"/>
        <w:pBdr/>
        <w:spacing/>
        <w:rPr/>
      </w:pPr>
      <w:r>
        <w:rPr/>
        <w:t xml:space="preserve">I.</w:t>
      </w:r>
      <w:r>
        <w:rPr/>
        <w:tab/>
        <w:t xml:space="preserve"/>
      </w:r>
      <w:r>
        <w:rPr/>
        <w:t xml:space="preserve">Smoke Alarms. Every dwelling shall be equipped with smoke alarms installed outside of each separate sleeping area in the immediate vicinity of each sleeping area and on each story of the dwelling, including basements and cellars but not including crawl spaces and uninhabitable attics. In dwellings or dwelling units with split levels, a smoke alarm shall be installed on each level. The occupant of any dwelling unit shall be responsible for replacing the battery in battery-operated smoke alarms. The property owner shall be responsible for all maintenance of smoke alarms other than battery replacement. No person shall remove or render a smoke alarm inoperative. Smoke alarms that are not self-contained or battery powered must satisfy Sections </w:t>
      </w:r>
      <w:r>
        <w:rPr/>
        <w:t xml:space="preserve">93.52</w:t>
      </w:r>
      <w:r>
        <w:rPr/>
        <w:t xml:space="preserve">(D), (E), and (F) of the Akron Codified Ordinances. </w:t>
      </w:r>
    </w:p>
    <w:p>
      <w:pPr>
        <w:pStyle w:val="List1"/>
        <w:pBdr/>
        <w:spacing/>
        <w:rPr/>
      </w:pPr>
      <w:r>
        <w:rPr/>
        <w:t xml:space="preserve">J.</w:t>
      </w:r>
      <w:r>
        <w:rPr/>
        <w:tab/>
        <w:t xml:space="preserve"/>
      </w:r>
      <w:r>
        <w:rPr/>
        <w:t xml:space="preserve">Fire Extinguishers. Every multiple dwelling shall be provided with fire extinguishers of a minimum classification and shall be maintained in a safe and approved operating condition. </w:t>
      </w:r>
    </w:p>
    <w:p>
      <w:pPr>
        <w:pStyle w:val="List1"/>
        <w:pBdr/>
        <w:spacing/>
        <w:rPr/>
      </w:pPr>
      <w:r>
        <w:rPr/>
        <w:t xml:space="preserve">K.</w:t>
      </w:r>
      <w:r>
        <w:rPr/>
        <w:tab/>
        <w:t xml:space="preserve"/>
      </w:r>
      <w:r>
        <w:rPr/>
        <w:t xml:space="preserve">Fire Stairs/Sprinkler System. Every multiple dwelling having habitable rooms located on floors exceeding two stories in height above grade, not counting basements, shall be provided with not less than two approved independent exits or exterior fire stairs from each floor above the second floor, fully accessible from each dwelling unit on the floor, or as an alternative, the entire dwelling shall be provided with a residential sprinkler system installed in accordance with National Fire Protection Association Standard #13R. </w:t>
      </w:r>
    </w:p>
    <w:p>
      <w:pPr>
        <w:pStyle w:val="Hang1"/>
        <w:pBdr/>
        <w:spacing/>
        <w:rPr/>
      </w:pPr>
      <w:r>
        <w:rPr/>
        <w:t xml:space="preserve">Cross reference(s)—</w:t>
      </w:r>
      <w:r>
        <w:rPr>
          <w:rStyle w:val="Hang1"/>
        </w:rPr>
        <w:t xml:space="preserve">Penalty, see § </w:t>
      </w:r>
      <w:r>
        <w:rPr/>
        <w:t xml:space="preserve">150.99</w:t>
      </w:r>
      <w:r>
        <w:rPr>
          <w:rStyle w:val="Hang1"/>
        </w:rPr>
        <w:t xml:space="preserve">. </w:t>
      </w:r>
    </w:p>
    <w:p>
      <w:pPr>
        <w:pStyle w:val="List1"/>
        <w:pBdr/>
        <w:spacing/>
        <w:rPr/>
      </w:pPr>
      <w:r>
        <w:rPr/>
        <w:t xml:space="preserve">L.</w:t>
      </w:r>
      <w:r>
        <w:rPr/>
        <w:tab/>
        <w:t xml:space="preserve"/>
      </w:r>
      <w:r>
        <w:rPr/>
        <w:t xml:space="preserve">Carbon Monoxide Detectors. Every dwelling unit within which fuel-burning appliances are present, that utilizes fuel-burning appliances for the heating of a dwelling unit or units, or within a dwelling unit that is located in a structure with an attached garage, shall be equipped with carbon monoxide detectors installed outside of each separate sleeping area in the immediate vicinity of each sleeping area and on each story of the dwelling, including basements and cellars but not including crawl spaces and uninhabitable attics. In dwellings or dwelling units with split levels, a carbon monoxide detector shall be installed on each level. The occupant of any dwelling unit shall be responsible for replacing the battery in battery-operated carbon monoxide detectors. The property owner shall be responsible for all maintenance of carbon monoxide detectors other than battery replacement. No person shall remove or render a carbon monoxide detector inoperative. Carbon monoxide detectors that are not self-contained or battery powered must satisfy Sections </w:t>
      </w:r>
      <w:r>
        <w:rPr/>
        <w:t xml:space="preserve">93.51</w:t>
      </w:r>
      <w:r>
        <w:rPr/>
        <w:t xml:space="preserve">(D), (E), and (F) of the Akron Codified Ordinances. </w:t>
      </w:r>
    </w:p>
    <w:p>
      <w:pPr>
        <w:pStyle w:val="HistoryNote"/>
        <w:pBdr/>
        <w:spacing/>
        <w:rPr/>
      </w:pPr>
      <w:r>
        <w:rPr>
          <w:rStyle w:val="HistoryNote"/>
        </w:rPr>
        <w:t xml:space="preserve">(Ord. 113-1972; Ord. 205-1988; Ord. 181-1992; Ord. 282-1992; Ord. 769-1996; Ord. 708-1997; Ord. 291-2013; Ord. 152-2017; Ord. 305-2022)</w:t>
      </w:r>
    </w:p>
    <w:p>
      <w:pPr>
        <w:pBdr/>
        <w:spacing w:before="0" w:after="0"/>
        <w:rPr/>
        <w:sectPr>
          <w:headerReference w:type="default" r:id="rId23"/>
          <w:footerReference w:type="default" r:id="rId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150.09</w:t>
      </w:r>
      <w:r>
        <w:rPr/>
        <w:t xml:space="preserve"> </w:t>
      </w:r>
      <w:r>
        <w:rPr/>
        <w:t xml:space="preserve">Light, ventilation, electricity, and heating.</w:t>
      </w:r>
    </w:p>
    <w:p>
      <w:pPr>
        <w:pStyle w:val="List1"/>
        <w:pBdr/>
        <w:spacing/>
        <w:rPr/>
      </w:pPr>
      <w:r>
        <w:rPr/>
        <w:t xml:space="preserve">A.</w:t>
      </w:r>
      <w:r>
        <w:rPr/>
        <w:tab/>
        <w:t xml:space="preserve"/>
      </w:r>
      <w:r>
        <w:rPr/>
        <w:t xml:space="preserve">Window Areas. Every habitable room shall have at least one window or ventilating skylight facing directly to the outdoors. The minimum total window area, measured between stops, for every habitable room shall be eight percent of the floor area of the room. The minimum operable area to the outdoors shall be four percent of the floor area of the room. </w:t>
      </w:r>
    </w:p>
    <w:p>
      <w:pPr>
        <w:pStyle w:val="List1"/>
        <w:pBdr/>
        <w:spacing/>
        <w:rPr/>
      </w:pPr>
      <w:r>
        <w:rPr/>
        <w:t xml:space="preserve">B.</w:t>
      </w:r>
      <w:r>
        <w:rPr/>
        <w:tab/>
        <w:t xml:space="preserve"/>
      </w:r>
      <w:r>
        <w:rPr/>
        <w:t xml:space="preserve">Ventilation. Every habitable room shall have at least one window or skylight kept in good working condition which can easily be opened. </w:t>
      </w:r>
    </w:p>
    <w:p>
      <w:pPr>
        <w:pStyle w:val="List1"/>
        <w:pBdr/>
        <w:spacing/>
        <w:rPr/>
      </w:pPr>
      <w:r>
        <w:rPr/>
        <w:t xml:space="preserve">C.</w:t>
      </w:r>
      <w:r>
        <w:rPr/>
        <w:tab/>
        <w:t xml:space="preserve"/>
      </w:r>
      <w:r>
        <w:rPr/>
        <w:t xml:space="preserve">Bathroom Ventilation. Every bathroom and water closet compartment shall be equipped with a window which can easily be opened or a ventilation system kept in good working condition. </w:t>
      </w:r>
    </w:p>
    <w:p>
      <w:pPr>
        <w:pStyle w:val="List1"/>
        <w:pBdr/>
        <w:spacing/>
        <w:rPr/>
      </w:pPr>
      <w:r>
        <w:rPr/>
        <w:t xml:space="preserve">D.</w:t>
      </w:r>
      <w:r>
        <w:rPr/>
        <w:tab/>
        <w:t xml:space="preserve"/>
      </w:r>
      <w:r>
        <w:rPr/>
        <w:t xml:space="preserve">Electric Requirements. Multiple converter plugs permitting two or more appliances to be plugged into the same outlet shall not be used. All wiring systems, outlets and fixtures shall be maintained in good working condition. </w:t>
      </w:r>
    </w:p>
    <w:p>
      <w:pPr>
        <w:pStyle w:val="List1"/>
        <w:pBdr/>
        <w:spacing/>
        <w:rPr/>
      </w:pPr>
      <w:r>
        <w:rPr/>
        <w:t xml:space="preserve">E.</w:t>
      </w:r>
      <w:r>
        <w:rPr/>
        <w:tab/>
        <w:t xml:space="preserve"/>
      </w:r>
      <w:r>
        <w:rPr/>
        <w:t xml:space="preserve">Heating Facilities. </w:t>
      </w:r>
    </w:p>
    <w:p>
      <w:pPr>
        <w:pStyle w:val="List2"/>
        <w:pBdr/>
        <w:spacing/>
        <w:rPr/>
      </w:pPr>
      <w:r>
        <w:rPr/>
        <w:t xml:space="preserve">1.</w:t>
      </w:r>
      <w:r>
        <w:rPr/>
        <w:tab/>
        <w:t xml:space="preserve"/>
      </w:r>
      <w:r>
        <w:rPr/>
        <w:t xml:space="preserve">Every dwelling unit shall be provided with heating facilities capable of maintaining an average temperature of sixty-eight degrees Fahrenheit in all habitable rooms, kitchens, bathrooms, and water closet compartments when the outdoor temperature is below sixty degrees Fahrenheit. </w:t>
      </w:r>
    </w:p>
    <w:p>
      <w:pPr>
        <w:pStyle w:val="List2"/>
        <w:pBdr/>
        <w:spacing/>
        <w:rPr/>
      </w:pPr>
      <w:r>
        <w:rPr/>
        <w:t xml:space="preserve">2.</w:t>
      </w:r>
      <w:r>
        <w:rPr/>
        <w:tab/>
        <w:t xml:space="preserve"/>
      </w:r>
      <w:r>
        <w:rPr/>
        <w:t xml:space="preserve">The owner or operator in charge of a dwelling, who rents or leases any dwelling unit therein under an agreement, express or implied, to supply or furnish heat to the occupants thereof, shall supply heat adequate to maintain an inside temperature of not less than sixty-eight degrees Fahrenheit for each hour of the entire twenty-four-hour period of each day in all habitable rooms, bathrooms, water closet compartments, and kitchens, whenever the outside temperature falls below sixty degrees Fahrenheit. The inside temperature shall be measured at a point three feet above the floor and two feet from exterior walls in all habitable rooms </w:t>
      </w:r>
    </w:p>
    <w:p>
      <w:pPr>
        <w:pStyle w:val="List3"/>
        <w:pBdr/>
        <w:spacing/>
        <w:rPr/>
      </w:pPr>
      <w:r>
        <w:rPr/>
        <w:t xml:space="preserve">a.</w:t>
      </w:r>
      <w:r>
        <w:rPr/>
        <w:tab/>
        <w:t xml:space="preserve"/>
      </w:r>
      <w:r>
        <w:rPr/>
        <w:t xml:space="preserve">The owner of a hotel or apartment building shall furnish heat sufficient to maintain the following minimum temperatures: between the hours of 6:00 a.m. and 11:00 p.m., sixty-eight degrees Fahrenheit; between the hours of 11:00 p.m. and 6:00 a.m., sixty-five degrees Fahrenheit. </w:t>
      </w:r>
    </w:p>
    <w:p>
      <w:pPr>
        <w:pStyle w:val="List3"/>
        <w:pBdr/>
        <w:spacing/>
        <w:rPr/>
      </w:pPr>
      <w:r>
        <w:rPr/>
        <w:t xml:space="preserve">b.</w:t>
      </w:r>
      <w:r>
        <w:rPr/>
        <w:tab/>
        <w:t xml:space="preserve"/>
      </w:r>
      <w:r>
        <w:rPr/>
        <w:t xml:space="preserve">The requirements of this section do not apply to any lobby, corridor, stairway, or other similar area, nor to any room or suite of rooms not occupied by guests or tenants for pay, nor to any room or suite of rooms provided with a separate heating plant under the care and control of the tenant or occupant thereof. </w:t>
      </w:r>
    </w:p>
    <w:p>
      <w:pPr>
        <w:pStyle w:val="List1"/>
        <w:pBdr/>
        <w:spacing/>
        <w:rPr/>
      </w:pPr>
      <w:r>
        <w:rPr/>
        <w:t xml:space="preserve">F.</w:t>
      </w:r>
      <w:r>
        <w:rPr/>
        <w:tab/>
        <w:t xml:space="preserve"/>
      </w:r>
      <w:r>
        <w:rPr/>
        <w:t xml:space="preserve">Lighting of Halls and Stairways. All common halls and stairways in all multiple dwellings units shall be adequately lighted at all times. </w:t>
      </w:r>
    </w:p>
    <w:p>
      <w:pPr>
        <w:pStyle w:val="List1"/>
        <w:pBdr/>
        <w:spacing/>
        <w:rPr/>
      </w:pPr>
      <w:r>
        <w:rPr/>
        <w:t xml:space="preserve">G.</w:t>
      </w:r>
      <w:r>
        <w:rPr/>
        <w:tab/>
        <w:t xml:space="preserve"/>
      </w:r>
      <w:r>
        <w:rPr/>
        <w:t xml:space="preserve">Screening. During that portion of each year when protection is necessary against mosquitoes, flies, or other insects, all doorways opening directly from a dwelling unit to outdoor space shall be supplied with screens and self-closing devices, and all windows or other devices with openings to outdoor space, used, intended to be used or designed to be used for ventilation, shall also be supplied with screens. </w:t>
      </w:r>
    </w:p>
    <w:p>
      <w:pPr>
        <w:pStyle w:val="List1"/>
        <w:pBdr/>
        <w:spacing/>
        <w:rPr/>
      </w:pPr>
      <w:r>
        <w:rPr/>
        <w:t xml:space="preserve">H.</w:t>
      </w:r>
      <w:r>
        <w:rPr/>
        <w:tab/>
        <w:t xml:space="preserve"/>
      </w:r>
      <w:r>
        <w:rPr/>
        <w:t xml:space="preserve">Rodent Protection. Every basement or cellar window, used, intended to be used or designed to be used for ventilation, and every other opening which might provide an entry for rodents, shall be supplied with a screen or such other device as will effectively prevent entry by rodents into the building. </w:t>
      </w:r>
    </w:p>
    <w:p>
      <w:pPr>
        <w:pStyle w:val="HistoryNote"/>
        <w:pBdr/>
        <w:spacing/>
        <w:rPr/>
      </w:pPr>
      <w:r>
        <w:rPr>
          <w:rStyle w:val="HistoryNote"/>
        </w:rPr>
        <w:t xml:space="preserve">(Ord. 708-1997; Ord. 769-1996; Ord. 205-1988; Ord. 113-1972)</w:t>
      </w:r>
    </w:p>
    <w:p>
      <w:pPr>
        <w:pStyle w:val="HistoryNote"/>
        <w:pBdr/>
        <w:spacing/>
        <w:rPr/>
      </w:pPr>
      <w:r>
        <w:rPr>
          <w:rStyle w:val="HistoryNote"/>
        </w:rPr>
        <w:t xml:space="preserve">(Ord. 291-2013)</w:t>
      </w:r>
    </w:p>
    <w:p>
      <w:pPr>
        <w:pStyle w:val="Hang1"/>
        <w:pBdr/>
        <w:spacing/>
        <w:rPr/>
      </w:pPr>
      <w:r>
        <w:rPr/>
        <w:t xml:space="preserve">Cross reference(s)—</w:t>
      </w:r>
      <w:r>
        <w:rPr>
          <w:rStyle w:val="Hang1"/>
        </w:rPr>
        <w:t xml:space="preserve">Penalty, see § </w:t>
      </w:r>
      <w:r>
        <w:rPr/>
        <w:t xml:space="preserve">150.99</w:t>
      </w:r>
      <w:r>
        <w:rPr>
          <w:rStyle w:val="Hang1"/>
        </w:rPr>
        <w:t xml:space="preserve">. </w:t>
      </w:r>
    </w:p>
    <w:p>
      <w:pPr>
        <w:pBdr/>
        <w:spacing w:before="0" w:after="0"/>
        <w:rPr/>
        <w:sectPr>
          <w:headerReference w:type="default" r:id="rId25"/>
          <w:footerReference w:type="default" r:id="rId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150.10</w:t>
      </w:r>
      <w:r>
        <w:rPr/>
        <w:t xml:space="preserve"> </w:t>
      </w:r>
      <w:r>
        <w:rPr/>
        <w:t xml:space="preserve">General maintenance.</w:t>
      </w:r>
    </w:p>
    <w:p>
      <w:pPr>
        <w:pStyle w:val="List1"/>
        <w:pBdr/>
        <w:spacing/>
        <w:rPr/>
      </w:pPr>
      <w:r>
        <w:rPr/>
        <w:t xml:space="preserve">A.</w:t>
      </w:r>
      <w:r>
        <w:rPr/>
        <w:tab/>
        <w:t xml:space="preserve"/>
      </w:r>
      <w:r>
        <w:rPr/>
        <w:t xml:space="preserve">Foundation, Floor, Wall, Ceiling, Roof, Chimney, Window, Door, and Premises. </w:t>
      </w:r>
    </w:p>
    <w:p>
      <w:pPr>
        <w:pStyle w:val="List2"/>
        <w:pBdr/>
        <w:spacing/>
        <w:rPr/>
      </w:pPr>
      <w:r>
        <w:rPr/>
        <w:t xml:space="preserve">1.</w:t>
      </w:r>
      <w:r>
        <w:rPr/>
        <w:tab/>
        <w:t xml:space="preserve"/>
      </w:r>
      <w:r>
        <w:rPr/>
        <w:t xml:space="preserve">Every foundation, floor, wall, ceiling, roof, and eave shall be reasonably weathertight, watertight, and rodent-proof and shall be kept in sound working condition and good repair. </w:t>
      </w:r>
    </w:p>
    <w:p>
      <w:pPr>
        <w:pStyle w:val="List2"/>
        <w:pBdr/>
        <w:spacing/>
        <w:rPr/>
      </w:pPr>
      <w:r>
        <w:rPr/>
        <w:t xml:space="preserve">2.</w:t>
      </w:r>
      <w:r>
        <w:rPr/>
        <w:tab/>
        <w:t xml:space="preserve"/>
      </w:r>
      <w:r>
        <w:rPr/>
        <w:t xml:space="preserve">All downspouts and gutters shall be properly installed in an approved manner and kept in sound working condition and good repair. </w:t>
      </w:r>
    </w:p>
    <w:p>
      <w:pPr>
        <w:pStyle w:val="List2"/>
        <w:pBdr/>
        <w:spacing/>
        <w:rPr/>
      </w:pPr>
      <w:r>
        <w:rPr/>
        <w:t xml:space="preserve">3.</w:t>
      </w:r>
      <w:r>
        <w:rPr/>
        <w:tab/>
        <w:t xml:space="preserve"/>
      </w:r>
      <w:r>
        <w:rPr/>
        <w:t xml:space="preserve">Every window, door, and basement hatchway shall be reasonably weathertight, watertight and rodent-proof, shall be capable of affording privacy and security, and shall be kept in sound working condition and good repair. </w:t>
      </w:r>
    </w:p>
    <w:p>
      <w:pPr>
        <w:pStyle w:val="List2"/>
        <w:pBdr/>
        <w:spacing/>
        <w:rPr/>
      </w:pPr>
      <w:r>
        <w:rPr/>
        <w:t xml:space="preserve">4.</w:t>
      </w:r>
      <w:r>
        <w:rPr/>
        <w:tab/>
        <w:t xml:space="preserve"/>
      </w:r>
      <w:r>
        <w:rPr/>
        <w:t xml:space="preserve">All exterior surfaces of buildings on a premises shall be clean and maintained in good repair so as to provide sufficient covering and protection of the structural surface underneath against deterioration, with paint, stucco, aluminum, vinyl siding or other approved exterior grade waterproofing materials, applied in an approved manner, and of a uniform color and appearance to match or complement the other structural surfaces on the premises. Without limiting the generality of this section, an exterior surface of a building shall be deemed to be out of repair if the surface is blistered, cracked, flaked, scaled, or chalked away, or is loose or has fallen. </w:t>
      </w:r>
    </w:p>
    <w:p>
      <w:pPr>
        <w:pStyle w:val="List2"/>
        <w:pBdr/>
        <w:spacing/>
        <w:rPr/>
      </w:pPr>
      <w:r>
        <w:rPr/>
        <w:t xml:space="preserve">5.</w:t>
      </w:r>
      <w:r>
        <w:rPr/>
        <w:tab/>
        <w:t xml:space="preserve"/>
      </w:r>
      <w:r>
        <w:rPr/>
        <w:t xml:space="preserve">Every chimney, antenna and all parts thereof, both exterior and interior, shall be properly installed and maintained in a safe condition and in good repair. </w:t>
      </w:r>
    </w:p>
    <w:p>
      <w:pPr>
        <w:pStyle w:val="List2"/>
        <w:pBdr/>
        <w:spacing/>
        <w:rPr/>
      </w:pPr>
      <w:r>
        <w:rPr/>
        <w:t xml:space="preserve">6.</w:t>
      </w:r>
      <w:r>
        <w:rPr/>
        <w:tab/>
        <w:t xml:space="preserve"/>
      </w:r>
      <w:r>
        <w:rPr/>
        <w:t xml:space="preserve">Every fence, retaining wall, walkway, sidewalk and driveway shall be properly installed, maintained in a safe condition and in good repair. </w:t>
      </w:r>
    </w:p>
    <w:p>
      <w:pPr>
        <w:pStyle w:val="List2"/>
        <w:pBdr/>
        <w:spacing/>
        <w:rPr/>
      </w:pPr>
      <w:r>
        <w:rPr/>
        <w:t xml:space="preserve">7.</w:t>
      </w:r>
      <w:r>
        <w:rPr/>
        <w:tab/>
        <w:t xml:space="preserve"/>
      </w:r>
      <w:r>
        <w:rPr/>
        <w:t xml:space="preserve">The premises shall be free from hazards and conditions which might create a nuisance. </w:t>
      </w:r>
    </w:p>
    <w:p>
      <w:pPr>
        <w:pStyle w:val="List1"/>
        <w:pBdr/>
        <w:spacing/>
        <w:rPr/>
      </w:pPr>
      <w:r>
        <w:rPr/>
        <w:t xml:space="preserve">B.</w:t>
      </w:r>
      <w:r>
        <w:rPr/>
        <w:tab/>
        <w:t xml:space="preserve"/>
      </w:r>
      <w:r>
        <w:rPr/>
        <w:t xml:space="preserve">Stairs and Porches. Every inside and outside stair, every porch, and every appurtenance thereto shall be kept in sound condition and good repair. Handrails shall be required for any stairway containing more than four risers. </w:t>
      </w:r>
    </w:p>
    <w:p>
      <w:pPr>
        <w:pStyle w:val="List1"/>
        <w:pBdr/>
        <w:spacing/>
        <w:rPr/>
      </w:pPr>
      <w:r>
        <w:rPr/>
        <w:t xml:space="preserve">C.</w:t>
      </w:r>
      <w:r>
        <w:rPr/>
        <w:tab/>
        <w:t xml:space="preserve"/>
      </w:r>
      <w:r>
        <w:rPr/>
        <w:t xml:space="preserve">Plumbing Pipes. Every plumbing fixture and water and waste pipe shall be maintained in good sanitary working condition, free from defects, leaks, and obstructions. </w:t>
      </w:r>
    </w:p>
    <w:p>
      <w:pPr>
        <w:pStyle w:val="List1"/>
        <w:pBdr/>
        <w:spacing/>
        <w:rPr/>
      </w:pPr>
      <w:r>
        <w:rPr/>
        <w:t xml:space="preserve">D.</w:t>
      </w:r>
      <w:r>
        <w:rPr/>
        <w:tab/>
        <w:t xml:space="preserve"/>
      </w:r>
      <w:r>
        <w:rPr/>
        <w:t xml:space="preserve">Kitchen and Bathroom Floors. Every kitchen floor surface, water closet compartment floor surface and bathroom floor surface shall be constructed and maintained so as to be reasonably impervious to water and so as to permit the floor to be easily kept in a clean and sanitary condition. </w:t>
      </w:r>
    </w:p>
    <w:p>
      <w:pPr>
        <w:pStyle w:val="List1"/>
        <w:pBdr/>
        <w:spacing/>
        <w:rPr/>
      </w:pPr>
      <w:r>
        <w:rPr/>
        <w:t xml:space="preserve">E.</w:t>
      </w:r>
      <w:r>
        <w:rPr/>
        <w:tab/>
        <w:t xml:space="preserve"/>
      </w:r>
      <w:r>
        <w:rPr/>
        <w:t xml:space="preserve">Functioning of Equipment. Every supplied facility, piece of equipment, or utility required under the provisions of this chapter shall be installed in an approved manner and shall be maintained in satisfactory working condition. </w:t>
      </w:r>
    </w:p>
    <w:p>
      <w:pPr>
        <w:pStyle w:val="HistoryNote"/>
        <w:pBdr/>
        <w:spacing/>
        <w:rPr/>
      </w:pPr>
      <w:r>
        <w:rPr>
          <w:rStyle w:val="HistoryNote"/>
        </w:rPr>
        <w:t xml:space="preserve">(Ord. 708-1997; Ord. 769-1996; Ord. 205-1988; Ord. 730-1986; Ord. 893-1985; Ord. 113-1972)</w:t>
      </w:r>
    </w:p>
    <w:p>
      <w:pPr>
        <w:pStyle w:val="HistoryNote"/>
        <w:pBdr/>
        <w:spacing/>
        <w:rPr/>
      </w:pPr>
      <w:r>
        <w:rPr>
          <w:rStyle w:val="HistoryNote"/>
        </w:rPr>
        <w:t xml:space="preserve">(Ord. 291-2013)</w:t>
      </w:r>
    </w:p>
    <w:p>
      <w:pPr>
        <w:pStyle w:val="Hang1"/>
        <w:pBdr/>
        <w:spacing/>
        <w:rPr/>
      </w:pPr>
      <w:r>
        <w:rPr/>
        <w:t xml:space="preserve">Cross reference(s)—</w:t>
      </w:r>
      <w:r>
        <w:rPr>
          <w:rStyle w:val="Hang1"/>
        </w:rPr>
        <w:t xml:space="preserve">Penalty, see § </w:t>
      </w:r>
      <w:r>
        <w:rPr/>
        <w:t xml:space="preserve">150.99</w:t>
      </w:r>
      <w:r>
        <w:rPr>
          <w:rStyle w:val="Hang1"/>
        </w:rPr>
        <w:t xml:space="preserve">. </w:t>
      </w:r>
    </w:p>
    <w:p>
      <w:pPr>
        <w:pBdr/>
        <w:spacing w:before="0" w:after="0"/>
        <w:rPr/>
        <w:sectPr>
          <w:headerReference w:type="default" r:id="rId27"/>
          <w:footerReference w:type="default" r:id="rId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150.11</w:t>
      </w:r>
      <w:r>
        <w:rPr/>
        <w:t xml:space="preserve"> </w:t>
      </w:r>
      <w:r>
        <w:rPr/>
        <w:t xml:space="preserve">Space, use, and location requirements.</w:t>
      </w:r>
    </w:p>
    <w:p>
      <w:pPr>
        <w:pStyle w:val="List1"/>
        <w:pBdr/>
        <w:spacing/>
        <w:rPr/>
      </w:pPr>
      <w:r>
        <w:rPr/>
        <w:t xml:space="preserve">A.</w:t>
      </w:r>
      <w:r>
        <w:rPr/>
        <w:tab/>
        <w:t xml:space="preserve"/>
      </w:r>
      <w:r>
        <w:rPr/>
        <w:t xml:space="preserve">Floor Space. Every dwelling unit shall contain at least one hundred fifty square feet of floor space for the first occupant thereof and at least one hundred additional square feet of floor space for every additional occupant thereof, the floor space to be calculated on the basis of total habitable room area. </w:t>
      </w:r>
    </w:p>
    <w:p>
      <w:pPr>
        <w:pStyle w:val="List1"/>
        <w:pBdr/>
        <w:spacing/>
        <w:rPr/>
      </w:pPr>
      <w:r>
        <w:rPr/>
        <w:t xml:space="preserve">B.</w:t>
      </w:r>
      <w:r>
        <w:rPr/>
        <w:tab/>
        <w:t xml:space="preserve"/>
      </w:r>
      <w:r>
        <w:rPr/>
        <w:t xml:space="preserve">Sleeping Areas. In every dwelling unit of two or more rooms, every room occupied for sleeping purposes by one occupant shall contain at least seventy square feet of floor space and every room occupied for sleeping purposes by more than one occupant shall contain at least fifty additional square feet of floor space for each additional occupant thereof. </w:t>
      </w:r>
    </w:p>
    <w:p>
      <w:pPr>
        <w:pStyle w:val="List1"/>
        <w:pBdr/>
        <w:spacing/>
        <w:rPr/>
      </w:pPr>
      <w:r>
        <w:rPr/>
        <w:t xml:space="preserve">C.</w:t>
      </w:r>
      <w:r>
        <w:rPr/>
        <w:tab/>
        <w:t xml:space="preserve"/>
      </w:r>
      <w:r>
        <w:rPr/>
        <w:t xml:space="preserve">Bathroom Access. No dwelling or dwelling unit containing two or more sleeping rooms shall have the rooms arranged such that access to a bathroom or water closet compartment, intended for use by occupants of more than one sleeping room, can be had only by going through another sleeping room, nor shall room arrangements be such that access to a sleeping room can be had only by going through another sleeping room, bathroom, or water closet compartment. </w:t>
      </w:r>
    </w:p>
    <w:p>
      <w:pPr>
        <w:pStyle w:val="List1"/>
        <w:pBdr/>
        <w:spacing/>
        <w:rPr/>
      </w:pPr>
      <w:r>
        <w:rPr/>
        <w:t xml:space="preserve">D.</w:t>
      </w:r>
      <w:r>
        <w:rPr/>
        <w:tab/>
        <w:t xml:space="preserve"/>
      </w:r>
      <w:r>
        <w:rPr/>
        <w:t xml:space="preserve">Ceiling Height. At least one-half of the floor area of every habitable room shall have a ceiling height of at least seven feet six inches and the floor area of that part of any room where the ceiling height is less than five feet shall not be considered as part of the floor area in computing the total floor area of the room for the purpose of determining the maximum permissible occupancy thereof. </w:t>
      </w:r>
    </w:p>
    <w:p>
      <w:pPr>
        <w:pStyle w:val="List1"/>
        <w:pBdr/>
        <w:spacing/>
        <w:rPr/>
      </w:pPr>
      <w:r>
        <w:rPr/>
        <w:t xml:space="preserve">E.</w:t>
      </w:r>
      <w:r>
        <w:rPr/>
        <w:tab/>
        <w:t xml:space="preserve"/>
      </w:r>
      <w:r>
        <w:rPr/>
        <w:t xml:space="preserve">Basements. Basement space, when occupied for living, shall meet all requirements of a dwelling unit. </w:t>
      </w:r>
    </w:p>
    <w:p>
      <w:pPr>
        <w:pStyle w:val="Hang1"/>
        <w:pBdr/>
        <w:spacing/>
        <w:rPr/>
      </w:pPr>
      <w:r>
        <w:rPr/>
        <w:t xml:space="preserve">Cross reference(s)—</w:t>
      </w:r>
      <w:r>
        <w:rPr>
          <w:rStyle w:val="Hang1"/>
        </w:rPr>
        <w:t xml:space="preserve">Penalty, see § </w:t>
      </w:r>
      <w:r>
        <w:rPr/>
        <w:t xml:space="preserve">150.99</w:t>
      </w:r>
      <w:r>
        <w:rPr>
          <w:rStyle w:val="Hang1"/>
        </w:rPr>
        <w:t xml:space="preserve">. </w:t>
      </w:r>
    </w:p>
    <w:p>
      <w:pPr>
        <w:pStyle w:val="List1"/>
        <w:pBdr/>
        <w:spacing/>
        <w:rPr/>
      </w:pPr>
      <w:r>
        <w:rPr/>
        <w:t xml:space="preserve">F.</w:t>
      </w:r>
      <w:r>
        <w:rPr/>
        <w:tab/>
        <w:t xml:space="preserve"/>
      </w:r>
      <w:r>
        <w:rPr/>
        <w:t xml:space="preserve">This section shall not apply upon the owner establishing that the dwelling was constructed and occupied in accordance with plans which were approved when the dwelling was constructed, or was altered, repaired, added to, or occupancy changed, upon approval of plans by the certified building official, as exhibited by a certificate of occupancy. </w:t>
      </w:r>
    </w:p>
    <w:p>
      <w:pPr>
        <w:pStyle w:val="HistoryNote"/>
        <w:pBdr/>
        <w:spacing/>
        <w:rPr/>
      </w:pPr>
      <w:r>
        <w:rPr>
          <w:rStyle w:val="HistoryNote"/>
        </w:rPr>
        <w:t xml:space="preserve">(Ord. 708-1997; Ord. 769-1996; Ord. 113-1972)</w:t>
      </w:r>
    </w:p>
    <w:p>
      <w:pPr>
        <w:pStyle w:val="HistoryNote"/>
        <w:pBdr/>
        <w:spacing/>
        <w:rPr/>
      </w:pPr>
      <w:r>
        <w:rPr>
          <w:rStyle w:val="HistoryNote"/>
        </w:rPr>
        <w:t xml:space="preserve">(Ord. 291-2013)</w:t>
      </w:r>
    </w:p>
    <w:p>
      <w:pPr>
        <w:pBdr/>
        <w:spacing w:before="0" w:after="0"/>
        <w:rPr/>
        <w:sectPr>
          <w:headerReference w:type="default" r:id="rId29"/>
          <w:footerReference w:type="default" r:id="rId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150.12</w:t>
      </w:r>
      <w:r>
        <w:rPr/>
        <w:t xml:space="preserve"> </w:t>
      </w:r>
      <w:r>
        <w:rPr/>
        <w:t xml:space="preserve">Responsibility of owners and occupants.</w:t>
      </w:r>
    </w:p>
    <w:p>
      <w:pPr>
        <w:pStyle w:val="List1"/>
        <w:pBdr/>
        <w:spacing/>
        <w:rPr/>
      </w:pPr>
      <w:r>
        <w:rPr/>
        <w:t xml:space="preserve">A.</w:t>
      </w:r>
      <w:r>
        <w:rPr/>
        <w:tab/>
        <w:t xml:space="preserve"/>
      </w:r>
      <w:r>
        <w:rPr/>
        <w:t xml:space="preserve">Owner to Maintain Sanitary Conditions. Every owner of a dwelling containing two or more dwelling units shall be responsible for maintaining, in a clean and sanitary condition, the common or public areas of the dwelling and premises thereof. Every owner of a vacant dwelling or premises shall keep the dwelling and premises in a clean and sanitary condition. </w:t>
      </w:r>
    </w:p>
    <w:p>
      <w:pPr>
        <w:pStyle w:val="List1"/>
        <w:pBdr/>
        <w:spacing/>
        <w:rPr/>
      </w:pPr>
      <w:r>
        <w:rPr/>
        <w:t xml:space="preserve">B.</w:t>
      </w:r>
      <w:r>
        <w:rPr/>
        <w:tab/>
        <w:t xml:space="preserve"/>
      </w:r>
      <w:r>
        <w:rPr/>
        <w:t xml:space="preserve">Occupant to Maintain Sanitary Condition. Every occupant of a dwelling or dwelling unit shall keep in a clean and sanitary condition and in good repair that part of the dwelling, dwelling unit, and premises thereof which he occupies and controls. </w:t>
      </w:r>
    </w:p>
    <w:p>
      <w:pPr>
        <w:pStyle w:val="List1"/>
        <w:pBdr/>
        <w:spacing/>
        <w:rPr/>
      </w:pPr>
      <w:r>
        <w:rPr/>
        <w:t xml:space="preserve">C.</w:t>
      </w:r>
      <w:r>
        <w:rPr/>
        <w:tab/>
        <w:t xml:space="preserve"/>
      </w:r>
      <w:r>
        <w:rPr/>
        <w:t xml:space="preserve">Disposal of Garbage and Rubbish. Every occupant of a dwelling or dwelling unit shall dispose of all his garbage, rubbish, and any other organic waste which might provide food for rodents, in a clean and sanitary manner, by placing it in the garbage or rubbish disposal facilities or garbage storage containers required by Section </w:t>
      </w:r>
      <w:r>
        <w:rPr/>
        <w:t xml:space="preserve">150.08</w:t>
      </w:r>
      <w:r>
        <w:rPr/>
        <w:t xml:space="preserve">(F) of this chapter. It shall be the responsibility of the owner to supply the facilities or containers for all dwelling units in a dwelling containing more than two dwelling units and for all dwelling units located on premises where more than two dwelling units share the same premises. In all other cases, it shall be the responsibility of the occupant to furnish the facilities or containers. </w:t>
      </w:r>
    </w:p>
    <w:p>
      <w:pPr>
        <w:pStyle w:val="List1"/>
        <w:pBdr/>
        <w:spacing/>
        <w:rPr/>
      </w:pPr>
      <w:r>
        <w:rPr/>
        <w:t xml:space="preserve">D.</w:t>
      </w:r>
      <w:r>
        <w:rPr/>
        <w:tab/>
        <w:t xml:space="preserve"/>
      </w:r>
      <w:r>
        <w:rPr/>
        <w:t xml:space="preserve">Screens and Storm Windows. Every occupant of a dwelling or dwelling unit shall be responsible for hanging all screens, double or storm doors, and windows, whenever the same are required under the provisions of this chapter or of any rule or regulation adopted pursuant thereto, except where the owner has agreed to supply the service. </w:t>
      </w:r>
    </w:p>
    <w:p>
      <w:pPr>
        <w:pStyle w:val="List1"/>
        <w:pBdr/>
        <w:spacing/>
        <w:rPr/>
      </w:pPr>
      <w:r>
        <w:rPr/>
        <w:t xml:space="preserve">E.</w:t>
      </w:r>
      <w:r>
        <w:rPr/>
        <w:tab/>
        <w:t xml:space="preserve"/>
      </w:r>
      <w:r>
        <w:rPr/>
        <w:t xml:space="preserve">Rodent Extermination. Every occupant of a dwelling containing a single dwelling unit shall be responsible for the extermination of any insects, rodents, or other pests therein or on the premises and every occupant of a dwelling unit in a dwelling containing more than one dwelling unit shall be responsible for the extermination whenever his dwelling unit is the only one infested. Notwithstanding the foregoing provisions of this section, whenever infestation is caused by failure of the owner to maintain a dwelling in a rat-proof or reasonably insect-proof condition, extermination shall be the responsibility of the owner. Whenever infestation exists in two or more of the dwelling units in any dwelling, or in the common or public parts of any dwelling containing two or more dwelling units, extermination thereof shall be the responsibility of the owner. </w:t>
      </w:r>
    </w:p>
    <w:p>
      <w:pPr>
        <w:pStyle w:val="List1"/>
        <w:pBdr/>
        <w:spacing/>
        <w:rPr/>
      </w:pPr>
      <w:r>
        <w:rPr/>
        <w:t xml:space="preserve">F.</w:t>
      </w:r>
      <w:r>
        <w:rPr/>
        <w:tab/>
        <w:t xml:space="preserve"/>
      </w:r>
      <w:r>
        <w:rPr/>
        <w:t xml:space="preserve">Plumbing Fixtures. Every occupant of a dwelling unit shall keep all plumbing fixtures therein in a clean and sanitary condition and shall be responsible for the exercise of reasonable care in the proper use and operation thereof. </w:t>
      </w:r>
    </w:p>
    <w:p>
      <w:pPr>
        <w:pStyle w:val="HistoryNote"/>
        <w:pBdr/>
        <w:spacing/>
        <w:rPr/>
      </w:pPr>
      <w:r>
        <w:rPr>
          <w:rStyle w:val="HistoryNote"/>
        </w:rPr>
        <w:t xml:space="preserve">(Ord. 708-1997; Ord. 769-1996; Ord. 205-1988; Ord. 113-1972)</w:t>
      </w:r>
    </w:p>
    <w:p>
      <w:pPr>
        <w:pStyle w:val="Hang1"/>
        <w:pBdr/>
        <w:spacing/>
        <w:rPr/>
      </w:pPr>
      <w:r>
        <w:rPr/>
        <w:t xml:space="preserve">Cross reference(s)—</w:t>
      </w:r>
      <w:r>
        <w:rPr>
          <w:rStyle w:val="Hang1"/>
        </w:rPr>
        <w:t xml:space="preserve">Penalty, see § </w:t>
      </w:r>
      <w:r>
        <w:rPr/>
        <w:t xml:space="preserve">150.99</w:t>
      </w:r>
      <w:r>
        <w:rPr>
          <w:rStyle w:val="Hang1"/>
        </w:rPr>
        <w:t xml:space="preserve">. </w:t>
      </w:r>
    </w:p>
    <w:p>
      <w:pPr>
        <w:pBdr/>
        <w:spacing w:before="0" w:after="0"/>
        <w:rPr/>
        <w:sectPr>
          <w:headerReference w:type="default" r:id="rId31"/>
          <w:footerReference w:type="default" r:id="rId3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150.13</w:t>
      </w:r>
      <w:r>
        <w:rPr/>
        <w:t xml:space="preserve"> </w:t>
      </w:r>
      <w:r>
        <w:rPr/>
        <w:t xml:space="preserve">Rooming houses—Equipment and facilities.</w:t>
      </w:r>
    </w:p>
    <w:p>
      <w:pPr>
        <w:pStyle w:val="Paragraph1"/>
        <w:pBdr/>
        <w:spacing/>
        <w:rPr/>
      </w:pPr>
      <w:r>
        <w:rPr>
          <w:rStyle w:val="Paragraph1"/>
        </w:rPr>
        <w:t xml:space="preserve">No person shall operate a rooming house, or occupy or let to another for occupancy, any rooming unit in any house, which does not comply with all of the applicable requirements of this chapter. </w:t>
      </w:r>
    </w:p>
    <w:p>
      <w:pPr>
        <w:pStyle w:val="List2"/>
        <w:pBdr/>
        <w:spacing/>
        <w:rPr/>
      </w:pPr>
      <w:r>
        <w:rPr/>
        <w:t xml:space="preserve">A.</w:t>
      </w:r>
      <w:r>
        <w:rPr/>
        <w:tab/>
        <w:t xml:space="preserve"/>
      </w:r>
      <w:r>
        <w:rPr/>
        <w:t xml:space="preserve">Bathroom Facilities. At least one flush water closet, lavatory basin, and bathtub or shower, properly connected to a water and sewer system, meeting standards approved by the Housing Inspector and in good working condition, shall be supplied for each six persons or fraction thereof residing within a rooming house, including members of the operator's family whenever they share the use of the facilities. In a rooming house where rooms are let to males, flush urinals may be substituted for not more than one-half of the required number of water closets. All rooming units and water closets shall be so located within the dwelling as to be accessible from a common hall or passageway to all persons sharing the facilities. Every lavatory basin and bathtub or shower shall be adequately supplied with hot water at all times. The facilities shall not be located in a basement except by written approval of the Housing Inspector. </w:t>
      </w:r>
    </w:p>
    <w:p>
      <w:pPr>
        <w:pStyle w:val="List2"/>
        <w:pBdr/>
        <w:spacing/>
        <w:rPr/>
      </w:pPr>
      <w:r>
        <w:rPr/>
        <w:t xml:space="preserve">B.</w:t>
      </w:r>
      <w:r>
        <w:rPr/>
        <w:tab/>
        <w:t xml:space="preserve"/>
      </w:r>
      <w:r>
        <w:rPr/>
        <w:t xml:space="preserve">Bedding and Towels. The operator of every rooming house shall change supplied bed linen and towels therein at least once each week and prior to the letting of any room to any occupant. The operator shall be responsible for the maintenance of all supplied bedding in a clean and sanitary manner. </w:t>
      </w:r>
    </w:p>
    <w:p>
      <w:pPr>
        <w:pStyle w:val="List2"/>
        <w:pBdr/>
        <w:spacing/>
        <w:rPr/>
      </w:pPr>
      <w:r>
        <w:rPr/>
        <w:t xml:space="preserve">C.</w:t>
      </w:r>
      <w:r>
        <w:rPr/>
        <w:tab/>
        <w:t xml:space="preserve"/>
      </w:r>
      <w:r>
        <w:rPr/>
        <w:t xml:space="preserve">Sleeping Room Area. Every room occupied for sleeping purposes by one person shall contain at least eighty square feet of floor space and every room occupied for sleeping purposes by more than one person shall contain at least sixty square feet of floor space for each additional occupant thereof. </w:t>
      </w:r>
    </w:p>
    <w:p>
      <w:pPr>
        <w:pStyle w:val="List2"/>
        <w:pBdr/>
        <w:spacing/>
        <w:rPr/>
      </w:pPr>
      <w:r>
        <w:rPr/>
        <w:t xml:space="preserve">D.</w:t>
      </w:r>
      <w:r>
        <w:rPr/>
        <w:tab/>
        <w:t xml:space="preserve"/>
      </w:r>
      <w:r>
        <w:rPr/>
        <w:t xml:space="preserve">Means of Egress. Every rooming unit shall have safe, unobstructed means of egress leading to safe and open space at ground level, as required by the laws of the state and the city. </w:t>
      </w:r>
    </w:p>
    <w:p>
      <w:pPr>
        <w:pStyle w:val="List2"/>
        <w:pBdr/>
        <w:spacing/>
        <w:rPr/>
      </w:pPr>
      <w:r>
        <w:rPr/>
        <w:t xml:space="preserve">E.</w:t>
      </w:r>
      <w:r>
        <w:rPr/>
        <w:tab/>
        <w:t xml:space="preserve"/>
      </w:r>
      <w:r>
        <w:rPr/>
        <w:t xml:space="preserve">Sanitary Maintenance. The operator of every rooming house shall be responsible for the sanitary maintenance of all walls, floors, and ceilings and for maintenance of a sanitary condition in every other part of the rooming house. He shall be responsible for the sanitary maintenance of the entire premises where the entire structure or building is leased or occupied by the operator. </w:t>
      </w:r>
    </w:p>
    <w:p>
      <w:pPr>
        <w:pStyle w:val="List2"/>
        <w:pBdr/>
        <w:spacing/>
        <w:rPr/>
      </w:pPr>
      <w:r>
        <w:rPr/>
        <w:t xml:space="preserve">F.</w:t>
      </w:r>
      <w:r>
        <w:rPr/>
        <w:tab/>
        <w:t xml:space="preserve"/>
      </w:r>
      <w:r>
        <w:rPr/>
        <w:t xml:space="preserve">Cooking. Cooking in dormitory rooms and rooming units shall be prohibited. </w:t>
      </w:r>
    </w:p>
    <w:p>
      <w:pPr>
        <w:pStyle w:val="List2"/>
        <w:pBdr/>
        <w:spacing/>
        <w:rPr/>
      </w:pPr>
      <w:r>
        <w:rPr/>
        <w:t xml:space="preserve">G.</w:t>
      </w:r>
      <w:r>
        <w:rPr/>
        <w:tab/>
        <w:t xml:space="preserve"/>
      </w:r>
      <w:r>
        <w:rPr/>
        <w:t xml:space="preserve">Access. Access doors to rooming units shall have operating locks to ensure privacy. </w:t>
      </w:r>
    </w:p>
    <w:p>
      <w:pPr>
        <w:pStyle w:val="List2"/>
        <w:pBdr/>
        <w:spacing/>
        <w:rPr/>
      </w:pPr>
      <w:r>
        <w:rPr/>
        <w:t xml:space="preserve">H.</w:t>
      </w:r>
      <w:r>
        <w:rPr/>
        <w:tab/>
        <w:t xml:space="preserve"/>
      </w:r>
      <w:r>
        <w:rPr/>
        <w:t xml:space="preserve">Heating Requirements. The operator of every rooming house shall furnish heat sufficient to maintain an inside temperature of not less than seventy degrees Fahrenheit for each hour of the entire twenty-four-hour period of each day in all habitable rooms, bathrooms, water closet compartments, and kitchens, and be able to maintain this temperature when the outside temperature falls to fifty degrees Fahrenheit or below, except that the operator shall furnish heat sufficient to maintain the following minimum temperatures at the following hours of the day: between the hours of 11:00 p.m. and 6:00 a.m., sixty-five degrees Fahrenheit. </w:t>
      </w:r>
    </w:p>
    <w:p>
      <w:pPr>
        <w:pStyle w:val="List2"/>
        <w:pBdr/>
        <w:spacing/>
        <w:rPr/>
      </w:pPr>
      <w:r>
        <w:rPr/>
        <w:t xml:space="preserve">I.</w:t>
      </w:r>
      <w:r>
        <w:rPr/>
        <w:tab/>
        <w:t xml:space="preserve"/>
      </w:r>
      <w:r>
        <w:rPr/>
        <w:t xml:space="preserve">Smoke Alarms. Every rooming house shall be equipped with smoke alarms installed outside of each separate sleeping area in the immediate vicinity of each sleeping area and on each additional story of the dwelling, including basements and cellars but not including crawl spaces and uninhabitable attics. In dwellings or dwelling units with split levels, a smoke alarm shall be installed on each level. The occupant of any dwelling unit shall be responsible for replacing the battery in battery-operated smoke alarms. The property owner shall be responsible for all maintenance of smoke alarms other than battery replacement. No person shall remove or render a smoke alarm inoperative. Smoke alarms that are not self-contained or battery powered must satisfy Sections </w:t>
      </w:r>
      <w:r>
        <w:rPr/>
        <w:t xml:space="preserve">93.52</w:t>
      </w:r>
      <w:r>
        <w:rPr/>
        <w:t xml:space="preserve">(D), (E), and (F) of the Akron Codified Ordinances. </w:t>
      </w:r>
    </w:p>
    <w:p>
      <w:pPr>
        <w:pStyle w:val="List2"/>
        <w:pBdr/>
        <w:spacing/>
        <w:rPr/>
      </w:pPr>
      <w:r>
        <w:rPr/>
        <w:t xml:space="preserve">J.</w:t>
      </w:r>
      <w:r>
        <w:rPr/>
        <w:tab/>
        <w:t xml:space="preserve"/>
      </w:r>
      <w:r>
        <w:rPr/>
        <w:t xml:space="preserve">Fire Extinguishers. Every rooming house shall be provided with fire extinguishers of a minimum classification and shall be maintained in a safe and approved operating condition. </w:t>
      </w:r>
    </w:p>
    <w:p>
      <w:pPr>
        <w:pStyle w:val="List2"/>
        <w:pBdr/>
        <w:spacing/>
        <w:rPr/>
      </w:pPr>
      <w:r>
        <w:rPr/>
        <w:t xml:space="preserve">K.</w:t>
      </w:r>
      <w:r>
        <w:rPr/>
        <w:tab/>
        <w:t xml:space="preserve"/>
      </w:r>
      <w:r>
        <w:rPr/>
        <w:t xml:space="preserve">Fire Stairs/Sprinkler System. Every rooming house having habitable rooms located on floors exceeding two stories in height above grade, not counting basements, shall be provided with not less than two independent exits or exterior fire stairs from each floor above the second floor, fully accessible from each dwelling unit on the floor, or as an alternative, the entire dwelling shall be provided with a residential sprinkler system installed in accordance with National Fire Protection Association Standard #13R. </w:t>
      </w:r>
    </w:p>
    <w:p>
      <w:pPr>
        <w:pStyle w:val="Hang1"/>
        <w:pBdr/>
        <w:spacing/>
        <w:rPr/>
      </w:pPr>
      <w:r>
        <w:rPr/>
        <w:t xml:space="preserve">Cross reference(s)—</w:t>
      </w:r>
      <w:r>
        <w:rPr>
          <w:rStyle w:val="Hang1"/>
        </w:rPr>
        <w:t xml:space="preserve">Penalty, see § </w:t>
      </w:r>
      <w:r>
        <w:rPr/>
        <w:t xml:space="preserve">150.99</w:t>
      </w:r>
      <w:r>
        <w:rPr>
          <w:rStyle w:val="Hang1"/>
        </w:rPr>
        <w:t xml:space="preserve">. </w:t>
      </w:r>
    </w:p>
    <w:p>
      <w:pPr>
        <w:pStyle w:val="List2"/>
        <w:pBdr/>
        <w:spacing/>
        <w:rPr/>
      </w:pPr>
      <w:r>
        <w:rPr/>
        <w:t xml:space="preserve">L.</w:t>
      </w:r>
      <w:r>
        <w:rPr/>
        <w:tab/>
        <w:t xml:space="preserve"/>
      </w:r>
      <w:r>
        <w:rPr/>
        <w:t xml:space="preserve">Carbon Monoxide Detectors. Every rooming house within which fuel-burning appliances are present, that utilizes fuel-burning appliances for the heating of a rooming house, or within a rooming house that is located in a structure with an attached garage, shall be equipped with carbon monoxide detectors installed outside of each separate sleeping area in the immediate vicinity of each sleeping area and on each story of the dwelling, including basements and cellars but not including crawl spaces and uninhabitable attics. In dwellings or dwelling units with split levels, a carbon monoxide detector shall be installed on each level. The occupant of any dwelling unit shall be responsible for replacing the battery in battery-operated carbon monoxide detectors. The property owner shall be responsible for all maintenance of carbon monoxide detectors other than battery replacement. No person shall remove or render a carbon monoxide detector inoperative. Carbon monoxide detectors that are not self-contained or battery powered must satisfy Sections </w:t>
      </w:r>
      <w:r>
        <w:rPr/>
        <w:t xml:space="preserve">93.51</w:t>
      </w:r>
      <w:r>
        <w:rPr/>
        <w:t xml:space="preserve">(D), (E), and (F) of the Akron Codified Ordinances. </w:t>
      </w:r>
    </w:p>
    <w:p>
      <w:pPr>
        <w:pStyle w:val="HistoryNote"/>
        <w:pBdr/>
        <w:spacing/>
        <w:rPr/>
      </w:pPr>
      <w:r>
        <w:rPr>
          <w:rStyle w:val="HistoryNote"/>
        </w:rPr>
        <w:t xml:space="preserve">(Ord. 113-1972; Ord. 205-1988; Ord. 181-1992; Ord. 282-1992; Ord. 769-1996; Ord. 708-1997; Ord. 152-2017; Ord. 305-2022)</w:t>
      </w:r>
    </w:p>
    <w:p>
      <w:pPr>
        <w:pBdr/>
        <w:spacing w:before="0" w:after="0"/>
        <w:rPr/>
        <w:sectPr>
          <w:headerReference w:type="default" r:id="rId33"/>
          <w:footerReference w:type="default" r:id="rId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150.14</w:t>
      </w:r>
      <w:r>
        <w:rPr/>
        <w:t xml:space="preserve"> </w:t>
      </w:r>
      <w:r>
        <w:rPr/>
        <w:t xml:space="preserve">Hotels.</w:t>
      </w:r>
    </w:p>
    <w:p>
      <w:pPr>
        <w:pStyle w:val="Paragraph1"/>
        <w:pBdr/>
        <w:spacing/>
        <w:rPr/>
      </w:pPr>
      <w:r>
        <w:rPr>
          <w:rStyle w:val="Paragraph1"/>
        </w:rPr>
        <w:t xml:space="preserve">Every provision of this chapter which applies to rooming houses shall also apply to hotels, except to the extent that any provision may be found in conflict with the laws of the state or with the lawful regulations of any state board or agency. </w:t>
      </w:r>
    </w:p>
    <w:p>
      <w:pPr>
        <w:pStyle w:val="HistoryNote"/>
        <w:pBdr/>
        <w:spacing/>
        <w:rPr/>
      </w:pPr>
      <w:r>
        <w:rPr>
          <w:rStyle w:val="HistoryNote"/>
        </w:rPr>
        <w:t xml:space="preserve">(Ord. 708-1997; Ord. 769-1996; Ord. 113-1972)</w:t>
      </w:r>
    </w:p>
    <w:p>
      <w:pPr>
        <w:pBdr/>
        <w:spacing w:before="0" w:after="0"/>
        <w:rPr/>
        <w:sectPr>
          <w:headerReference w:type="default" r:id="rId35"/>
          <w:footerReference w:type="default" r:id="rId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150.15</w:t>
      </w:r>
      <w:r>
        <w:rPr/>
        <w:t xml:space="preserve"> </w:t>
      </w:r>
      <w:r>
        <w:rPr/>
        <w:t xml:space="preserve">Unfit dwellings or premises.</w:t>
      </w:r>
    </w:p>
    <w:p>
      <w:pPr>
        <w:pStyle w:val="List1"/>
        <w:pBdr/>
        <w:spacing/>
        <w:rPr/>
      </w:pPr>
      <w:r>
        <w:rPr/>
        <w:t xml:space="preserve">A.</w:t>
      </w:r>
      <w:r>
        <w:rPr/>
        <w:tab/>
        <w:t xml:space="preserve"/>
      </w:r>
      <w:r>
        <w:rPr/>
        <w:t xml:space="preserve">Any dwelling or premises shall be taken down and removed when so ordered by the Housing Appeals Board. </w:t>
      </w:r>
    </w:p>
    <w:p>
      <w:pPr>
        <w:pStyle w:val="List1"/>
        <w:pBdr/>
        <w:spacing/>
        <w:rPr/>
      </w:pPr>
      <w:r>
        <w:rPr/>
        <w:t xml:space="preserve">B.</w:t>
      </w:r>
      <w:r>
        <w:rPr/>
        <w:tab/>
        <w:t xml:space="preserve"/>
      </w:r>
      <w:r>
        <w:rPr/>
        <w:t xml:space="preserve">Any dwelling or premises declared unfit for human habitation or use may be restored to a habitable condition. </w:t>
      </w:r>
    </w:p>
    <w:p>
      <w:pPr>
        <w:pStyle w:val="List1"/>
        <w:pBdr/>
        <w:spacing/>
        <w:rPr/>
      </w:pPr>
      <w:r>
        <w:rPr/>
        <w:t xml:space="preserve">C.</w:t>
      </w:r>
      <w:r>
        <w:rPr/>
        <w:tab/>
        <w:t xml:space="preserve"/>
      </w:r>
      <w:r>
        <w:rPr/>
        <w:t xml:space="preserve">Any dwelling or premises which has any of the following defects shall be deemed unfit for human habitation or use: </w:t>
      </w:r>
    </w:p>
    <w:p>
      <w:pPr>
        <w:pStyle w:val="List2"/>
        <w:pBdr/>
        <w:spacing/>
        <w:rPr/>
      </w:pPr>
      <w:r>
        <w:rPr/>
        <w:t xml:space="preserve">1.</w:t>
      </w:r>
      <w:r>
        <w:rPr/>
        <w:tab/>
        <w:t xml:space="preserve"/>
      </w:r>
      <w:r>
        <w:rPr/>
        <w:t xml:space="preserve">Those which have become so dilapidated, decayed, unsanitary, or vermin infested or which so utterly fail to provide the amenities essential to decent living that they are unfit for human habitation or use, or are so likely to cause sickness or disease, that their condition constitutes a public nuisance; </w:t>
      </w:r>
    </w:p>
    <w:p>
      <w:pPr>
        <w:pStyle w:val="List2"/>
        <w:pBdr/>
        <w:spacing/>
        <w:rPr/>
      </w:pPr>
      <w:r>
        <w:rPr/>
        <w:t xml:space="preserve">2.</w:t>
      </w:r>
      <w:r>
        <w:rPr/>
        <w:tab/>
        <w:t xml:space="preserve"/>
      </w:r>
      <w:r>
        <w:rPr/>
        <w:t xml:space="preserve">Those which, because of their general condition or location, are unsanitary or otherwise dangerous to the health, morals, or general welfare of occupants or other residents of the city. </w:t>
      </w:r>
    </w:p>
    <w:p>
      <w:pPr>
        <w:pStyle w:val="HistoryNote"/>
        <w:pBdr/>
        <w:spacing/>
        <w:rPr/>
      </w:pPr>
      <w:r>
        <w:rPr>
          <w:rStyle w:val="HistoryNote"/>
        </w:rPr>
        <w:t xml:space="preserve">(Ord. 708-1997; Ord. 769-1996; Ord. 113-1972)</w:t>
      </w:r>
    </w:p>
    <w:p>
      <w:pPr>
        <w:pStyle w:val="HistoryNote"/>
        <w:pBdr/>
        <w:spacing/>
        <w:rPr/>
      </w:pPr>
      <w:r>
        <w:rPr>
          <w:rStyle w:val="HistoryNote"/>
        </w:rPr>
        <w:t xml:space="preserve">(Ord. 14-2010; Ord. 291-2013)</w:t>
      </w:r>
    </w:p>
    <w:p>
      <w:pPr>
        <w:pBdr/>
        <w:spacing w:before="0" w:after="0"/>
        <w:rPr/>
        <w:sectPr>
          <w:headerReference w:type="default" r:id="rId37"/>
          <w:footerReference w:type="default" r:id="rId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150.16</w:t>
      </w:r>
      <w:r>
        <w:rPr/>
        <w:t xml:space="preserve"> </w:t>
      </w:r>
      <w:r>
        <w:rPr/>
        <w:t xml:space="preserve">Vacating unfit dwellings or premises.</w:t>
      </w:r>
    </w:p>
    <w:p>
      <w:pPr>
        <w:pStyle w:val="Paragraph1"/>
        <w:pBdr/>
        <w:spacing/>
        <w:rPr/>
      </w:pPr>
      <w:r>
        <w:rPr>
          <w:rStyle w:val="Paragraph1"/>
        </w:rPr>
        <w:t xml:space="preserve">Any dwelling or premises condemned as unfit for human habitation or use, and so designated and placarded by the Housing Inspector, shall be vacated within a reasonable time as ordered by the Housing Inspector. Notice of a condemned dwelling or premises shall be provided to the Certified Building Official. </w:t>
      </w:r>
    </w:p>
    <w:p>
      <w:pPr>
        <w:pStyle w:val="HistoryNote"/>
        <w:pBdr/>
        <w:spacing/>
        <w:rPr/>
      </w:pPr>
      <w:r>
        <w:rPr>
          <w:rStyle w:val="HistoryNote"/>
        </w:rPr>
        <w:t xml:space="preserve">(Ord. 708-1997; Ord. 769-1996; Ord. 113-1972)</w:t>
      </w:r>
    </w:p>
    <w:p>
      <w:pPr>
        <w:pStyle w:val="HistoryNote"/>
        <w:pBdr/>
        <w:spacing/>
        <w:rPr/>
      </w:pPr>
      <w:r>
        <w:rPr>
          <w:rStyle w:val="HistoryNote"/>
        </w:rPr>
        <w:t xml:space="preserve">(Ord. 291-2013)</w:t>
      </w:r>
    </w:p>
    <w:p>
      <w:pPr>
        <w:pStyle w:val="Hang1"/>
        <w:pBdr/>
        <w:spacing/>
        <w:rPr/>
      </w:pPr>
      <w:r>
        <w:rPr/>
        <w:t xml:space="preserve">Cross reference(s)—</w:t>
      </w:r>
      <w:r>
        <w:rPr>
          <w:rStyle w:val="Hang1"/>
        </w:rPr>
        <w:t xml:space="preserve">Penalty, see § </w:t>
      </w:r>
      <w:r>
        <w:rPr/>
        <w:t xml:space="preserve">150.99</w:t>
      </w:r>
      <w:r>
        <w:rPr>
          <w:rStyle w:val="Hang1"/>
        </w:rPr>
        <w:t xml:space="preserve">. </w:t>
      </w:r>
    </w:p>
    <w:p>
      <w:pPr>
        <w:pBdr/>
        <w:spacing w:before="0" w:after="0"/>
        <w:rPr/>
        <w:sectPr>
          <w:headerReference w:type="default" r:id="rId39"/>
          <w:footerReference w:type="default" r:id="rId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150.17</w:t>
      </w:r>
      <w:r>
        <w:rPr/>
        <w:t xml:space="preserve"> </w:t>
      </w:r>
      <w:r>
        <w:rPr/>
        <w:t xml:space="preserve">Public nuisance.</w:t>
      </w:r>
    </w:p>
    <w:p>
      <w:pPr>
        <w:pStyle w:val="Paragraph1"/>
        <w:pBdr/>
        <w:spacing/>
        <w:rPr/>
      </w:pPr>
      <w:r>
        <w:rPr>
          <w:rStyle w:val="Paragraph1"/>
        </w:rPr>
        <w:t xml:space="preserve">Any dwelling or premises condemned as unfit for human habitation or use, within the terms of this chapter, is declared to be a public nuisance, and shall be repaired, vacated, or demolished as provided in this chapter. </w:t>
      </w:r>
    </w:p>
    <w:p>
      <w:pPr>
        <w:pStyle w:val="HistoryNote"/>
        <w:pBdr/>
        <w:spacing/>
        <w:rPr/>
      </w:pPr>
      <w:r>
        <w:rPr>
          <w:rStyle w:val="HistoryNote"/>
        </w:rPr>
        <w:t xml:space="preserve">(Ord. 708-1997; Ord. 769-1996; Ord. 113-1972)</w:t>
      </w:r>
    </w:p>
    <w:p>
      <w:pPr>
        <w:pStyle w:val="Hang1"/>
        <w:pBdr/>
        <w:spacing/>
        <w:rPr/>
      </w:pPr>
      <w:r>
        <w:rPr/>
        <w:t xml:space="preserve">Cross reference(s)—</w:t>
      </w:r>
      <w:r>
        <w:rPr>
          <w:rStyle w:val="Hang1"/>
        </w:rPr>
        <w:t xml:space="preserve">Penalty, see § </w:t>
      </w:r>
      <w:r>
        <w:rPr/>
        <w:t xml:space="preserve">150.99</w:t>
      </w:r>
      <w:r>
        <w:rPr>
          <w:rStyle w:val="Hang1"/>
        </w:rPr>
        <w:t xml:space="preserve">. </w:t>
      </w:r>
    </w:p>
    <w:p>
      <w:pPr>
        <w:pBdr/>
        <w:spacing w:before="0" w:after="0"/>
        <w:rPr/>
        <w:sectPr>
          <w:headerReference w:type="default" r:id="rId41"/>
          <w:footerReference w:type="default" r:id="rId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150.18</w:t>
      </w:r>
      <w:r>
        <w:rPr/>
        <w:t xml:space="preserve"> </w:t>
      </w:r>
      <w:r>
        <w:rPr/>
        <w:t xml:space="preserve">Condemnation placard.</w:t>
      </w:r>
    </w:p>
    <w:p>
      <w:pPr>
        <w:pStyle w:val="Paragraph1"/>
        <w:pBdr/>
        <w:spacing/>
        <w:rPr/>
      </w:pPr>
      <w:r>
        <w:rPr>
          <w:rStyle w:val="Paragraph1"/>
        </w:rPr>
        <w:t xml:space="preserve">The Housing Inspector shall place a notice on all condemned dwellings or premises by placing a placard thereon, or in a location which is readily noticeable, reading as follows: </w:t>
      </w:r>
    </w:p>
    <w:p>
      <w:pPr>
        <w:pStyle w:val="Block1Center"/>
        <w:pBdr/>
        <w:spacing/>
        <w:rPr/>
      </w:pPr>
      <w:r>
        <w:rPr>
          <w:rStyle w:val="Block1Center"/>
        </w:rPr>
        <w:t xml:space="preserve">CONDEMNED </w:t>
      </w:r>
    </w:p>
    <w:p>
      <w:pPr>
        <w:pStyle w:val="Block2"/>
        <w:pBdr/>
        <w:spacing/>
        <w:rPr/>
      </w:pPr>
      <w:r>
        <w:rPr>
          <w:rStyle w:val="Block2"/>
        </w:rPr>
        <w:t xml:space="preserve"> This building is unfit for human habitation or use and has been condemned by order of the Director of Neighborhood Assistance of the City of Akron. All persons are herewith warned to stay away from this building, except those who are employed to repair or raze the same in accordance with the notice which has been given the owner of this building and all other persons having an interest in said premises as shown by the land records of the Summit County Recorder's Office. It is unlawful for any person to remove this sign without written permission from the Director of Neighborhood Assistance of the City of Akron. </w:t>
      </w:r>
    </w:p>
    <w:p>
      <w:pPr>
        <w:pStyle w:val="HistoryNote"/>
        <w:pBdr/>
        <w:spacing/>
        <w:rPr/>
      </w:pPr>
      <w:r>
        <w:rPr>
          <w:rStyle w:val="HistoryNote"/>
        </w:rPr>
        <w:t xml:space="preserve">(Ord. 708-1997; Ord. 769-1996; Ord. 113-1972)</w:t>
      </w:r>
    </w:p>
    <w:p>
      <w:pPr>
        <w:pStyle w:val="HistoryNote"/>
        <w:pBdr/>
        <w:spacing/>
        <w:rPr/>
      </w:pPr>
      <w:r>
        <w:rPr>
          <w:rStyle w:val="HistoryNote"/>
        </w:rPr>
        <w:t xml:space="preserve">(Ord. 14-2010; Ord. 210-2012)</w:t>
      </w:r>
    </w:p>
    <w:p>
      <w:pPr>
        <w:pBdr/>
        <w:spacing w:before="0" w:after="0"/>
        <w:rPr/>
        <w:sectPr>
          <w:headerReference w:type="default" r:id="rId43"/>
          <w:footerReference w:type="default" r:id="rId4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150.20</w:t>
      </w:r>
      <w:r>
        <w:rPr/>
        <w:t xml:space="preserve"> </w:t>
      </w:r>
      <w:r>
        <w:rPr/>
        <w:t xml:space="preserve">Reoccupation.</w:t>
      </w:r>
    </w:p>
    <w:p>
      <w:pPr>
        <w:pStyle w:val="Paragraph1"/>
        <w:pBdr/>
        <w:spacing/>
        <w:rPr/>
      </w:pPr>
      <w:r>
        <w:rPr>
          <w:rStyle w:val="Paragraph1"/>
        </w:rPr>
        <w:t xml:space="preserve">Any dwelling or premises which has been condemned and placarded as unfit for human habitation or use shall not again be so used until written approval is secured from, and the placard removed by, the Housing Inspector. The Housing Inspector shall remove the placard and give the written approval whenever the defect from which the condemnation and placarding action resulted has been eliminated. </w:t>
      </w:r>
    </w:p>
    <w:p>
      <w:pPr>
        <w:pStyle w:val="HistoryNote"/>
        <w:pBdr/>
        <w:spacing/>
        <w:rPr/>
      </w:pPr>
      <w:r>
        <w:rPr>
          <w:rStyle w:val="HistoryNote"/>
        </w:rPr>
        <w:t xml:space="preserve">(Ord. 708-1997; Ord. 769-1996; Ord. 113-1972)</w:t>
      </w:r>
    </w:p>
    <w:p>
      <w:pPr>
        <w:pStyle w:val="Hang1"/>
        <w:pBdr/>
        <w:spacing/>
        <w:rPr/>
      </w:pPr>
      <w:r>
        <w:rPr/>
        <w:t xml:space="preserve">Cross reference(s)—</w:t>
      </w:r>
      <w:r>
        <w:rPr>
          <w:rStyle w:val="Hang1"/>
        </w:rPr>
        <w:t xml:space="preserve">Penalty, see § </w:t>
      </w:r>
      <w:r>
        <w:rPr/>
        <w:t xml:space="preserve">150.99</w:t>
      </w:r>
      <w:r>
        <w:rPr>
          <w:rStyle w:val="Hang1"/>
        </w:rPr>
        <w:t xml:space="preserve">. </w:t>
      </w:r>
    </w:p>
    <w:p>
      <w:pPr>
        <w:pBdr/>
        <w:spacing w:before="0" w:after="0"/>
        <w:rPr/>
        <w:sectPr>
          <w:headerReference w:type="default" r:id="rId45"/>
          <w:footerReference w:type="default" r:id="rId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150.201</w:t>
      </w:r>
      <w:r>
        <w:rPr/>
        <w:t xml:space="preserve"> </w:t>
      </w:r>
      <w:r>
        <w:rPr/>
        <w:t xml:space="preserve">Entering a condemned dwelling.</w:t>
      </w:r>
    </w:p>
    <w:p>
      <w:pPr>
        <w:pStyle w:val="List1"/>
        <w:pBdr/>
        <w:spacing/>
        <w:rPr/>
      </w:pPr>
      <w:r>
        <w:rPr/>
        <w:t xml:space="preserve">A.</w:t>
      </w:r>
      <w:r>
        <w:rPr/>
        <w:tab/>
        <w:t xml:space="preserve"/>
      </w:r>
      <w:r>
        <w:rPr/>
        <w:t xml:space="preserve">No person shall enter any dwelling that has been condemned as unfit for human habitation or use, and so designated and placarded by the Housing Inspector, except for the specific purpose of repairing the dwelling, or such other lawful purpose as specifically authorized by the Housing Inspector in writing. </w:t>
      </w:r>
    </w:p>
    <w:p>
      <w:pPr>
        <w:pStyle w:val="List1"/>
        <w:pBdr/>
        <w:spacing/>
        <w:rPr/>
      </w:pPr>
      <w:r>
        <w:rPr/>
        <w:t xml:space="preserve">B.</w:t>
      </w:r>
      <w:r>
        <w:rPr/>
        <w:tab/>
        <w:t xml:space="preserve"/>
      </w:r>
      <w:r>
        <w:rPr/>
        <w:t xml:space="preserve">Enforcement of this section shall not require a notice and order to comply as a prerequisite. </w:t>
      </w:r>
    </w:p>
    <w:p>
      <w:pPr>
        <w:pStyle w:val="HistoryNote"/>
        <w:pBdr/>
        <w:spacing/>
        <w:rPr/>
      </w:pPr>
      <w:r>
        <w:rPr>
          <w:rStyle w:val="HistoryNote"/>
        </w:rPr>
        <w:t xml:space="preserve">(Ord. 708-1997; Ord. 769-1996)</w:t>
      </w:r>
    </w:p>
    <w:p>
      <w:pPr>
        <w:pStyle w:val="HistoryNote"/>
        <w:pBdr/>
        <w:spacing/>
        <w:rPr/>
      </w:pPr>
      <w:r>
        <w:rPr>
          <w:rStyle w:val="HistoryNote"/>
        </w:rPr>
        <w:t xml:space="preserve">(Ord. 429-2025)</w:t>
      </w:r>
    </w:p>
    <w:p>
      <w:pPr>
        <w:pBdr/>
        <w:spacing w:before="0" w:after="0"/>
        <w:rPr/>
        <w:sectPr>
          <w:headerReference w:type="default" r:id="rId47"/>
          <w:footerReference w:type="default" r:id="rId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150.21</w:t>
      </w:r>
      <w:r>
        <w:rPr/>
        <w:t xml:space="preserve"> </w:t>
      </w:r>
      <w:r>
        <w:rPr/>
        <w:t xml:space="preserve">Discontinuance of utilities.</w:t>
      </w:r>
    </w:p>
    <w:p>
      <w:pPr>
        <w:pStyle w:val="Paragraph1"/>
        <w:pBdr/>
        <w:spacing/>
        <w:rPr/>
      </w:pPr>
      <w:r>
        <w:rPr>
          <w:rStyle w:val="Paragraph1"/>
        </w:rPr>
        <w:t xml:space="preserve">No owner, operator, or occupant shall cause any service, facility, equipment, or utility which is required under Sections </w:t>
      </w:r>
      <w:r>
        <w:rPr/>
        <w:t xml:space="preserve">150.09</w:t>
      </w:r>
      <w:r>
        <w:rPr>
          <w:rStyle w:val="Paragraph1"/>
        </w:rPr>
        <w:t xml:space="preserve">(D) and (E) and </w:t>
      </w:r>
      <w:r>
        <w:rPr/>
        <w:t xml:space="preserve">150.08</w:t>
      </w:r>
      <w:r>
        <w:rPr>
          <w:rStyle w:val="Paragraph1"/>
        </w:rPr>
        <w:t xml:space="preserve">(A), (B), (C), (D), and (G), of this code to be removed from, shut off from, or discontinued from any occupied dwelling let or occupied by the owner, operator, or occupant, including by reason of nonpayment, except for such temporary interruption as may be necessary while actual repairs or alterations are in process, or during temporary emergencies when discontinuance of service is approved by the Housing Inspector. </w:t>
      </w:r>
    </w:p>
    <w:p>
      <w:pPr>
        <w:pStyle w:val="HistoryNote"/>
        <w:pBdr/>
        <w:spacing/>
        <w:rPr/>
      </w:pPr>
      <w:r>
        <w:rPr>
          <w:rStyle w:val="HistoryNote"/>
        </w:rPr>
        <w:t xml:space="preserve">(Ord. 708-1997; Ord. 769-1996; Ord. 113-1972)</w:t>
      </w:r>
    </w:p>
    <w:p>
      <w:pPr>
        <w:pStyle w:val="Hang1"/>
        <w:pBdr/>
        <w:spacing/>
        <w:rPr/>
      </w:pPr>
      <w:r>
        <w:rPr/>
        <w:t xml:space="preserve">Cross reference(s)—</w:t>
      </w:r>
      <w:r>
        <w:rPr>
          <w:rStyle w:val="Hang1"/>
        </w:rPr>
        <w:t xml:space="preserve">Penalty, see § </w:t>
      </w:r>
      <w:r>
        <w:rPr/>
        <w:t xml:space="preserve">150.99</w:t>
      </w:r>
      <w:r>
        <w:rPr>
          <w:rStyle w:val="Hang1"/>
        </w:rPr>
        <w:t xml:space="preserve">. </w:t>
      </w:r>
    </w:p>
    <w:p>
      <w:pPr>
        <w:pBdr/>
        <w:spacing w:before="0" w:after="0"/>
        <w:rPr/>
        <w:sectPr>
          <w:headerReference w:type="default" r:id="rId49"/>
          <w:footerReference w:type="default" r:id="rId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150.22</w:t>
      </w:r>
      <w:r>
        <w:rPr/>
        <w:t xml:space="preserve"> </w:t>
      </w:r>
      <w:r>
        <w:rPr/>
        <w:t xml:space="preserve">Vacant dwelling.</w:t>
      </w:r>
    </w:p>
    <w:p>
      <w:pPr>
        <w:pStyle w:val="Paragraph1"/>
        <w:pBdr/>
        <w:spacing/>
        <w:rPr/>
      </w:pPr>
      <w:r>
        <w:rPr>
          <w:rStyle w:val="Paragraph1"/>
        </w:rPr>
        <w:t xml:space="preserve">No person shall occupy, or let to another for occupancy, any vacant dwelling unless the same is clean, sanitary, and fit for human occupancy. </w:t>
      </w:r>
    </w:p>
    <w:p>
      <w:pPr>
        <w:pStyle w:val="HistoryNote"/>
        <w:pBdr/>
        <w:spacing/>
        <w:rPr/>
      </w:pPr>
      <w:r>
        <w:rPr>
          <w:rStyle w:val="HistoryNote"/>
        </w:rPr>
        <w:t xml:space="preserve">(Ord. 708-1997; Ord. 769-1996; Ord. 113-1972)</w:t>
      </w:r>
    </w:p>
    <w:p>
      <w:pPr>
        <w:pStyle w:val="Hang1"/>
        <w:pBdr/>
        <w:spacing/>
        <w:rPr/>
      </w:pPr>
      <w:r>
        <w:rPr/>
        <w:t xml:space="preserve">Cross reference(s)—</w:t>
      </w:r>
      <w:r>
        <w:rPr>
          <w:rStyle w:val="Hang1"/>
        </w:rPr>
        <w:t xml:space="preserve">Penalty, see § </w:t>
      </w:r>
      <w:r>
        <w:rPr/>
        <w:t xml:space="preserve">150.99</w:t>
      </w:r>
      <w:r>
        <w:rPr>
          <w:rStyle w:val="Hang1"/>
        </w:rPr>
        <w:t xml:space="preserve">. </w:t>
      </w:r>
    </w:p>
    <w:p>
      <w:pPr>
        <w:pBdr/>
        <w:spacing w:before="0" w:after="0"/>
        <w:rPr/>
        <w:sectPr>
          <w:headerReference w:type="default" r:id="rId51"/>
          <w:footerReference w:type="default" r:id="rId5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150.23</w:t>
      </w:r>
      <w:r>
        <w:rPr/>
        <w:t xml:space="preserve"> </w:t>
      </w:r>
      <w:r>
        <w:rPr/>
        <w:t xml:space="preserve">Removal of placard.</w:t>
      </w:r>
    </w:p>
    <w:p>
      <w:pPr>
        <w:pStyle w:val="Paragraph1"/>
        <w:pBdr/>
        <w:spacing/>
        <w:rPr/>
      </w:pPr>
      <w:r>
        <w:rPr>
          <w:rStyle w:val="Paragraph1"/>
        </w:rPr>
        <w:t xml:space="preserve">No person shall deface or remove the placard provided for in Section </w:t>
      </w:r>
      <w:r>
        <w:rPr/>
        <w:t xml:space="preserve">150.18</w:t>
      </w:r>
      <w:r>
        <w:rPr>
          <w:rStyle w:val="Paragraph1"/>
        </w:rPr>
        <w:t xml:space="preserve"> of this chapter from any building or premises. </w:t>
      </w:r>
    </w:p>
    <w:p>
      <w:pPr>
        <w:pStyle w:val="HistoryNote"/>
        <w:pBdr/>
        <w:spacing/>
        <w:rPr/>
      </w:pPr>
      <w:r>
        <w:rPr>
          <w:rStyle w:val="HistoryNote"/>
        </w:rPr>
        <w:t xml:space="preserve">(Ord. 708-1997; Ord. 769-1996; Ord. 113-1972)</w:t>
      </w:r>
    </w:p>
    <w:p>
      <w:pPr>
        <w:pStyle w:val="Hang1"/>
        <w:pBdr/>
        <w:spacing/>
        <w:rPr/>
      </w:pPr>
      <w:r>
        <w:rPr/>
        <w:t xml:space="preserve">Cross reference(s)—</w:t>
      </w:r>
      <w:r>
        <w:rPr>
          <w:rStyle w:val="Hang1"/>
        </w:rPr>
        <w:t xml:space="preserve">Penalty, see § </w:t>
      </w:r>
      <w:r>
        <w:rPr/>
        <w:t xml:space="preserve">150.99</w:t>
      </w:r>
      <w:r>
        <w:rPr>
          <w:rStyle w:val="Hang1"/>
        </w:rPr>
        <w:t xml:space="preserve">. </w:t>
      </w:r>
    </w:p>
    <w:p>
      <w:pPr>
        <w:pBdr/>
        <w:spacing w:before="0" w:after="0"/>
        <w:rPr/>
        <w:sectPr>
          <w:headerReference w:type="default" r:id="rId53"/>
          <w:footerReference w:type="default" r:id="rId5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150.24</w:t>
      </w:r>
      <w:r>
        <w:rPr/>
        <w:t xml:space="preserve"> </w:t>
      </w:r>
      <w:r>
        <w:rPr/>
        <w:t xml:space="preserve">Conflict and invalidity.</w:t>
      </w:r>
    </w:p>
    <w:p>
      <w:pPr>
        <w:pStyle w:val="Paragraph1"/>
        <w:pBdr/>
        <w:spacing/>
        <w:rPr/>
      </w:pPr>
      <w:r>
        <w:rPr>
          <w:rStyle w:val="Paragraph1"/>
        </w:rPr>
        <w:t xml:space="preserve">In any case where a provision of this chapter is found to be in conflict with a provision of any zoning, fire, or health ordinance or code of the City existing on the effective date of this chapter, the provision which establishes the higher standard shall prevail. In any case, where a provision of this chapter is found to be in conflict with a provision of any other ordinance or code of the City existing on the effective date of this chapter, which establishes a lower standard for the promotion and protection of the health and safety of the people, the provisions of this chapter shall prevail, and the other ordinance or code shall be repealed to the extent that it may be found in conflict with this chapter. </w:t>
      </w:r>
    </w:p>
    <w:p>
      <w:pPr>
        <w:pStyle w:val="HistoryNote"/>
        <w:pBdr/>
        <w:spacing/>
        <w:rPr/>
      </w:pPr>
      <w:r>
        <w:rPr>
          <w:rStyle w:val="HistoryNote"/>
        </w:rPr>
        <w:t xml:space="preserve">(Ord. 708-1997; Ord. 769-1996; Ord. 113-1972)</w:t>
      </w:r>
    </w:p>
    <w:p>
      <w:pPr>
        <w:pStyle w:val="HistoryNote"/>
        <w:pBdr/>
        <w:spacing/>
        <w:rPr/>
      </w:pPr>
      <w:r>
        <w:rPr>
          <w:rStyle w:val="HistoryNote"/>
        </w:rPr>
        <w:t xml:space="preserve">(Ord. 291-2013)</w:t>
      </w:r>
    </w:p>
    <w:p>
      <w:pPr>
        <w:pBdr/>
        <w:spacing w:before="0" w:after="0"/>
        <w:rPr/>
        <w:sectPr>
          <w:headerReference w:type="default" r:id="rId55"/>
          <w:footerReference w:type="default" r:id="rId5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150.25</w:t>
      </w:r>
      <w:r>
        <w:rPr/>
        <w:t xml:space="preserve"> </w:t>
      </w:r>
      <w:r>
        <w:rPr/>
        <w:t xml:space="preserve">Warranties and liability.</w:t>
      </w:r>
    </w:p>
    <w:p>
      <w:pPr>
        <w:pStyle w:val="Paragraph1"/>
        <w:pBdr/>
        <w:spacing/>
        <w:rPr/>
      </w:pPr>
      <w:r>
        <w:rPr>
          <w:rStyle w:val="Paragraph1"/>
        </w:rPr>
        <w:t xml:space="preserve">The provisions of this chapter shall not be construed to warrant, insure or guarantee that there are no violations of the Health, Safety and Sanitation Code, Litter Code, Housing Code, or Zoning Code at a premises, or that the premises is in a clean, sanitary, safe or fit condition. Inspections of the Department of Neighborhood Assistance are made on behalf of the City and the Department of Neighborhood Assistance for the purpose of preserving and improving the housing stock and enforcing the Health, Safety and Sanitation Code, Litter Code, Housing Code, and Zoning Code. Inspections of the Department of Neighborhood Assistance are not made on behalf of the occupant, operator, owner, or purchaser of a premises, or any other person. </w:t>
      </w:r>
    </w:p>
    <w:p>
      <w:pPr>
        <w:pStyle w:val="HistoryNote"/>
        <w:pBdr/>
        <w:spacing/>
        <w:rPr/>
      </w:pPr>
      <w:r>
        <w:rPr>
          <w:rStyle w:val="HistoryNote"/>
        </w:rPr>
        <w:t xml:space="preserve">(Ord. 708-1997; Ord. 769-1996)</w:t>
      </w:r>
    </w:p>
    <w:p>
      <w:pPr>
        <w:pStyle w:val="HistoryNote"/>
        <w:pBdr/>
        <w:spacing/>
        <w:rPr/>
      </w:pPr>
      <w:r>
        <w:rPr>
          <w:rStyle w:val="HistoryNote"/>
        </w:rPr>
        <w:t xml:space="preserve">(Ord. 14-2010; Ord. 210-2012)</w:t>
      </w:r>
    </w:p>
    <w:p>
      <w:pPr>
        <w:pBdr/>
        <w:spacing w:before="0" w:after="0"/>
        <w:rPr/>
        <w:sectPr>
          <w:headerReference w:type="default" r:id="rId57"/>
          <w:footerReference w:type="default" r:id="rId5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150.30</w:t>
      </w:r>
      <w:r>
        <w:rPr/>
        <w:t xml:space="preserve"> </w:t>
      </w:r>
      <w:r>
        <w:rPr/>
        <w:t xml:space="preserve">Registration required.</w:t>
      </w:r>
    </w:p>
    <w:p>
      <w:pPr>
        <w:pStyle w:val="List1"/>
        <w:pBdr/>
        <w:spacing/>
        <w:rPr/>
      </w:pPr>
      <w:r>
        <w:rPr/>
        <w:t xml:space="preserve">A.</w:t>
      </w:r>
      <w:r>
        <w:rPr/>
        <w:tab/>
        <w:t xml:space="preserve"/>
      </w:r>
      <w:r>
        <w:rPr/>
        <w:t xml:space="preserve">An owner or operator shall register, on a registration form that the Department of Neighborhood Assistance shall provide, all rental units that the owner owns, or that the operator operates, no later than January 31 of each year, and upon the completion of transfer of title to a premises or structure with a rental unit. </w:t>
      </w:r>
    </w:p>
    <w:p>
      <w:pPr>
        <w:pStyle w:val="List1"/>
        <w:pBdr/>
        <w:spacing/>
        <w:rPr/>
      </w:pPr>
      <w:r>
        <w:rPr/>
        <w:t xml:space="preserve">B.</w:t>
      </w:r>
      <w:r>
        <w:rPr/>
        <w:tab/>
        <w:t xml:space="preserve"/>
      </w:r>
      <w:r>
        <w:rPr/>
        <w:t xml:space="preserve">The registration form shall include information as the Department of Neighborhood Assistance shall determine, including the total number of rental units that the owner owns, or that the operator operates, the number of premises and structures with a rental unit, the address of each premises and structure, the number of rental units on each premises and in each structure, the identification number or letter of all rental units on each premises and in each structure, and information concerning the owner, which shall include: </w:t>
      </w:r>
    </w:p>
    <w:p>
      <w:pPr>
        <w:pStyle w:val="List2"/>
        <w:pBdr/>
        <w:spacing/>
        <w:rPr/>
      </w:pPr>
      <w:r>
        <w:rPr/>
        <w:t xml:space="preserve">1.</w:t>
      </w:r>
      <w:r>
        <w:rPr/>
        <w:tab/>
        <w:t xml:space="preserve"/>
      </w:r>
      <w:r>
        <w:rPr/>
        <w:t xml:space="preserve">If the owner is one or more individuals or a sole proprietorship, the owner's name, address, date of birth and phone number; </w:t>
      </w:r>
    </w:p>
    <w:p>
      <w:pPr>
        <w:pStyle w:val="List2"/>
        <w:pBdr/>
        <w:spacing/>
        <w:rPr/>
      </w:pPr>
      <w:r>
        <w:rPr/>
        <w:t xml:space="preserve">2.</w:t>
      </w:r>
      <w:r>
        <w:rPr/>
        <w:tab/>
        <w:t xml:space="preserve"/>
      </w:r>
      <w:r>
        <w:rPr/>
        <w:t xml:space="preserve">If the owner is a partnership, the name, address, tax identification number and phone number of the partnership, and the name, address, date of birth and phone number of one of the partners; </w:t>
      </w:r>
    </w:p>
    <w:p>
      <w:pPr>
        <w:pStyle w:val="List2"/>
        <w:pBdr/>
        <w:spacing/>
        <w:rPr/>
      </w:pPr>
      <w:r>
        <w:rPr/>
        <w:t xml:space="preserve">3.</w:t>
      </w:r>
      <w:r>
        <w:rPr/>
        <w:tab/>
        <w:t xml:space="preserve"/>
      </w:r>
      <w:r>
        <w:rPr/>
        <w:t xml:space="preserve">If the owner is a corporation, the name, address and phone number of the corporation, the name, address and phone number of the corporation's statutory agent, and the name, address, date of birth, and phone number of one of the officers; and </w:t>
      </w:r>
    </w:p>
    <w:p>
      <w:pPr>
        <w:pStyle w:val="List2"/>
        <w:pBdr/>
        <w:spacing/>
        <w:rPr/>
      </w:pPr>
      <w:r>
        <w:rPr/>
        <w:t xml:space="preserve">4.</w:t>
      </w:r>
      <w:r>
        <w:rPr/>
        <w:tab/>
        <w:t xml:space="preserve"/>
      </w:r>
      <w:r>
        <w:rPr/>
        <w:t xml:space="preserve">If the owner is a trust, the name, address and phone number of the trust, and the name, address, date of birth, and phone number of one of the trustees. </w:t>
      </w:r>
    </w:p>
    <w:p>
      <w:pPr>
        <w:pStyle w:val="List1"/>
        <w:pBdr/>
        <w:spacing/>
        <w:rPr/>
      </w:pPr>
      <w:r>
        <w:rPr/>
        <w:t xml:space="preserve">C.</w:t>
      </w:r>
      <w:r>
        <w:rPr/>
        <w:tab/>
        <w:t xml:space="preserve"/>
      </w:r>
      <w:r>
        <w:rPr/>
        <w:t xml:space="preserve">If the owner of a rental unit is required to have an operator pursuant to Section </w:t>
      </w:r>
      <w:r>
        <w:rPr/>
        <w:t xml:space="preserve">150.50</w:t>
      </w:r>
      <w:r>
        <w:rPr/>
        <w:t xml:space="preserve"> of this chapter, or if the owner otherwise has an operator that is not the owner, then the registration form shall include, in addition to the information required by subsection B of this section, additional information concerning the operator, as the Department of Neighborhood Assistance shall determine, which shall include: </w:t>
      </w:r>
    </w:p>
    <w:p>
      <w:pPr>
        <w:pStyle w:val="List2"/>
        <w:pBdr/>
        <w:spacing/>
        <w:rPr/>
      </w:pPr>
      <w:r>
        <w:rPr/>
        <w:t xml:space="preserve">1.</w:t>
      </w:r>
      <w:r>
        <w:rPr/>
        <w:tab/>
        <w:t xml:space="preserve"/>
      </w:r>
      <w:r>
        <w:rPr/>
        <w:t xml:space="preserve">If the operator is one or more individuals or a sole proprietorship, the operator's name, address, date of birth and phone number; </w:t>
      </w:r>
    </w:p>
    <w:p>
      <w:pPr>
        <w:pStyle w:val="List2"/>
        <w:pBdr/>
        <w:spacing/>
        <w:rPr/>
      </w:pPr>
      <w:r>
        <w:rPr/>
        <w:t xml:space="preserve">2.</w:t>
      </w:r>
      <w:r>
        <w:rPr/>
        <w:tab/>
        <w:t xml:space="preserve"/>
      </w:r>
      <w:r>
        <w:rPr/>
        <w:t xml:space="preserve">If the operator is a partnership, the name, address and phone number of the partnership, and the name, address, date of birth and phone number of one of the partners; and </w:t>
      </w:r>
    </w:p>
    <w:p>
      <w:pPr>
        <w:pStyle w:val="List2"/>
        <w:pBdr/>
        <w:spacing/>
        <w:rPr/>
      </w:pPr>
      <w:r>
        <w:rPr/>
        <w:t xml:space="preserve">3.</w:t>
      </w:r>
      <w:r>
        <w:rPr/>
        <w:tab/>
        <w:t xml:space="preserve"/>
      </w:r>
      <w:r>
        <w:rPr/>
        <w:t xml:space="preserve">If the operator is a corporation, the name, address and phone number of the corporation, the name and address of the corporation's statutory agent, and the name, address, date of birth, and phone number of one of the officers; and </w:t>
      </w:r>
    </w:p>
    <w:p>
      <w:pPr>
        <w:pStyle w:val="List2"/>
        <w:pBdr/>
        <w:spacing/>
        <w:rPr/>
      </w:pPr>
      <w:r>
        <w:rPr/>
        <w:t xml:space="preserve">4.</w:t>
      </w:r>
      <w:r>
        <w:rPr/>
        <w:tab/>
        <w:t xml:space="preserve"/>
      </w:r>
      <w:r>
        <w:rPr/>
        <w:t xml:space="preserve">If the operator is a trust, the name, address and phone number of the trust, and the name, address, date of birth, and phone number of one of the trustees. </w:t>
      </w:r>
    </w:p>
    <w:p>
      <w:pPr>
        <w:pStyle w:val="List1"/>
        <w:pBdr/>
        <w:spacing/>
        <w:rPr/>
      </w:pPr>
      <w:r>
        <w:rPr/>
        <w:t xml:space="preserve">D.</w:t>
      </w:r>
      <w:r>
        <w:rPr/>
        <w:tab/>
        <w:t xml:space="preserve"/>
      </w:r>
      <w:r>
        <w:rPr/>
        <w:t xml:space="preserve">Within thirty days of any change of information that is required on a registration form, the owner or operator of a rental unit shall contact the Department of Neighborhood Assistance, in writing, to update the information on the registration form. </w:t>
      </w:r>
    </w:p>
    <w:p>
      <w:pPr>
        <w:pStyle w:val="List1"/>
        <w:pBdr/>
        <w:spacing/>
        <w:rPr/>
      </w:pPr>
      <w:r>
        <w:rPr/>
        <w:t xml:space="preserve">E.</w:t>
      </w:r>
      <w:r>
        <w:rPr/>
        <w:tab/>
        <w:t xml:space="preserve"/>
      </w:r>
      <w:r>
        <w:rPr/>
        <w:t xml:space="preserve">No owner or operator shall fail to register, with the Department of Neighborhood Assistance, all rental units that the owner owns or that the operator operates. </w:t>
      </w:r>
    </w:p>
    <w:p>
      <w:pPr>
        <w:pStyle w:val="List1"/>
        <w:pBdr/>
        <w:spacing/>
        <w:rPr/>
      </w:pPr>
      <w:r>
        <w:rPr/>
        <w:t xml:space="preserve">F.</w:t>
      </w:r>
      <w:r>
        <w:rPr/>
        <w:tab/>
        <w:t xml:space="preserve"/>
      </w:r>
      <w:r>
        <w:rPr/>
        <w:t xml:space="preserve">No owner or operator of a rental unit shall fail to contact the Department of Neighborhood Assistance, in writing, within thirty days of any change of information that is required on a registration form, to update the information on the registration form. </w:t>
      </w:r>
    </w:p>
    <w:p>
      <w:pPr>
        <w:pStyle w:val="List1"/>
        <w:pBdr/>
        <w:spacing/>
        <w:rPr/>
      </w:pPr>
      <w:r>
        <w:rPr/>
        <w:t xml:space="preserve">G.</w:t>
      </w:r>
      <w:r>
        <w:rPr/>
        <w:tab/>
        <w:t xml:space="preserve"/>
      </w:r>
      <w:r>
        <w:rPr/>
        <w:t xml:space="preserve">A registration fee per owner or operator shall be imposed as follows: </w:t>
      </w:r>
    </w:p>
    <w:p>
      <w:pPr>
        <w:pStyle w:val="List2"/>
        <w:pBdr/>
        <w:spacing/>
        <w:rPr/>
      </w:pPr>
      <w:r>
        <w:rPr/>
        <w:t xml:space="preserve">1.</w:t>
      </w:r>
      <w:r>
        <w:rPr/>
        <w:tab/>
        <w:t xml:space="preserve"/>
      </w:r>
      <w:r>
        <w:rPr/>
        <w:t xml:space="preserve">Twenty-five dollars ($25) per unit, with a maximum fee of two thousand five hundred dollars ($2,500); and </w:t>
      </w:r>
    </w:p>
    <w:p>
      <w:pPr>
        <w:pStyle w:val="List2"/>
        <w:pBdr/>
        <w:spacing/>
        <w:rPr/>
      </w:pPr>
      <w:r>
        <w:rPr/>
        <w:t xml:space="preserve">2.</w:t>
      </w:r>
      <w:r>
        <w:rPr/>
        <w:tab/>
        <w:t xml:space="preserve"/>
      </w:r>
      <w:r>
        <w:rPr/>
        <w:t xml:space="preserve">If a registration form is filed late, an additional late fee of twenty-five dollars ($25); and </w:t>
      </w:r>
    </w:p>
    <w:p>
      <w:pPr>
        <w:pStyle w:val="List2"/>
        <w:pBdr/>
        <w:spacing/>
        <w:rPr/>
      </w:pPr>
      <w:r>
        <w:rPr/>
        <w:t xml:space="preserve">3.</w:t>
      </w:r>
      <w:r>
        <w:rPr/>
        <w:tab/>
        <w:t xml:space="preserve"/>
      </w:r>
      <w:r>
        <w:rPr/>
        <w:t xml:space="preserve">If the owner or operator becomes the owner or operator of additional rental units between registration periods, a minimum fee of twenty-five dollars ($25), with a maximum additional fee, if any, based on the fees established in this subsection. </w:t>
      </w:r>
    </w:p>
    <w:p>
      <w:pPr>
        <w:pStyle w:val="List1"/>
        <w:pBdr/>
        <w:spacing/>
        <w:rPr/>
      </w:pPr>
      <w:r>
        <w:rPr/>
        <w:t xml:space="preserve">H.</w:t>
      </w:r>
      <w:r>
        <w:rPr/>
        <w:tab/>
        <w:t xml:space="preserve"/>
      </w:r>
      <w:r>
        <w:rPr/>
        <w:t xml:space="preserve">Money collected under this section shall be used exclusively for Neighborhood Assistance including the Housing Compliance Division. </w:t>
      </w:r>
    </w:p>
    <w:p>
      <w:pPr>
        <w:pStyle w:val="List1"/>
        <w:pBdr/>
        <w:spacing/>
        <w:rPr/>
      </w:pPr>
      <w:r>
        <w:rPr/>
        <w:t xml:space="preserve">I.</w:t>
      </w:r>
      <w:r>
        <w:rPr/>
        <w:tab/>
        <w:t xml:space="preserve"/>
      </w:r>
      <w:r>
        <w:rPr/>
        <w:t xml:space="preserve">A registration form shall be valid for the current calendar year, unless: </w:t>
      </w:r>
    </w:p>
    <w:p>
      <w:pPr>
        <w:pStyle w:val="List2"/>
        <w:pBdr/>
        <w:spacing/>
        <w:rPr/>
      </w:pPr>
      <w:r>
        <w:rPr/>
        <w:t xml:space="preserve">1.</w:t>
      </w:r>
      <w:r>
        <w:rPr/>
        <w:tab/>
        <w:t xml:space="preserve"/>
      </w:r>
      <w:r>
        <w:rPr/>
        <w:t xml:space="preserve">False or incomplete information is furnished to the Department of Neighborhood Assistance in the registration form; or </w:t>
      </w:r>
    </w:p>
    <w:p>
      <w:pPr>
        <w:pStyle w:val="List2"/>
        <w:pBdr/>
        <w:spacing/>
        <w:rPr/>
      </w:pPr>
      <w:r>
        <w:rPr/>
        <w:t xml:space="preserve">2.</w:t>
      </w:r>
      <w:r>
        <w:rPr/>
        <w:tab/>
        <w:t xml:space="preserve"/>
      </w:r>
      <w:r>
        <w:rPr/>
        <w:t xml:space="preserve">A transfer of title to a rental unit has been completed. </w:t>
      </w:r>
    </w:p>
    <w:p>
      <w:pPr>
        <w:pStyle w:val="List1"/>
        <w:pBdr/>
        <w:spacing/>
        <w:rPr/>
      </w:pPr>
      <w:r>
        <w:rPr/>
        <w:t xml:space="preserve">J.</w:t>
      </w:r>
      <w:r>
        <w:rPr/>
        <w:tab/>
        <w:t xml:space="preserve"/>
      </w:r>
      <w:r>
        <w:rPr/>
        <w:t xml:space="preserve">No person, including an operator, owner, purchaser, escrow agent, real estate agent, or realtor, shall participate in a transfer of title to, or disperse proceeds from a transfer of title to, a premises without having in escrow with the escrow agent handling the transfer of title to the premises, a copy of a registration form completed by the purchaser of the premises, or a statement from the purchaser that the premises contains only one dwelling unit, and will be occupied by the purchaser for one year after the transfer of title. The escrowed document shall be forwarded to the Department of Neighborhood Assistance upon the transfer of title. </w:t>
      </w:r>
    </w:p>
    <w:p>
      <w:pPr>
        <w:pStyle w:val="HistoryNote"/>
        <w:pBdr/>
        <w:spacing/>
        <w:rPr/>
      </w:pPr>
      <w:r>
        <w:rPr>
          <w:rStyle w:val="HistoryNote"/>
        </w:rPr>
        <w:t xml:space="preserve">(Ord. 708-1997; Ord. 769-1996)</w:t>
      </w:r>
    </w:p>
    <w:p>
      <w:pPr>
        <w:pStyle w:val="HistoryNote"/>
        <w:pBdr/>
        <w:spacing/>
        <w:rPr/>
      </w:pPr>
      <w:r>
        <w:rPr>
          <w:rStyle w:val="HistoryNote"/>
        </w:rPr>
        <w:t xml:space="preserve">(Ord. 14-2010; Ord. 380-2011; Ord. 210-2012; Ord. 415-2016; Ord. 429-2025)</w:t>
      </w:r>
    </w:p>
    <w:p>
      <w:pPr>
        <w:pBdr/>
        <w:spacing w:before="0" w:after="0"/>
        <w:rPr/>
        <w:sectPr>
          <w:headerReference w:type="default" r:id="rId59"/>
          <w:footerReference w:type="default" r:id="rId6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150.31</w:t>
      </w:r>
      <w:r>
        <w:rPr/>
        <w:t xml:space="preserve"> </w:t>
      </w:r>
      <w:r>
        <w:rPr/>
        <w:t xml:space="preserve">Transfer of registration.</w:t>
      </w:r>
    </w:p>
    <w:p>
      <w:pPr>
        <w:pStyle w:val="Paragraph1"/>
        <w:pBdr/>
        <w:spacing/>
        <w:rPr/>
      </w:pPr>
      <w:r>
        <w:rPr>
          <w:rStyle w:val="Paragraph1"/>
        </w:rPr>
        <w:t xml:space="preserve">A registration form may not be transferred to the purchaser of a premises with a rental unit, and shall be void upon the completion of transfer of title to the premises. </w:t>
      </w:r>
    </w:p>
    <w:p>
      <w:pPr>
        <w:pStyle w:val="HistoryNote"/>
        <w:pBdr/>
        <w:spacing/>
        <w:rPr/>
      </w:pPr>
      <w:r>
        <w:rPr>
          <w:rStyle w:val="HistoryNote"/>
        </w:rPr>
        <w:t xml:space="preserve">(Ord. 708-1997; Ord. 769-1996)</w:t>
      </w:r>
    </w:p>
    <w:p>
      <w:pPr>
        <w:pBdr/>
        <w:spacing w:before="0" w:after="0"/>
        <w:rPr/>
        <w:sectPr>
          <w:headerReference w:type="default" r:id="rId61"/>
          <w:footerReference w:type="default" r:id="rId6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150.32</w:t>
      </w:r>
      <w:r>
        <w:rPr/>
        <w:t xml:space="preserve"> </w:t>
      </w:r>
      <w:r>
        <w:rPr/>
        <w:t xml:space="preserve">Duty of owner to disclose notice of violations to buyer.</w:t>
      </w:r>
    </w:p>
    <w:p>
      <w:pPr>
        <w:pStyle w:val="List1"/>
        <w:pBdr/>
        <w:spacing/>
        <w:rPr/>
      </w:pPr>
      <w:r>
        <w:rPr/>
        <w:t xml:space="preserve">A.</w:t>
      </w:r>
      <w:r>
        <w:rPr/>
        <w:tab/>
        <w:t xml:space="preserve"/>
      </w:r>
      <w:r>
        <w:rPr/>
        <w:t xml:space="preserve">The owner of any property who has received written notice pursuant to Sections </w:t>
      </w:r>
      <w:r>
        <w:rPr/>
        <w:t xml:space="preserve">150.03</w:t>
      </w:r>
      <w:r>
        <w:rPr/>
        <w:t xml:space="preserve"> or </w:t>
      </w:r>
      <w:r>
        <w:rPr/>
        <w:t xml:space="preserve">150.031</w:t>
      </w:r>
      <w:r>
        <w:rPr/>
        <w:t xml:space="preserve"> of this chapter that the property is in violation of the Housing Code shall give the purchaser or grantee of the property written notice of the code violations prior to entering into an agreement for the transfer of title to the property, or if the owner does not enter into a written agreement for the transfer or subsequently receives notice of code violations, prior to the filing for record of a deed to the property. </w:t>
      </w:r>
    </w:p>
    <w:p>
      <w:pPr>
        <w:pStyle w:val="List1"/>
        <w:pBdr/>
        <w:spacing/>
        <w:rPr/>
      </w:pPr>
      <w:r>
        <w:rPr/>
        <w:t xml:space="preserve">B.</w:t>
      </w:r>
      <w:r>
        <w:rPr/>
        <w:tab/>
        <w:t xml:space="preserve"/>
      </w:r>
      <w:r>
        <w:rPr/>
        <w:t xml:space="preserve">The owner shall obtain written acknowledgement from the purchaser or grantee of the written notice of the code violations required in subsection (A), including a residential property disclosure form as required by O.R.C. § 5302.30, if applicable. </w:t>
      </w:r>
    </w:p>
    <w:p>
      <w:pPr>
        <w:pStyle w:val="List1"/>
        <w:pBdr/>
        <w:spacing/>
        <w:rPr/>
      </w:pPr>
      <w:r>
        <w:rPr/>
        <w:t xml:space="preserve">C.</w:t>
      </w:r>
      <w:r>
        <w:rPr/>
        <w:tab/>
        <w:t xml:space="preserve"/>
      </w:r>
      <w:r>
        <w:rPr/>
        <w:t xml:space="preserve">The transfer of title to, or any interest in, real property in which a Housing Code violation exists shall not be grounds for dismissal of charges in any court against a previous owner of the real property for failure to comply with a notice for correction of a Housing Code violation. </w:t>
      </w:r>
    </w:p>
    <w:p>
      <w:pPr>
        <w:pStyle w:val="List1"/>
        <w:pBdr/>
        <w:spacing/>
        <w:rPr/>
      </w:pPr>
      <w:r>
        <w:rPr/>
        <w:t xml:space="preserve">D.</w:t>
      </w:r>
      <w:r>
        <w:rPr/>
        <w:tab/>
        <w:t xml:space="preserve"/>
      </w:r>
      <w:r>
        <w:rPr/>
        <w:t xml:space="preserve">Notwithstanding the failure of an owner to provide notice pursuant to subsection (A), the notice of violation to the owner is notice to all subsequent purchasers, transferees or other persons who acquire any interest in the real property in which the violation exists, and may be enforced against their interest in the real property without further notice or order to them. </w:t>
      </w:r>
    </w:p>
    <w:p>
      <w:pPr>
        <w:pStyle w:val="HistoryNote"/>
        <w:pBdr/>
        <w:spacing/>
        <w:rPr/>
      </w:pPr>
      <w:r>
        <w:rPr>
          <w:rStyle w:val="HistoryNote"/>
        </w:rPr>
        <w:t xml:space="preserve">(Ord. 70-2013)</w:t>
      </w:r>
    </w:p>
    <w:p>
      <w:pPr>
        <w:pBdr/>
        <w:spacing w:before="0" w:after="0"/>
        <w:rPr/>
        <w:sectPr>
          <w:headerReference w:type="default" r:id="rId63"/>
          <w:footerReference w:type="default" r:id="rId6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150.33</w:t>
      </w:r>
      <w:r>
        <w:rPr/>
        <w:t xml:space="preserve"> </w:t>
      </w:r>
      <w:r>
        <w:rPr/>
        <w:t xml:space="preserve">Duty of owner to disclose notice of violations to occupant and prospective occupant.</w:t>
      </w:r>
    </w:p>
    <w:p>
      <w:pPr>
        <w:pStyle w:val="List1"/>
        <w:pBdr/>
        <w:spacing/>
        <w:rPr/>
      </w:pPr>
      <w:r>
        <w:rPr/>
        <w:t xml:space="preserve">A.</w:t>
      </w:r>
      <w:r>
        <w:rPr/>
        <w:tab/>
        <w:t xml:space="preserve"/>
      </w:r>
      <w:r>
        <w:rPr/>
        <w:t xml:space="preserve">The owner of any rental unit who has received written notice pursuant to Sections </w:t>
      </w:r>
      <w:r>
        <w:rPr/>
        <w:t xml:space="preserve">150.03</w:t>
      </w:r>
      <w:r>
        <w:rPr/>
        <w:t xml:space="preserve"> or </w:t>
      </w:r>
      <w:r>
        <w:rPr/>
        <w:t xml:space="preserve">150.031</w:t>
      </w:r>
      <w:r>
        <w:rPr/>
        <w:t xml:space="preserve"> of this chapter that the property is in violation of the housing code shall, within fourteen (14) days of receipt, give an occupant of the property written notice of the violations or, if the notice of violations is pending when a new tenancy is created, then the written notice of the violations shall be provided to a prospective occupant prior to entering into a written lease agreement, or if no written lease agreement is entered into, then prior to accepting any payment related to the occupancy of the property. </w:t>
      </w:r>
    </w:p>
    <w:p>
      <w:pPr>
        <w:pStyle w:val="List1"/>
        <w:pBdr/>
        <w:spacing/>
        <w:rPr/>
      </w:pPr>
      <w:r>
        <w:rPr/>
        <w:t xml:space="preserve">B.</w:t>
      </w:r>
      <w:r>
        <w:rPr/>
        <w:tab/>
        <w:t xml:space="preserve"/>
      </w:r>
      <w:r>
        <w:rPr/>
        <w:t xml:space="preserve">The owner shall obtain written acknowledgement of receipt of the written notice of violations required in subsection (A). </w:t>
      </w:r>
    </w:p>
    <w:p>
      <w:pPr>
        <w:pStyle w:val="List1"/>
        <w:pBdr/>
        <w:spacing/>
        <w:rPr/>
      </w:pPr>
      <w:r>
        <w:rPr/>
        <w:t xml:space="preserve">C.</w:t>
      </w:r>
      <w:r>
        <w:rPr/>
        <w:tab/>
        <w:t xml:space="preserve"/>
      </w:r>
      <w:r>
        <w:rPr/>
        <w:t xml:space="preserve">Upon inspection and approval of repair of each and every violation of the Akron Housing Code by the Akron Housing Inspector, the notice required by subsection (A) shall cease. </w:t>
      </w:r>
    </w:p>
    <w:p>
      <w:pPr>
        <w:pStyle w:val="HistoryNote"/>
        <w:pBdr/>
        <w:spacing/>
        <w:rPr/>
      </w:pPr>
      <w:r>
        <w:rPr>
          <w:rStyle w:val="HistoryNote"/>
        </w:rPr>
        <w:t xml:space="preserve">(Ord. 378-2015)</w:t>
      </w:r>
    </w:p>
    <w:p>
      <w:pPr>
        <w:pBdr/>
        <w:spacing w:before="0" w:after="0"/>
        <w:rPr/>
        <w:sectPr>
          <w:headerReference w:type="default" r:id="rId65"/>
          <w:footerReference w:type="default" r:id="rId6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150.40</w:t>
      </w:r>
      <w:r>
        <w:rPr/>
        <w:t xml:space="preserve"> </w:t>
      </w:r>
      <w:r>
        <w:rPr/>
        <w:t xml:space="preserve">Rental unit mandatory inspection required.</w:t>
      </w:r>
    </w:p>
    <w:p>
      <w:pPr>
        <w:pStyle w:val="List1"/>
        <w:pBdr/>
        <w:spacing/>
        <w:rPr/>
      </w:pPr>
      <w:r>
        <w:rPr/>
        <w:t xml:space="preserve">A.</w:t>
      </w:r>
      <w:r>
        <w:rPr/>
        <w:tab/>
        <w:t xml:space="preserve"/>
      </w:r>
      <w:r>
        <w:rPr/>
        <w:t xml:space="preserve">The owner or operator of a premises with a rental unit shall have the interior and exterior of the premises, its structures and its rental units inspected at least semi-annually, for a minimum of four years, to determine compliance with the Health, Safety and Sanitation Code, Litter Code, Housing Code, and Zoning Code, under the following circumstances: </w:t>
      </w:r>
    </w:p>
    <w:p>
      <w:pPr>
        <w:pStyle w:val="List2"/>
        <w:pBdr/>
        <w:spacing/>
        <w:rPr/>
      </w:pPr>
      <w:r>
        <w:rPr/>
        <w:t xml:space="preserve">1.</w:t>
      </w:r>
      <w:r>
        <w:rPr/>
        <w:tab/>
        <w:t xml:space="preserve"/>
      </w:r>
      <w:r>
        <w:rPr/>
        <w:t xml:space="preserve">If two or more notices and orders to comply have been issued to the owner or operator pursuant to Section </w:t>
      </w:r>
      <w:r>
        <w:rPr/>
        <w:t xml:space="preserve">150.03</w:t>
      </w:r>
      <w:r>
        <w:rPr/>
        <w:t xml:space="preserve"> or Section </w:t>
      </w:r>
      <w:r>
        <w:rPr/>
        <w:t xml:space="preserve">150.031</w:t>
      </w:r>
      <w:r>
        <w:rPr/>
        <w:t xml:space="preserve"> of this chapter, within any two-year period, concerning the same premises, and have not been complied within the time provided in the notices and orders to comply, the premises that was the subject of the notices and orders to comply shall be subject to semi-annual mandatory inspections as specified in this section; </w:t>
      </w:r>
    </w:p>
    <w:p>
      <w:pPr>
        <w:pStyle w:val="List2"/>
        <w:pBdr/>
        <w:spacing/>
        <w:rPr/>
      </w:pPr>
      <w:r>
        <w:rPr/>
        <w:t xml:space="preserve">2.</w:t>
      </w:r>
      <w:r>
        <w:rPr/>
        <w:tab/>
        <w:t xml:space="preserve"/>
      </w:r>
      <w:r>
        <w:rPr/>
        <w:t xml:space="preserve">If the owner or operator has been convicted of a violation of this chapter, all premises and structures with a rental unit that the owner owns or that the operator operates shall be subject to semi-annual mandatory inspections as specified in this section; and </w:t>
      </w:r>
    </w:p>
    <w:p>
      <w:pPr>
        <w:pStyle w:val="List2"/>
        <w:pBdr/>
        <w:spacing/>
        <w:rPr/>
      </w:pPr>
      <w:r>
        <w:rPr/>
        <w:t xml:space="preserve">3.</w:t>
      </w:r>
      <w:r>
        <w:rPr/>
        <w:tab/>
        <w:t xml:space="preserve"/>
      </w:r>
      <w:r>
        <w:rPr/>
        <w:t xml:space="preserve">If the owner or operator has had a premises ordered razed by the Housing Appeals Board pursuant to Section </w:t>
      </w:r>
      <w:r>
        <w:rPr/>
        <w:t xml:space="preserve">150.051</w:t>
      </w:r>
      <w:r>
        <w:rPr/>
        <w:t xml:space="preserve"> of this chapter, all premises and structures with a rental unit that the owner owns or that the operator operates shall be subject to semi-annual mandatory inspections as specified in this section. </w:t>
      </w:r>
    </w:p>
    <w:p>
      <w:pPr>
        <w:pStyle w:val="List1"/>
        <w:pBdr/>
        <w:spacing/>
        <w:rPr/>
      </w:pPr>
      <w:r>
        <w:rPr/>
        <w:t xml:space="preserve">B.</w:t>
      </w:r>
      <w:r>
        <w:rPr/>
        <w:tab/>
        <w:t xml:space="preserve"/>
      </w:r>
      <w:r>
        <w:rPr/>
        <w:t xml:space="preserve">A notice and order to comply that is outstanding on or after December 22, 1996, or that is issued subsequent to November 22, 1996, may constitute an uncomplied notice and order to comply for purposes of enforcement of the semi-annual mandatory inspections required by subsection (A)(1) of this section. </w:t>
      </w:r>
    </w:p>
    <w:p>
      <w:pPr>
        <w:pStyle w:val="List1"/>
        <w:pBdr/>
        <w:spacing/>
        <w:rPr/>
      </w:pPr>
      <w:r>
        <w:rPr/>
        <w:t xml:space="preserve">C.</w:t>
      </w:r>
      <w:r>
        <w:rPr/>
        <w:tab/>
        <w:t xml:space="preserve"/>
      </w:r>
      <w:r>
        <w:rPr/>
        <w:t xml:space="preserve">A conviction that was obtained on or after November 22, 1995 shall constitute a conviction for purposes of enforcement of the semi-annual mandatory inspections required by subsection (A)(2) of this section. </w:t>
      </w:r>
    </w:p>
    <w:p>
      <w:pPr>
        <w:pStyle w:val="List1"/>
        <w:pBdr/>
        <w:spacing/>
        <w:rPr/>
      </w:pPr>
      <w:r>
        <w:rPr/>
        <w:t xml:space="preserve">D.</w:t>
      </w:r>
      <w:r>
        <w:rPr/>
        <w:tab/>
        <w:t xml:space="preserve"/>
      </w:r>
      <w:r>
        <w:rPr/>
        <w:t xml:space="preserve">A raze order that the Board issued on or after November 22, 1996 shall constitute a raze order for purposes of enforcement of the semi-annual mandatory inspections required by subsection (A)(3) of this section. </w:t>
      </w:r>
    </w:p>
    <w:p>
      <w:pPr>
        <w:pStyle w:val="List1"/>
        <w:pBdr/>
        <w:spacing/>
        <w:rPr/>
      </w:pPr>
      <w:r>
        <w:rPr/>
        <w:t xml:space="preserve">E.</w:t>
      </w:r>
      <w:r>
        <w:rPr/>
        <w:tab/>
        <w:t xml:space="preserve"/>
      </w:r>
      <w:r>
        <w:rPr/>
        <w:t xml:space="preserve">No owner or operator of a premises with a rental unit shall fail to obtain a rental unit mandatory inspection from the Department of Neighborhood Assistance when the provisions of this section require a rental unit mandatory inspection. </w:t>
      </w:r>
    </w:p>
    <w:p>
      <w:pPr>
        <w:pStyle w:val="List1"/>
        <w:pBdr/>
        <w:spacing/>
        <w:rPr/>
      </w:pPr>
      <w:r>
        <w:rPr/>
        <w:t xml:space="preserve">F.</w:t>
      </w:r>
      <w:r>
        <w:rPr/>
        <w:tab/>
        <w:t xml:space="preserve"/>
      </w:r>
      <w:r>
        <w:rPr/>
        <w:t xml:space="preserve">A rental unit mandatory inspection fee, per rental unit, which shall include the first two inspections, shall be imposed as follows: </w:t>
      </w:r>
    </w:p>
    <w:p>
      <w:pPr>
        <w:pStyle w:val="List2"/>
        <w:pBdr/>
        <w:spacing/>
        <w:rPr/>
      </w:pPr>
      <w:r>
        <w:rPr/>
        <w:t xml:space="preserve">1.</w:t>
      </w:r>
      <w:r>
        <w:rPr/>
        <w:tab/>
        <w:t xml:space="preserve"/>
      </w:r>
      <w:r>
        <w:rPr/>
        <w:t xml:space="preserve">A fee of two hundred dollars for a premises with one rental unit; </w:t>
      </w:r>
    </w:p>
    <w:p>
      <w:pPr>
        <w:pStyle w:val="List2"/>
        <w:pBdr/>
        <w:spacing/>
        <w:rPr/>
      </w:pPr>
      <w:r>
        <w:rPr/>
        <w:t xml:space="preserve">2.</w:t>
      </w:r>
      <w:r>
        <w:rPr/>
        <w:tab/>
        <w:t xml:space="preserve"/>
      </w:r>
      <w:r>
        <w:rPr/>
        <w:t xml:space="preserve">A fee of two hundred fifty dollars for a premises with two rental units; </w:t>
      </w:r>
    </w:p>
    <w:p>
      <w:pPr>
        <w:pStyle w:val="List2"/>
        <w:pBdr/>
        <w:spacing/>
        <w:rPr/>
      </w:pPr>
      <w:r>
        <w:rPr/>
        <w:t xml:space="preserve">3.</w:t>
      </w:r>
      <w:r>
        <w:rPr/>
        <w:tab/>
        <w:t xml:space="preserve"/>
      </w:r>
      <w:r>
        <w:rPr/>
        <w:t xml:space="preserve">A fee of three hundred dollars for a premises with three rental units; </w:t>
      </w:r>
    </w:p>
    <w:p>
      <w:pPr>
        <w:pStyle w:val="List2"/>
        <w:pBdr/>
        <w:spacing/>
        <w:rPr/>
      </w:pPr>
      <w:r>
        <w:rPr/>
        <w:t xml:space="preserve">4.</w:t>
      </w:r>
      <w:r>
        <w:rPr/>
        <w:tab/>
        <w:t xml:space="preserve"/>
      </w:r>
      <w:r>
        <w:rPr/>
        <w:t xml:space="preserve">A fee of three hundred fifty dollars for a premises with four rental units; and </w:t>
      </w:r>
    </w:p>
    <w:p>
      <w:pPr>
        <w:pStyle w:val="List2"/>
        <w:pBdr/>
        <w:spacing/>
        <w:rPr/>
      </w:pPr>
      <w:r>
        <w:rPr/>
        <w:t xml:space="preserve">5.</w:t>
      </w:r>
      <w:r>
        <w:rPr/>
        <w:tab/>
        <w:t xml:space="preserve"/>
      </w:r>
      <w:r>
        <w:rPr/>
        <w:t xml:space="preserve">A fee of four hundred dollars for the first rental unit on a premises with five or more rental units, and a fee of twenty-five dollars per rental unit for each additional rental unit on the premises. </w:t>
      </w:r>
    </w:p>
    <w:p>
      <w:pPr>
        <w:pStyle w:val="List1"/>
        <w:pBdr/>
        <w:spacing/>
        <w:rPr/>
      </w:pPr>
      <w:r>
        <w:rPr/>
        <w:t xml:space="preserve">G.</w:t>
      </w:r>
      <w:r>
        <w:rPr/>
        <w:tab/>
        <w:t xml:space="preserve"/>
      </w:r>
      <w:r>
        <w:rPr/>
        <w:t xml:space="preserve">A rental unit mandatory inspection re-inspection fee, per rental unit, for each re-inspection semi-annually subsequent to the first two inspections semi-annually, per rental unit, shall be imposed in the amount of seventy-five dollars. </w:t>
      </w:r>
    </w:p>
    <w:p>
      <w:pPr>
        <w:pStyle w:val="List1"/>
        <w:pBdr/>
        <w:spacing/>
        <w:rPr/>
      </w:pPr>
      <w:r>
        <w:rPr/>
        <w:t xml:space="preserve">H.</w:t>
      </w:r>
      <w:r>
        <w:rPr/>
        <w:tab/>
        <w:t xml:space="preserve"/>
      </w:r>
      <w:r>
        <w:rPr/>
        <w:t xml:space="preserve">If a person, occupant, operator, owner or purchaser fails, neglects or refuses to pay a rental unit inspection or re-inspection fee required by subsections (F) or (G) of this section within the time ordered pursuant to Section </w:t>
      </w:r>
      <w:r>
        <w:rPr/>
        <w:t xml:space="preserve">150.03</w:t>
      </w:r>
      <w:r>
        <w:rPr/>
        <w:t xml:space="preserve"> of this chapter, then the Director of Neighborhood Assistance shall so notify the Director of Finance. The Director of Finance shall certify the administrative fee to the County Auditor. In addition to the administrative fee, an interest rate equal to the current rate of interest charged by the City on special assessments shall be imposed by the City for the life of the administrative fee, added to the administrative fee, and collected as provided in this section. The Director of Finance shall then certify the amount of the administrative fee, including interest, to the County Auditor. The County Auditor shall enter the amount on the tax duplicate of the county as a special assessment against the person's real estate at issue. </w:t>
      </w:r>
    </w:p>
    <w:p>
      <w:pPr>
        <w:pStyle w:val="List1"/>
        <w:pBdr/>
        <w:spacing/>
        <w:rPr/>
      </w:pPr>
      <w:r>
        <w:rPr/>
        <w:t xml:space="preserve">I.</w:t>
      </w:r>
      <w:r>
        <w:rPr/>
        <w:tab/>
        <w:t xml:space="preserve"/>
      </w:r>
      <w:r>
        <w:rPr/>
        <w:t xml:space="preserve">Money collected under this section shall be used exclusively for Neighborhood Assistance including the Housing Compliance Division. </w:t>
      </w:r>
    </w:p>
    <w:p>
      <w:pPr>
        <w:pStyle w:val="HistoryNote"/>
        <w:pBdr/>
        <w:spacing/>
        <w:rPr/>
      </w:pPr>
      <w:r>
        <w:rPr>
          <w:rStyle w:val="HistoryNote"/>
        </w:rPr>
        <w:t xml:space="preserve">(Ord. 708-1997; Ord. 769-1996)</w:t>
      </w:r>
    </w:p>
    <w:p>
      <w:pPr>
        <w:pStyle w:val="HistoryNote"/>
        <w:pBdr/>
        <w:spacing/>
        <w:rPr/>
      </w:pPr>
      <w:r>
        <w:rPr>
          <w:rStyle w:val="HistoryNote"/>
        </w:rPr>
        <w:t xml:space="preserve">(Ord. 14-2010; Ord. 380-2011; Ord. 210-2012; Ord. 429-2025)</w:t>
      </w:r>
    </w:p>
    <w:p>
      <w:pPr>
        <w:pBdr/>
        <w:spacing w:before="0" w:after="0"/>
        <w:rPr/>
        <w:sectPr>
          <w:headerReference w:type="default" r:id="rId67"/>
          <w:footerReference w:type="default" r:id="rId6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150.50</w:t>
      </w:r>
      <w:r>
        <w:rPr/>
        <w:t xml:space="preserve"> </w:t>
      </w:r>
      <w:r>
        <w:rPr/>
        <w:t xml:space="preserve">Operator required.</w:t>
      </w:r>
    </w:p>
    <w:p>
      <w:pPr>
        <w:pStyle w:val="Paragraph1"/>
        <w:pBdr/>
        <w:spacing/>
        <w:rPr/>
      </w:pPr>
      <w:r>
        <w:rPr>
          <w:rStyle w:val="Paragraph1"/>
        </w:rPr>
        <w:t xml:space="preserve">The owner of a rental unit who does not reside in, have a place of business in, or have a street mailing address in Summit County or a contiguous county, shall have an operator who resides in, has a place of business in, or has a street mailing address in Summit County or a contiguous county. </w:t>
      </w:r>
    </w:p>
    <w:p>
      <w:pPr>
        <w:pStyle w:val="HistoryNote"/>
        <w:pBdr/>
        <w:spacing/>
        <w:rPr/>
      </w:pPr>
      <w:r>
        <w:rPr>
          <w:rStyle w:val="HistoryNote"/>
        </w:rPr>
        <w:t xml:space="preserve">(Ord. 708-1997; Ord. 769-1996)</w:t>
      </w:r>
    </w:p>
    <w:p>
      <w:pPr>
        <w:pBdr/>
        <w:spacing w:before="0" w:after="0"/>
        <w:rPr/>
        <w:sectPr>
          <w:headerReference w:type="default" r:id="rId69"/>
          <w:footerReference w:type="default" r:id="rId7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150.51</w:t>
      </w:r>
      <w:r>
        <w:rPr/>
        <w:t xml:space="preserve"> </w:t>
      </w:r>
      <w:r>
        <w:rPr/>
        <w:t xml:space="preserve">Tenant's affirmative defense after attempting to tender rent.</w:t>
      </w:r>
    </w:p>
    <w:p>
      <w:pPr>
        <w:pStyle w:val="List1"/>
        <w:pBdr/>
        <w:spacing/>
        <w:rPr/>
      </w:pPr>
      <w:r>
        <w:rPr/>
        <w:t xml:space="preserve">A.</w:t>
      </w:r>
      <w:r>
        <w:rPr/>
        <w:tab/>
        <w:t xml:space="preserve"/>
      </w:r>
      <w:r>
        <w:rPr/>
        <w:t xml:space="preserve">Prior to the Filing of an Eviction Action. If a tenant of a residential premises, or someone or an agency on their behalf, tenders all past due rent with reasonable late fees to the landlord prior to the filing of an action pursuant to Ohio Revised Code Chapter 1923 and the landlord refuses to accept such tender, the tenant's attempted tender of all past due rent with reasonable late fees shall be an affirmative defense to any action filed by the landlord against the tenant for nonpayment of rent. </w:t>
      </w:r>
    </w:p>
    <w:p>
      <w:pPr>
        <w:pStyle w:val="List1"/>
        <w:pBdr/>
        <w:spacing/>
        <w:rPr/>
      </w:pPr>
      <w:r>
        <w:rPr/>
        <w:t xml:space="preserve">B.</w:t>
      </w:r>
      <w:r>
        <w:rPr/>
        <w:tab/>
        <w:t xml:space="preserve"/>
      </w:r>
      <w:r>
        <w:rPr/>
        <w:t xml:space="preserve">Prior to an Eviction Judgment. If a tenant of a residential premises, or someone or an agency on their behalf, tenders all past due rent with reasonable late fees and court costs to the landlord prior to a judgment and the landlord refuses to accept such tender, the tenant's attempted tender of all past due rent, reasonable late fees and court costs shall be an affirmative defense to the eviction action filed by the landlord against the tenant for nonpayment of rent. </w:t>
      </w:r>
    </w:p>
    <w:p>
      <w:pPr>
        <w:pStyle w:val="List2"/>
        <w:pBdr/>
        <w:spacing/>
        <w:rPr/>
      </w:pPr>
      <w:r>
        <w:rPr/>
        <w:t xml:space="preserve">1.</w:t>
      </w:r>
      <w:r>
        <w:rPr/>
        <w:tab/>
        <w:t xml:space="preserve"/>
      </w:r>
      <w:r>
        <w:rPr/>
        <w:t xml:space="preserve">For purposes of this section, a tenant's tender after an action under Ohio Revised Code Chapter 1923 is filed may be satisfied if tenant places a payment in full, including all past due rent with reasonable late fees, court costs, and applicable escrow fees, in escrow with the Akron Municipal Court prior to the date of trial. Tenant shall not be responsible for landlord's attorney's fees. </w:t>
      </w:r>
    </w:p>
    <w:p>
      <w:pPr>
        <w:pStyle w:val="List1"/>
        <w:pBdr/>
        <w:spacing/>
        <w:rPr/>
      </w:pPr>
      <w:r>
        <w:rPr/>
        <w:t xml:space="preserve">C.</w:t>
      </w:r>
      <w:r>
        <w:rPr/>
        <w:tab/>
        <w:t xml:space="preserve"/>
      </w:r>
      <w:r>
        <w:rPr/>
        <w:t xml:space="preserve">Limitation of Affirmative Defense. Tenant's right to utilize the affirmative defenses under either paragraph A or B of this section shall be limited to one use per calendar year. Nothing in this section shall limit the rights of a tenant to raise any other defenses and the Akron Municipal Court's consideration of those defenses more than once in a calendar year. The affirmative defenses set forth in paragraphs A and B shall be available to tenants of residential premises only. </w:t>
      </w:r>
    </w:p>
    <w:p>
      <w:pPr>
        <w:pStyle w:val="List1"/>
        <w:pBdr/>
        <w:spacing/>
        <w:rPr/>
      </w:pPr>
      <w:r>
        <w:rPr/>
        <w:t xml:space="preserve">D.</w:t>
      </w:r>
      <w:r>
        <w:rPr/>
        <w:tab/>
        <w:t xml:space="preserve"/>
      </w:r>
      <w:r>
        <w:rPr/>
        <w:t xml:space="preserve">Other Causes for Eviction. This section in no way limits the ability of a landlord to initiate an eviction action for reasons other than solely for non-payment of rent. </w:t>
      </w:r>
    </w:p>
    <w:p>
      <w:pPr>
        <w:pStyle w:val="HistoryNote"/>
        <w:pBdr/>
        <w:spacing/>
        <w:rPr/>
      </w:pPr>
      <w:r>
        <w:rPr>
          <w:rStyle w:val="HistoryNote"/>
        </w:rPr>
        <w:t xml:space="preserve">(Ord. 111-2021)</w:t>
      </w:r>
    </w:p>
    <w:p>
      <w:pPr>
        <w:pBdr/>
        <w:spacing w:before="0" w:after="0"/>
        <w:rPr/>
        <w:sectPr>
          <w:headerReference w:type="default" r:id="rId71"/>
          <w:footerReference w:type="default" r:id="rId7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150.52</w:t>
      </w:r>
      <w:r>
        <w:rPr/>
        <w:t xml:space="preserve"> </w:t>
      </w:r>
      <w:r>
        <w:rPr/>
        <w:t xml:space="preserve">Reasonable fees for late payment of rent.</w:t>
      </w:r>
    </w:p>
    <w:p>
      <w:pPr>
        <w:pStyle w:val="Paragraph1"/>
        <w:pBdr/>
        <w:spacing/>
        <w:rPr/>
      </w:pPr>
      <w:r>
        <w:rPr>
          <w:rStyle w:val="Paragraph1"/>
        </w:rPr>
        <w:t xml:space="preserve">If a rental agreement includes a provision that authorizes the landlord to assess the tenant a fee for late payment of the monthly rent, the total amount of that late payment fee for any month may not exceed the larger of: (i) twenty-five dollars; or (ii) eight percent of the monthly contract rent. </w:t>
      </w:r>
    </w:p>
    <w:p>
      <w:pPr>
        <w:pStyle w:val="HistoryNote"/>
        <w:pBdr/>
        <w:spacing/>
        <w:rPr/>
      </w:pPr>
      <w:r>
        <w:rPr>
          <w:rStyle w:val="HistoryNote"/>
        </w:rPr>
        <w:t xml:space="preserve">(Ord. 111-2021)</w:t>
      </w:r>
    </w:p>
    <w:p>
      <w:pPr>
        <w:pBdr/>
        <w:spacing w:before="0" w:after="0"/>
        <w:rPr/>
        <w:sectPr>
          <w:headerReference w:type="default" r:id="rId73"/>
          <w:footerReference w:type="default" r:id="rId7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150.99</w:t>
      </w:r>
      <w:r>
        <w:rPr/>
        <w:t xml:space="preserve"> </w:t>
      </w:r>
      <w:r>
        <w:rPr/>
        <w:t xml:space="preserve">Penalty.</w:t>
      </w:r>
    </w:p>
    <w:p>
      <w:pPr>
        <w:pStyle w:val="List1"/>
        <w:pBdr/>
        <w:spacing/>
        <w:rPr/>
      </w:pPr>
      <w:r>
        <w:rPr/>
        <w:t xml:space="preserve">A.</w:t>
      </w:r>
      <w:r>
        <w:rPr/>
        <w:tab/>
        <w:t xml:space="preserve"/>
      </w:r>
      <w:r>
        <w:rPr/>
        <w:t xml:space="preserve">Administrative Penalties. In addition to any criminal penalties that may be imposed pursuant to subsection D of this section, any person, occupant, operator, owner or purchaser who violates or fails to comply with any of the provisions of this chapter shall be subject to following administrative penalties in accordance with the criteria stated in Section </w:t>
      </w:r>
      <w:r>
        <w:rPr/>
        <w:t xml:space="preserve">150.03</w:t>
      </w:r>
      <w:r>
        <w:rPr/>
        <w:t xml:space="preserve">(B) of this chapter: </w:t>
      </w:r>
    </w:p>
    <w:p>
      <w:pPr>
        <w:pStyle w:val="List2"/>
        <w:pBdr/>
        <w:spacing/>
        <w:rPr/>
      </w:pPr>
      <w:r>
        <w:rPr/>
        <w:t xml:space="preserve">1.</w:t>
      </w:r>
      <w:r>
        <w:rPr/>
        <w:tab/>
        <w:t xml:space="preserve"/>
      </w:r>
      <w:r>
        <w:rPr/>
        <w:t xml:space="preserve">For a first offense, an administrative fine of up to two hundred dollars. </w:t>
      </w:r>
    </w:p>
    <w:p>
      <w:pPr>
        <w:pStyle w:val="List2"/>
        <w:pBdr/>
        <w:spacing/>
        <w:rPr/>
      </w:pPr>
      <w:r>
        <w:rPr/>
        <w:t xml:space="preserve">2.</w:t>
      </w:r>
      <w:r>
        <w:rPr/>
        <w:tab/>
        <w:t xml:space="preserve"/>
      </w:r>
      <w:r>
        <w:rPr/>
        <w:t xml:space="preserve">For a second offense, an administrative fine of up to one thousand dollars. </w:t>
      </w:r>
    </w:p>
    <w:p>
      <w:pPr>
        <w:pStyle w:val="List2"/>
        <w:pBdr/>
        <w:spacing/>
        <w:rPr/>
      </w:pPr>
      <w:r>
        <w:rPr/>
        <w:t xml:space="preserve">3.</w:t>
      </w:r>
      <w:r>
        <w:rPr/>
        <w:tab/>
        <w:t xml:space="preserve"/>
      </w:r>
      <w:r>
        <w:rPr/>
        <w:t xml:space="preserve">For a third offense or subsequent offense, an administrative fine of up to two thousand dollars. </w:t>
      </w:r>
    </w:p>
    <w:p>
      <w:pPr>
        <w:pStyle w:val="List1"/>
        <w:pBdr/>
        <w:spacing/>
        <w:rPr/>
      </w:pPr>
      <w:r>
        <w:rPr/>
        <w:t xml:space="preserve">B.</w:t>
      </w:r>
      <w:r>
        <w:rPr/>
        <w:tab/>
        <w:t xml:space="preserve"/>
      </w:r>
      <w:r>
        <w:rPr/>
        <w:t xml:space="preserve">If a person, occupant, operator, owner or purchaser fails, neglects or refuses to pay an administrative penalty within the time ordered pursuant to Section </w:t>
      </w:r>
      <w:r>
        <w:rPr/>
        <w:t xml:space="preserve">150.03</w:t>
      </w:r>
      <w:r>
        <w:rPr/>
        <w:t xml:space="preserve"> of this chapter, then the Director of Neighborhood Assistance shall so notify the Director of Finance. The Director of Finance shall certify the administrative penalty to the County Auditor. In addition to the administrative penalty, an interest rate equal to the current rate of interest charged by the City on special assessments shall be imposed by the City for the life of the administrative penalty, added to the administrative penalty, and collected as provided in this section. The Director of Finance shall then certify the amount of the administrative penalty, including interest, to the County Auditor. The County Auditor shall enter the amount on the tax duplicate of the county as a special assessment against the person's real estate at issue. </w:t>
      </w:r>
    </w:p>
    <w:p>
      <w:pPr>
        <w:pStyle w:val="List1"/>
        <w:pBdr/>
        <w:spacing/>
        <w:rPr/>
      </w:pPr>
      <w:r>
        <w:rPr/>
        <w:t xml:space="preserve">C.</w:t>
      </w:r>
      <w:r>
        <w:rPr/>
        <w:tab/>
        <w:t xml:space="preserve"/>
      </w:r>
      <w:r>
        <w:rPr/>
        <w:t xml:space="preserve">Money collected under this section shall be used exclusively for Neighborhood Assistance including the Housing Division. </w:t>
      </w:r>
    </w:p>
    <w:p>
      <w:pPr>
        <w:pStyle w:val="List1"/>
        <w:pBdr/>
        <w:spacing/>
        <w:rPr/>
      </w:pPr>
      <w:r>
        <w:rPr/>
        <w:t xml:space="preserve">D.</w:t>
      </w:r>
      <w:r>
        <w:rPr/>
        <w:tab/>
        <w:t xml:space="preserve"/>
      </w:r>
      <w:r>
        <w:rPr/>
        <w:t xml:space="preserve">Criminal Penalties. In addition to any administrative penalties that may be imposed pursuant to subsection A of this section, any person, occupant, operator, owner or purchaser who violates or fails to comply with any of the provisions of this chapter, except Section </w:t>
      </w:r>
      <w:r>
        <w:rPr/>
        <w:t xml:space="preserve">150.08</w:t>
      </w:r>
      <w:r>
        <w:rPr/>
        <w:t xml:space="preserve">(I), Section </w:t>
      </w:r>
      <w:r>
        <w:rPr/>
        <w:t xml:space="preserve">150.13</w:t>
      </w:r>
      <w:r>
        <w:rPr/>
        <w:t xml:space="preserve">(I), or Section </w:t>
      </w:r>
      <w:r>
        <w:rPr/>
        <w:t xml:space="preserve">150.32</w:t>
      </w:r>
      <w:r>
        <w:rPr/>
        <w:t xml:space="preserve">(A) and (B), shall be guilty of a misdemeanor of the third degree and shall be fined not more than five hundred dollars or imprisoned not more than sixty days, or both, and shall, in addition to any other penalties within these maximum amounts, be subject to imposition of the following minimum mandatory penalties, which shall not be suspended or held in abeyance: </w:t>
      </w:r>
    </w:p>
    <w:p>
      <w:pPr>
        <w:pStyle w:val="List2"/>
        <w:pBdr/>
        <w:spacing/>
        <w:rPr/>
      </w:pPr>
      <w:r>
        <w:rPr/>
        <w:t xml:space="preserve">1.</w:t>
      </w:r>
      <w:r>
        <w:rPr/>
        <w:tab/>
        <w:t xml:space="preserve"/>
      </w:r>
      <w:r>
        <w:rPr/>
        <w:t xml:space="preserve">A person, occupant, operator, owner or purchaser who has not previously been convicted of any violation of a section of the Fire Prevention Code, Health, Safety and Sanitation Code, Litter Code, Housing Code, Zoning Code, or Building Code shall be fined not less than fifty dollars. </w:t>
      </w:r>
    </w:p>
    <w:p>
      <w:pPr>
        <w:pStyle w:val="List2"/>
        <w:pBdr/>
        <w:spacing/>
        <w:rPr/>
      </w:pPr>
      <w:r>
        <w:rPr/>
        <w:t xml:space="preserve">2.</w:t>
      </w:r>
      <w:r>
        <w:rPr/>
        <w:tab/>
        <w:t xml:space="preserve"/>
      </w:r>
      <w:r>
        <w:rPr/>
        <w:t xml:space="preserve">A person, occupant, operator, owner or purchaser who has previously been convicted of one violation of a section of the Fire Prevention Code, Health, Safety and Sanitation Code, Litter Code, Housing Code, Zoning Code, or Building Code shall be fined not less than two hundred dollars. </w:t>
      </w:r>
    </w:p>
    <w:p>
      <w:pPr>
        <w:pStyle w:val="List2"/>
        <w:pBdr/>
        <w:spacing/>
        <w:rPr/>
      </w:pPr>
      <w:r>
        <w:rPr/>
        <w:t xml:space="preserve">3.</w:t>
      </w:r>
      <w:r>
        <w:rPr/>
        <w:tab/>
        <w:t xml:space="preserve"/>
      </w:r>
      <w:r>
        <w:rPr/>
        <w:t xml:space="preserve">A person, occupant, operator, owner or purchaser who has previously been convicted of two violations of a section of the Fire Prevention Code, Health, Safety and Sanitation Code, Litter Code, Housing Code, Zoning Code, or Building Code shall be imprisoned not less than three days, and shall be fined not less than three hundred fifty dollars. </w:t>
      </w:r>
    </w:p>
    <w:p>
      <w:pPr>
        <w:pStyle w:val="List2"/>
        <w:pBdr/>
        <w:spacing/>
        <w:rPr/>
      </w:pPr>
      <w:r>
        <w:rPr/>
        <w:t xml:space="preserve">4.</w:t>
      </w:r>
      <w:r>
        <w:rPr/>
        <w:tab/>
        <w:t xml:space="preserve"/>
      </w:r>
      <w:r>
        <w:rPr/>
        <w:t xml:space="preserve">A person, occupant, operator, owner or purchaser who has previously been convicted of three violations of a section of the Fire Prevention Code, Health, Safety and Sanitation Code, Litter Code, Housing Code, Zoning Code, or Building Code shall be imprisoned not less than ten days, and shall be fined not less than five hundred dollars. </w:t>
      </w:r>
    </w:p>
    <w:p>
      <w:pPr>
        <w:pStyle w:val="List1"/>
        <w:pBdr/>
        <w:spacing/>
        <w:rPr/>
      </w:pPr>
      <w:r>
        <w:rPr/>
        <w:t xml:space="preserve">E.</w:t>
      </w:r>
      <w:r>
        <w:rPr/>
        <w:tab/>
        <w:t xml:space="preserve"/>
      </w:r>
      <w:r>
        <w:rPr/>
        <w:t xml:space="preserve">Any owner, who has not previously been convicted of any violation of Section </w:t>
      </w:r>
      <w:r>
        <w:rPr/>
        <w:t xml:space="preserve">150.08</w:t>
      </w:r>
      <w:r>
        <w:rPr/>
        <w:t xml:space="preserve">(I), Section </w:t>
      </w:r>
      <w:r>
        <w:rPr/>
        <w:t xml:space="preserve">150.13</w:t>
      </w:r>
      <w:r>
        <w:rPr/>
        <w:t xml:space="preserve">(I), or Section </w:t>
      </w:r>
      <w:r>
        <w:rPr/>
        <w:t xml:space="preserve">150.32</w:t>
      </w:r>
      <w:r>
        <w:rPr/>
        <w:t xml:space="preserve"> of this chapter, who violates or fails to comply with the provisions of Section </w:t>
      </w:r>
      <w:r>
        <w:rPr/>
        <w:t xml:space="preserve">150.08</w:t>
      </w:r>
      <w:r>
        <w:rPr/>
        <w:t xml:space="preserve">(I), Section </w:t>
      </w:r>
      <w:r>
        <w:rPr/>
        <w:t xml:space="preserve">150.13</w:t>
      </w:r>
      <w:r>
        <w:rPr/>
        <w:t xml:space="preserve">(I), or Section </w:t>
      </w:r>
      <w:r>
        <w:rPr/>
        <w:t xml:space="preserve">150.32</w:t>
      </w:r>
      <w:r>
        <w:rPr/>
        <w:t xml:space="preserve">(A) or (B) of this chapter shall be guilty of a misdemeanor of the third degree and shall be fined not more than five hundred dollars or imprisoned more than sixty days, or both, and subject to the minimum mandatory penalty in subsection D of this section. Any owner who has previously been convicted of one or more violations of Section </w:t>
      </w:r>
      <w:r>
        <w:rPr/>
        <w:t xml:space="preserve">150.08</w:t>
      </w:r>
      <w:r>
        <w:rPr/>
        <w:t xml:space="preserve">(I), Section </w:t>
      </w:r>
      <w:r>
        <w:rPr/>
        <w:t xml:space="preserve">150.13</w:t>
      </w:r>
      <w:r>
        <w:rPr/>
        <w:t xml:space="preserve">(I), or Section </w:t>
      </w:r>
      <w:r>
        <w:rPr/>
        <w:t xml:space="preserve">150.32</w:t>
      </w:r>
      <w:r>
        <w:rPr/>
        <w:t xml:space="preserve"> of this chapter who violates or fails to comply with the provisions of Section </w:t>
      </w:r>
      <w:r>
        <w:rPr/>
        <w:t xml:space="preserve">150.08</w:t>
      </w:r>
      <w:r>
        <w:rPr/>
        <w:t xml:space="preserve">(I), Section </w:t>
      </w:r>
      <w:r>
        <w:rPr/>
        <w:t xml:space="preserve">150.13</w:t>
      </w:r>
      <w:r>
        <w:rPr/>
        <w:t xml:space="preserve">(I), or Section </w:t>
      </w:r>
      <w:r>
        <w:rPr/>
        <w:t xml:space="preserve">150.32</w:t>
      </w:r>
      <w:r>
        <w:rPr/>
        <w:t xml:space="preserve">(A) or (B) of this chapter shall be guilty of a misdemeanor of the second degree and shall be fined not more than seven hundred fifty dollars or imprisoned more than ninety days, or both, and subject to the minimum mandatory penalty in subsection D of this section. </w:t>
      </w:r>
    </w:p>
    <w:p>
      <w:pPr>
        <w:pStyle w:val="List1"/>
        <w:pBdr/>
        <w:spacing/>
        <w:rPr/>
      </w:pPr>
      <w:r>
        <w:rPr/>
        <w:t xml:space="preserve">F.</w:t>
      </w:r>
      <w:r>
        <w:rPr/>
        <w:tab/>
        <w:t xml:space="preserve"/>
      </w:r>
      <w:r>
        <w:rPr/>
        <w:t xml:space="preserve">Application of Prior Convictions. A conviction or convictions obtained prior to November 22, 1996 shall constitute a conviction or convictions for purposes of enforcement of the minimum mandatory penalties required by this section. Each separate count of which a person has been convicted shall constitute a separate violation of a section of the Building Code, Housing Code, Fire Prevention Code, Health, Safety and Sanitation Code, Litter Code or Zoning Code. </w:t>
      </w:r>
    </w:p>
    <w:p>
      <w:pPr>
        <w:pStyle w:val="List1"/>
        <w:pBdr/>
        <w:spacing/>
        <w:rPr/>
      </w:pPr>
      <w:r>
        <w:rPr/>
        <w:t xml:space="preserve">G.</w:t>
      </w:r>
      <w:r>
        <w:rPr/>
        <w:tab/>
        <w:t xml:space="preserve"/>
      </w:r>
      <w:r>
        <w:rPr/>
        <w:t xml:space="preserve">Continuing Violations. A separate offense shall be deemed committed each day during or on which a violation occurs or continues. </w:t>
      </w:r>
    </w:p>
    <w:p>
      <w:pPr>
        <w:pStyle w:val="List1"/>
        <w:pBdr/>
        <w:spacing/>
        <w:rPr/>
      </w:pPr>
      <w:r>
        <w:rPr/>
        <w:t xml:space="preserve">H.</w:t>
      </w:r>
      <w:r>
        <w:rPr/>
        <w:tab/>
        <w:t xml:space="preserve"/>
      </w:r>
      <w:r>
        <w:rPr/>
        <w:t xml:space="preserve">Strict Liability. The provisions of this chapter are specifically intended to impose strict liability. </w:t>
      </w:r>
    </w:p>
    <w:p>
      <w:pPr>
        <w:pStyle w:val="HistoryNote"/>
        <w:pBdr/>
        <w:spacing/>
        <w:rPr/>
      </w:pPr>
      <w:r>
        <w:rPr>
          <w:rStyle w:val="HistoryNote"/>
        </w:rPr>
        <w:t xml:space="preserve">(Ord. 708-1997; Ord. 769-1996)</w:t>
      </w:r>
    </w:p>
    <w:p>
      <w:pPr>
        <w:pStyle w:val="HistoryNote"/>
        <w:pBdr/>
        <w:spacing/>
        <w:rPr/>
      </w:pPr>
      <w:r>
        <w:rPr>
          <w:rStyle w:val="HistoryNote"/>
        </w:rPr>
        <w:t xml:space="preserve">(Ord. 14-2010; Ord. 380-2011; Ord. 210-2012; Ord. 70-2013; Ord. 152-2017; Ord. 429-2025)</w:t>
      </w:r>
    </w:p>
    <w:p>
      <w:pPr>
        <w:pBdr/>
        <w:spacing w:before="0" w:after="0"/>
        <w:rPr/>
      </w:pPr>
    </w:p>
    <w:sectPr>
      <w:headerReference w:type="default" r:id="rId75"/>
      <w:footerReference w:type="default" r:id="rId76"/>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Akron, Ohio, Code of Ordinances</w:t>
    </w: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7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2026-06-18 14:19:35 [EST]</w:t>
    </w:r>
  </w:p>
  <w:p>
    <w:pPr>
      <w:pStyle w:val="FooterLeft"/>
      <w:pBdr/>
      <w:spacing/>
      <w:rPr/>
    </w:pPr>
    <w:r>
      <w:rPr/>
      <w:t xml:space="preserve">(Supp. No. 64)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15 - LAND USAGE</w:t>
    </w:r>
    <w:r>
      <w:rPr/>
      <w:br/>
    </w:r>
    <w:r>
      <w:rPr/>
      <w:t xml:space="preserve">Chapter 150 ENVIRONMENTAL HEALTH HOUSING CODE</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6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2B189C2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1A16B6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4F39F5E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1F048AC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08A95F3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3E3920D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
    <w:nsid w:val="5279588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
    <w:nsid w:val="527FFF3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
    <w:nsid w:val="35E56DA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
    <w:nsid w:val="01B0308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
    <w:nsid w:val="627E4A0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
    <w:nsid w:val="4226571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
    <w:nsid w:val="4262912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
    <w:nsid w:val="022B21B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
    <w:nsid w:val="6AD49DC4"/>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
    <w:nsid w:val="1B3A70A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
    <w:nsid w:val="513209A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
    <w:nsid w:val="2D54C2C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
    <w:nsid w:val="432110C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
    <w:nsid w:val="072359B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
    <w:nsid w:val="59EC38D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
    <w:nsid w:val="590187B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
    <w:nsid w:val="4EE0A5C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
    <w:nsid w:val="5898CA8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
    <w:nsid w:val="23D0909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
    <w:nsid w:val="6BDE6D6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5">
    <w:nsid w:val="3979F97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6">
    <w:nsid w:val="3C8D2E0C"/>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7">
    <w:nsid w:val="54D7E48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8">
    <w:nsid w:val="121CBB5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9">
    <w:nsid w:val="42175ED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0">
    <w:nsid w:val="5EFC14B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1">
    <w:nsid w:val="62EBF86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2">
    <w:nsid w:val="719BD7B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3">
    <w:nsid w:val="702799D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4">
    <w:nsid w:val="3EDF3155"/>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5">
    <w:nsid w:val="1FB5C74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46">
    <w:nsid w:val="1E4D4B6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Block1" w:customStyle="1">
    <w:name w:val="Block 1"/>
    <w:basedOn w:val="Normal"/>
    <w:uiPriority w:val="3"/>
    <w:qFormat/>
    <w:pPr>
      <w:pBdr/>
      <w:spacing/>
    </w:pPr>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Hang1" w:customStyle="1">
    <w:name w:val="Hang 1"/>
    <w:basedOn w:val="Normal"/>
    <w:uiPriority w:val="8"/>
    <w:qFormat/>
    <w:pPr>
      <w:pBdr/>
      <w:spacing/>
      <w:ind w:left="475" w:hanging="475"/>
    </w:pPr>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814ef6ed-2e4a-441b-bae0-834aefa8efbf" w:customStyle="1">
    <w:name w:val="Normal Table_814ef6ed-2e4a-441b-bae0-834aefa8efb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814ef6ed-2e4a-441b-bae0-834aefa8efbf"/>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6358da8c-d9bc-4939-a5c1-f80d91e7ee3a" w:customStyle="1">
    <w:name w:val="Normal Table_6358da8c-d9bc-4939-a5c1-f80d91e7ee3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6358da8c-d9bc-4939-a5c1-f80d91e7ee3a"/>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4b0ba61-32bf-4c16-9765-828d67518b0f" w:customStyle="1">
    <w:name w:val="Normal Table_54b0ba61-32bf-4c16-9765-828d67518b0f"/>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d679af2-e2c4-4479-a224-1039a9511512" w:customStyle="1">
    <w:name w:val="Table 1_5d679af2-e2c4-4479-a224-1039a9511512"/>
    <w:basedOn w:val="NormalTable_54b0ba61-32bf-4c16-9765-828d67518b0f"/>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5d679af2-e2c4-4479-a224-1039a9511512"/>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85af1769-daae-4857-8170-8b828d7a5ad8" w:customStyle="1">
    <w:name w:val="Normal Table_85af1769-daae-4857-8170-8b828d7a5ad8"/>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89d7c157-8dda-4d42-8c14-5e0fb9b64b2a" w:customStyle="1">
    <w:name w:val="Table 1_89d7c157-8dda-4d42-8c14-5e0fb9b64b2a"/>
    <w:basedOn w:val="NormalTable_85af1769-daae-4857-8170-8b828d7a5ad8"/>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aeddc159-c977-4ce1-b895-8968e62178fc" w:customStyle="1">
    <w:name w:val="Table 2_aeddc159-c977-4ce1-b895-8968e62178fc"/>
    <w:basedOn w:val="Table1_89d7c157-8dda-4d42-8c14-5e0fb9b64b2a"/>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aeddc159-c977-4ce1-b895-8968e62178fc"/>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1d80c880-8c0a-4986-9a86-cb762400d461" w:customStyle="1">
    <w:name w:val="Normal Table_1d80c880-8c0a-4986-9a86-cb762400d46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fe0df668-bb7c-48f9-80c3-ae9c25478f16" w:customStyle="1">
    <w:name w:val="Table 1_fe0df668-bb7c-48f9-80c3-ae9c25478f16"/>
    <w:basedOn w:val="NormalTable_1d80c880-8c0a-4986-9a86-cb762400d46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01433b8b-aa54-40de-974a-96c28c38c111" w:customStyle="1">
    <w:name w:val="Table 2_01433b8b-aa54-40de-974a-96c28c38c111"/>
    <w:basedOn w:val="Table1_fe0df668-bb7c-48f9-80c3-ae9c25478f16"/>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1ed4e3fd-eeff-4e77-9fd2-6c5a27b0bf37" w:customStyle="1">
    <w:name w:val="Table 3_1ed4e3fd-eeff-4e77-9fd2-6c5a27b0bf37"/>
    <w:basedOn w:val="Table2_01433b8b-aa54-40de-974a-96c28c38c111"/>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1ed4e3fd-eeff-4e77-9fd2-6c5a27b0bf37"/>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6dca7df9-5444-4ef9-9b52-4da8376f9cc6" w:customStyle="1">
    <w:name w:val="Normal Table_6dca7df9-5444-4ef9-9b52-4da8376f9cc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7f86b5c-3988-48c8-ae30-ed6a0336820f" w:customStyle="1">
    <w:name w:val="Table 1_77f86b5c-3988-48c8-ae30-ed6a0336820f"/>
    <w:basedOn w:val="NormalTable_6dca7df9-5444-4ef9-9b52-4da8376f9cc6"/>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6ce0896d-7abc-4f0b-85b5-3a0fc0e55ce7" w:customStyle="1">
    <w:name w:val="Table 2_6ce0896d-7abc-4f0b-85b5-3a0fc0e55ce7"/>
    <w:basedOn w:val="Table1_77f86b5c-3988-48c8-ae30-ed6a0336820f"/>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4037a8e2-801d-477a-bff8-7e6d517c2a8f" w:customStyle="1">
    <w:name w:val="Table 3_4037a8e2-801d-477a-bff8-7e6d517c2a8f"/>
    <w:basedOn w:val="Table2_6ce0896d-7abc-4f0b-85b5-3a0fc0e55ce7"/>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4231c721-a970-4d6b-b119-297fa0c2e6e7" w:customStyle="1">
    <w:name w:val="Table 4_4231c721-a970-4d6b-b119-297fa0c2e6e7"/>
    <w:basedOn w:val="Table3_4037a8e2-801d-477a-bff8-7e6d517c2a8f"/>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4231c721-a970-4d6b-b119-297fa0c2e6e7"/>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1bb64ab6-7190-4b64-a519-9f81fb381163" w:customStyle="1">
    <w:name w:val="Normal Table_1bb64ab6-7190-4b64-a519-9f81fb38116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6f4f6446-d968-43b5-a018-06c6c77bad97" w:customStyle="1">
    <w:name w:val="Table 1_6f4f6446-d968-43b5-a018-06c6c77bad97"/>
    <w:basedOn w:val="NormalTable_1bb64ab6-7190-4b64-a519-9f81fb381163"/>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6edecf75-997a-430a-b27a-9c1688478731" w:customStyle="1">
    <w:name w:val="Table 2_6edecf75-997a-430a-b27a-9c1688478731"/>
    <w:basedOn w:val="Table1_6f4f6446-d968-43b5-a018-06c6c77bad97"/>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13d64b23-1198-4689-adce-d68312453a1d" w:customStyle="1">
    <w:name w:val="Table 3_13d64b23-1198-4689-adce-d68312453a1d"/>
    <w:basedOn w:val="Table2_6edecf75-997a-430a-b27a-9c1688478731"/>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ba2e4638-612f-4135-a49e-6ca3eca0a66f" w:customStyle="1">
    <w:name w:val="Table 4_ba2e4638-612f-4135-a49e-6ca3eca0a66f"/>
    <w:basedOn w:val="Table3_13d64b23-1198-4689-adce-d68312453a1d"/>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d611fa9b-f273-43b8-88c8-a9789ae0ccee" w:customStyle="1">
    <w:name w:val="Table 5_d611fa9b-f273-43b8-88c8-a9789ae0ccee"/>
    <w:basedOn w:val="Table4_ba2e4638-612f-4135-a49e-6ca3eca0a66f"/>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d611fa9b-f273-43b8-88c8-a9789ae0ccee"/>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c28e32c2-5c76-4b5d-9bff-3666608fb382" w:customStyle="1">
    <w:name w:val="Normal Table_c28e32c2-5c76-4b5d-9bff-3666608fb38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0bc1dd80-233d-4532-84b5-c315e0d3e2d6" w:customStyle="1">
    <w:name w:val="Table 1_0bc1dd80-233d-4532-84b5-c315e0d3e2d6"/>
    <w:basedOn w:val="NormalTable_c28e32c2-5c76-4b5d-9bff-3666608fb382"/>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5db565b3-c917-478a-b8e5-aa486c1d66b4" w:customStyle="1">
    <w:name w:val="Table 2_5db565b3-c917-478a-b8e5-aa486c1d66b4"/>
    <w:basedOn w:val="Table1_0bc1dd80-233d-4532-84b5-c315e0d3e2d6"/>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34edc201-9fba-400d-8830-e4c1f30a1134" w:customStyle="1">
    <w:name w:val="Table 3_34edc201-9fba-400d-8830-e4c1f30a1134"/>
    <w:basedOn w:val="Table2_5db565b3-c917-478a-b8e5-aa486c1d66b4"/>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e0c75ab8-0d3c-4ab6-83e8-976b77396421" w:customStyle="1">
    <w:name w:val="Table 4_e0c75ab8-0d3c-4ab6-83e8-976b77396421"/>
    <w:basedOn w:val="Table3_34edc201-9fba-400d-8830-e4c1f30a1134"/>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eb0630b3-4e03-43bd-834d-39932a0d9fcf" w:customStyle="1">
    <w:name w:val="Table 5_eb0630b3-4e03-43bd-834d-39932a0d9fcf"/>
    <w:basedOn w:val="Table4_e0c75ab8-0d3c-4ab6-83e8-976b77396421"/>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09533b1f-144f-418d-bb21-76ac4bcd4928" w:customStyle="1">
    <w:name w:val="Table 6_09533b1f-144f-418d-bb21-76ac4bcd4928"/>
    <w:basedOn w:val="Table5_eb0630b3-4e03-43bd-834d-39932a0d9fcf"/>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09533b1f-144f-418d-bb21-76ac4bcd4928"/>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f92e0210-11d9-4e55-9e39-f05ee3816db2" w:customStyle="1">
    <w:name w:val="Normal Table_f92e0210-11d9-4e55-9e39-f05ee3816db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7e2d03ce-e171-42f8-9507-1e953af2939c" w:customStyle="1">
    <w:name w:val="Table 1_7e2d03ce-e171-42f8-9507-1e953af2939c"/>
    <w:basedOn w:val="NormalTable_f92e0210-11d9-4e55-9e39-f05ee3816db2"/>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5c13c164-03b1-499f-8703-c223af838178" w:customStyle="1">
    <w:name w:val="Table 2_5c13c164-03b1-499f-8703-c223af838178"/>
    <w:basedOn w:val="Table1_7e2d03ce-e171-42f8-9507-1e953af2939c"/>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6e971275-e996-41f6-8aa8-30577f070159" w:customStyle="1">
    <w:name w:val="Table 3_6e971275-e996-41f6-8aa8-30577f070159"/>
    <w:basedOn w:val="Table2_5c13c164-03b1-499f-8703-c223af838178"/>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06202840-5483-4a18-ae03-8f43f0378807" w:customStyle="1">
    <w:name w:val="Table 4_06202840-5483-4a18-ae03-8f43f0378807"/>
    <w:basedOn w:val="Table3_6e971275-e996-41f6-8aa8-30577f070159"/>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ca7b4092-b93d-4100-bea0-4ec9e754048f" w:customStyle="1">
    <w:name w:val="Table 5_ca7b4092-b93d-4100-bea0-4ec9e754048f"/>
    <w:basedOn w:val="Table4_06202840-5483-4a18-ae03-8f43f0378807"/>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e753141d-be7f-4e07-b488-aaf9ed1a411b" w:customStyle="1">
    <w:name w:val="Table 6_e753141d-be7f-4e07-b488-aaf9ed1a411b"/>
    <w:basedOn w:val="Table5_ca7b4092-b93d-4100-bea0-4ec9e754048f"/>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5fb6f2f4-8dc1-430a-8a04-0cd6f955fcf4" w:customStyle="1">
    <w:name w:val="Table 7_5fb6f2f4-8dc1-430a-8a04-0cd6f955fcf4"/>
    <w:basedOn w:val="Table6_e753141d-be7f-4e07-b488-aaf9ed1a411b"/>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5fb6f2f4-8dc1-430a-8a04-0cd6f955fcf4"/>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0d2b7d5f-edde-4ce4-bcbb-f70ef1bf5a6d" w:customStyle="1">
    <w:name w:val="Normal Table_0d2b7d5f-edde-4ce4-bcbb-f70ef1bf5a6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b8d34e8-027f-475a-8593-f41b064cae0b" w:customStyle="1">
    <w:name w:val="Table 1_ab8d34e8-027f-475a-8593-f41b064cae0b"/>
    <w:basedOn w:val="NormalTable_0d2b7d5f-edde-4ce4-bcbb-f70ef1bf5a6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63d04442-2eed-435f-b6ca-3f12ad494965" w:customStyle="1">
    <w:name w:val="Table 2_63d04442-2eed-435f-b6ca-3f12ad494965"/>
    <w:basedOn w:val="Table1_ab8d34e8-027f-475a-8593-f41b064cae0b"/>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802b312a-e086-4106-8a5c-ddedd0e834d0" w:customStyle="1">
    <w:name w:val="Table 3_802b312a-e086-4106-8a5c-ddedd0e834d0"/>
    <w:basedOn w:val="Table2_63d04442-2eed-435f-b6ca-3f12ad494965"/>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e58093f6-b83b-45a1-b9d9-e45b8a32bfa8" w:customStyle="1">
    <w:name w:val="Table 4_e58093f6-b83b-45a1-b9d9-e45b8a32bfa8"/>
    <w:basedOn w:val="Table3_802b312a-e086-4106-8a5c-ddedd0e834d0"/>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90fd60da-9ff9-45f7-9319-9a8281f8f04b" w:customStyle="1">
    <w:name w:val="Table 5_90fd60da-9ff9-45f7-9319-9a8281f8f04b"/>
    <w:basedOn w:val="Table4_e58093f6-b83b-45a1-b9d9-e45b8a32bfa8"/>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a4bbde6f-782b-490c-b150-d8db98512653" w:customStyle="1">
    <w:name w:val="Table 6_a4bbde6f-782b-490c-b150-d8db98512653"/>
    <w:basedOn w:val="Table5_90fd60da-9ff9-45f7-9319-9a8281f8f04b"/>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affd1aa4-df68-42a1-994d-e8621a705384" w:customStyle="1">
    <w:name w:val="Table 7_affd1aa4-df68-42a1-994d-e8621a705384"/>
    <w:basedOn w:val="Table6_a4bbde6f-782b-490c-b150-d8db98512653"/>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49add1b5-6238-4ecf-bfc1-0f2436d3ca30" w:customStyle="1">
    <w:name w:val="Table 8_49add1b5-6238-4ecf-bfc1-0f2436d3ca30"/>
    <w:basedOn w:val="Table7_affd1aa4-df68-42a1-994d-e8621a705384"/>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49add1b5-6238-4ecf-bfc1-0f2436d3ca30"/>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5526732-fea4-4ecb-ad05-4e72c4f3d97d" w:customStyle="1">
    <w:name w:val="Normal Table_d5526732-fea4-4ecb-ad05-4e72c4f3d97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d5526732-fea4-4ecb-ad05-4e72c4f3d97d"/>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4f61f063-ef4c-423d-85b1-94143e92669d" w:customStyle="1">
    <w:name w:val="Normal Table_4f61f063-ef4c-423d-85b1-94143e92669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38e1e340-76d2-4a0e-9efc-2920976acc08" w:customStyle="1">
    <w:name w:val="Table NoRule 1_38e1e340-76d2-4a0e-9efc-2920976acc08"/>
    <w:basedOn w:val="NormalTable_4f61f063-ef4c-423d-85b1-94143e92669d"/>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38e1e340-76d2-4a0e-9efc-2920976acc08"/>
    <w:uiPriority w:val="99"/>
    <w:pPr>
      <w:pBdr/>
      <w:spacing/>
    </w:pPr>
    <w:rPr/>
    <w:tblPr>
      <w:tblInd w:w="475" w:type="dxa"/>
      <w:tblBorders/>
      <w:tblCellMar/>
    </w:tblPr>
    <w:trPr/>
    <w:tcPr>
      <w:tcBorders/>
      <w:shd w:val="clear" w:color="auto" w:fill="auto"/>
      <w:tcMar/>
      <w:vAlign w:val="top"/>
    </w:tcPr>
  </w:style>
  <w:style w:type="table" w:styleId="NormalTable_e3f71807-206d-4ee3-8954-f19af3651825" w:customStyle="1">
    <w:name w:val="Normal Table_e3f71807-206d-4ee3-8954-f19af365182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afececf1-08d6-4903-b030-38aec766d680" w:customStyle="1">
    <w:name w:val="Table NoRule 1_afececf1-08d6-4903-b030-38aec766d680"/>
    <w:basedOn w:val="NormalTable_e3f71807-206d-4ee3-8954-f19af3651825"/>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8a4f87ed-2a36-4dde-a2c3-3ee35df1a80b" w:customStyle="1">
    <w:name w:val="Table NoRule 2_8a4f87ed-2a36-4dde-a2c3-3ee35df1a80b"/>
    <w:basedOn w:val="TableNoRule1_afececf1-08d6-4903-b030-38aec766d680"/>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8a4f87ed-2a36-4dde-a2c3-3ee35df1a80b"/>
    <w:uiPriority w:val="99"/>
    <w:pPr>
      <w:pBdr/>
      <w:spacing/>
    </w:pPr>
    <w:rPr/>
    <w:tblPr>
      <w:tblInd w:w="950" w:type="dxa"/>
      <w:tblBorders/>
      <w:tblCellMar/>
    </w:tblPr>
    <w:trPr/>
    <w:tcPr>
      <w:tcBorders/>
      <w:shd w:val="clear" w:color="auto" w:fill="auto"/>
      <w:tcMar/>
      <w:vAlign w:val="top"/>
    </w:tcPr>
  </w:style>
  <w:style w:type="table" w:styleId="NormalTable_01c6fb60-83c5-4f6d-9b8d-3ceece87c6ad" w:customStyle="1">
    <w:name w:val="Normal Table_01c6fb60-83c5-4f6d-9b8d-3ceece87c6a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2757a615-d137-4942-a8cb-7a89e0b96f4b" w:customStyle="1">
    <w:name w:val="Table NoRule 1_2757a615-d137-4942-a8cb-7a89e0b96f4b"/>
    <w:basedOn w:val="NormalTable_01c6fb60-83c5-4f6d-9b8d-3ceece87c6ad"/>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b34176ac-a8f0-4e73-bafc-c09dd9c6cda9" w:customStyle="1">
    <w:name w:val="Table NoRule 2_b34176ac-a8f0-4e73-bafc-c09dd9c6cda9"/>
    <w:basedOn w:val="TableNoRule1_2757a615-d137-4942-a8cb-7a89e0b96f4b"/>
    <w:uiPriority w:val="99"/>
    <w:pPr>
      <w:pBdr/>
      <w:spacing/>
    </w:pPr>
    <w:rPr/>
    <w:tblPr>
      <w:tblInd w:w="475" w:type="dxa"/>
      <w:tblBorders/>
      <w:tblCellMar/>
    </w:tblPr>
    <w:trPr/>
    <w:tcPr>
      <w:tcBorders/>
      <w:shd w:val="clear" w:color="auto" w:fill="auto"/>
      <w:tcMar/>
      <w:vAlign w:val="top"/>
    </w:tcPr>
  </w:style>
  <w:style w:type="table" w:styleId="TableNoRule3_5aaf6407-84b5-4f59-ad14-3bcfce404967" w:customStyle="1">
    <w:name w:val="Table NoRule 3_5aaf6407-84b5-4f59-ad14-3bcfce404967"/>
    <w:basedOn w:val="TableNoRule2_b34176ac-a8f0-4e73-bafc-c09dd9c6cda9"/>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5aaf6407-84b5-4f59-ad14-3bcfce404967"/>
    <w:uiPriority w:val="99"/>
    <w:pPr>
      <w:pBdr/>
      <w:spacing/>
    </w:pPr>
    <w:rPr/>
    <w:tblPr>
      <w:tblInd w:w="1440" w:type="dxa"/>
      <w:tblBorders/>
      <w:tblCellMar/>
    </w:tblPr>
    <w:trPr/>
    <w:tcPr>
      <w:tcBorders/>
      <w:shd w:val="clear" w:color="auto" w:fill="auto"/>
      <w:tcMar/>
      <w:vAlign w:val="top"/>
    </w:tcPr>
  </w:style>
  <w:style w:type="table" w:styleId="NormalTable_cb6aef70-5032-44c4-b417-c54f81886b44" w:customStyle="1">
    <w:name w:val="Normal Table_cb6aef70-5032-44c4-b417-c54f81886b4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bd284bb2-e72c-4ab6-9116-eeee5d313726" w:customStyle="1">
    <w:name w:val="Table NoRule 1_bd284bb2-e72c-4ab6-9116-eeee5d313726"/>
    <w:basedOn w:val="NormalTable_cb6aef70-5032-44c4-b417-c54f81886b44"/>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97008382-26e5-48ac-a873-369595ed39ca" w:customStyle="1">
    <w:name w:val="Table NoRule 2_97008382-26e5-48ac-a873-369595ed39ca"/>
    <w:basedOn w:val="TableNoRule1_bd284bb2-e72c-4ab6-9116-eeee5d313726"/>
    <w:uiPriority w:val="99"/>
    <w:pPr>
      <w:pBdr/>
      <w:spacing/>
    </w:pPr>
    <w:rPr/>
    <w:tblPr>
      <w:tblInd w:w="475" w:type="dxa"/>
      <w:tblBorders/>
      <w:tblCellMar/>
    </w:tblPr>
    <w:trPr/>
    <w:tcPr>
      <w:tcBorders/>
      <w:shd w:val="clear" w:color="auto" w:fill="auto"/>
      <w:tcMar/>
      <w:vAlign w:val="top"/>
    </w:tcPr>
  </w:style>
  <w:style w:type="table" w:styleId="TableNoRule3_4c0ee678-2b3a-422c-b805-8367a220ad5c" w:customStyle="1">
    <w:name w:val="Table NoRule 3_4c0ee678-2b3a-422c-b805-8367a220ad5c"/>
    <w:basedOn w:val="TableNoRule2_97008382-26e5-48ac-a873-369595ed39ca"/>
    <w:uiPriority w:val="99"/>
    <w:pPr>
      <w:pBdr/>
      <w:spacing/>
    </w:pPr>
    <w:rPr/>
    <w:tblPr>
      <w:tblInd w:w="950" w:type="dxa"/>
      <w:tblBorders/>
      <w:tblCellMar/>
    </w:tblPr>
    <w:trPr/>
    <w:tcPr>
      <w:tcBorders/>
      <w:shd w:val="clear" w:color="auto" w:fill="auto"/>
      <w:tcMar/>
      <w:vAlign w:val="top"/>
    </w:tcPr>
  </w:style>
  <w:style w:type="table" w:styleId="TableNoRule4_05fc1fd0-3ff7-4196-8803-ab752320b8d8" w:customStyle="1">
    <w:name w:val="Table NoRule 4_05fc1fd0-3ff7-4196-8803-ab752320b8d8"/>
    <w:basedOn w:val="TableNoRule3_4c0ee678-2b3a-422c-b805-8367a220ad5c"/>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05fc1fd0-3ff7-4196-8803-ab752320b8d8"/>
    <w:uiPriority w:val="99"/>
    <w:pPr>
      <w:pBdr/>
      <w:spacing/>
    </w:pPr>
    <w:rPr/>
    <w:tblPr>
      <w:tblInd w:w="1915" w:type="dxa"/>
      <w:tblBorders/>
      <w:tblCellMar/>
    </w:tblPr>
    <w:trPr/>
    <w:tcPr>
      <w:tcBorders/>
      <w:shd w:val="clear" w:color="auto" w:fill="auto"/>
      <w:tcMar/>
      <w:vAlign w:val="top"/>
    </w:tcPr>
  </w:style>
  <w:style w:type="table" w:styleId="NormalTable_b417f26e-d9e8-426c-946c-51ddb1231b46" w:customStyle="1">
    <w:name w:val="Normal Table_b417f26e-d9e8-426c-946c-51ddb1231b4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c41f4a6e-0cb2-431c-9f4b-f6344ac55b13" w:customStyle="1">
    <w:name w:val="Table NoRule 1_c41f4a6e-0cb2-431c-9f4b-f6344ac55b13"/>
    <w:basedOn w:val="NormalTable_b417f26e-d9e8-426c-946c-51ddb1231b46"/>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8a9cf335-1558-418a-8daf-028b6bc5dfd6" w:customStyle="1">
    <w:name w:val="Table NoRule 2_8a9cf335-1558-418a-8daf-028b6bc5dfd6"/>
    <w:basedOn w:val="TableNoRule1_c41f4a6e-0cb2-431c-9f4b-f6344ac55b13"/>
    <w:uiPriority w:val="99"/>
    <w:pPr>
      <w:pBdr/>
      <w:spacing/>
    </w:pPr>
    <w:rPr/>
    <w:tblPr>
      <w:tblInd w:w="475" w:type="dxa"/>
      <w:tblBorders/>
      <w:tblCellMar/>
    </w:tblPr>
    <w:trPr/>
    <w:tcPr>
      <w:tcBorders/>
      <w:shd w:val="clear" w:color="auto" w:fill="auto"/>
      <w:tcMar/>
      <w:vAlign w:val="top"/>
    </w:tcPr>
  </w:style>
  <w:style w:type="table" w:styleId="TableNoRule3_1a840860-e9d3-48c7-93c6-78b1c90e2aae" w:customStyle="1">
    <w:name w:val="Table NoRule 3_1a840860-e9d3-48c7-93c6-78b1c90e2aae"/>
    <w:basedOn w:val="TableNoRule2_8a9cf335-1558-418a-8daf-028b6bc5dfd6"/>
    <w:uiPriority w:val="99"/>
    <w:pPr>
      <w:pBdr/>
      <w:spacing/>
    </w:pPr>
    <w:rPr/>
    <w:tblPr>
      <w:tblInd w:w="950" w:type="dxa"/>
      <w:tblBorders/>
      <w:tblCellMar/>
    </w:tblPr>
    <w:trPr/>
    <w:tcPr>
      <w:tcBorders/>
      <w:shd w:val="clear" w:color="auto" w:fill="auto"/>
      <w:tcMar/>
      <w:vAlign w:val="top"/>
    </w:tcPr>
  </w:style>
  <w:style w:type="table" w:styleId="TableNoRule4_417607af-f424-4b84-b2aa-f40d256dd6a8" w:customStyle="1">
    <w:name w:val="Table NoRule 4_417607af-f424-4b84-b2aa-f40d256dd6a8"/>
    <w:basedOn w:val="TableNoRule3_1a840860-e9d3-48c7-93c6-78b1c90e2aae"/>
    <w:uiPriority w:val="99"/>
    <w:pPr>
      <w:pBdr/>
      <w:spacing/>
    </w:pPr>
    <w:rPr/>
    <w:tblPr>
      <w:tblInd w:w="1440" w:type="dxa"/>
      <w:tblBorders/>
      <w:tblCellMar/>
    </w:tblPr>
    <w:trPr/>
    <w:tcPr>
      <w:tcBorders/>
      <w:shd w:val="clear" w:color="auto" w:fill="auto"/>
      <w:tcMar/>
      <w:vAlign w:val="top"/>
    </w:tcPr>
  </w:style>
  <w:style w:type="table" w:styleId="TableNoRule5_01615b4e-fc39-4115-9d6a-9a49cec5d3b1" w:customStyle="1">
    <w:name w:val="Table NoRule 5_01615b4e-fc39-4115-9d6a-9a49cec5d3b1"/>
    <w:basedOn w:val="TableNoRule4_417607af-f424-4b84-b2aa-f40d256dd6a8"/>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01615b4e-fc39-4115-9d6a-9a49cec5d3b1"/>
    <w:uiPriority w:val="99"/>
    <w:pPr>
      <w:pBdr/>
      <w:spacing/>
    </w:pPr>
    <w:rPr/>
    <w:tblPr>
      <w:tblInd w:w="2390" w:type="dxa"/>
      <w:tblBorders/>
      <w:tblCellMar/>
    </w:tblPr>
    <w:trPr/>
    <w:tcPr>
      <w:tcBorders/>
      <w:shd w:val="clear" w:color="auto" w:fill="auto"/>
      <w:tcMar/>
      <w:vAlign w:val="top"/>
    </w:tcPr>
  </w:style>
  <w:style w:type="table" w:styleId="NormalTable_f9fbb246-44da-41cd-ae7d-8cc6201f7db3" w:customStyle="1">
    <w:name w:val="Normal Table_f9fbb246-44da-41cd-ae7d-8cc6201f7db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932710f1-251a-4702-a44f-0a07113e2102" w:customStyle="1">
    <w:name w:val="Table NoRule 1_932710f1-251a-4702-a44f-0a07113e2102"/>
    <w:basedOn w:val="NormalTable_f9fbb246-44da-41cd-ae7d-8cc6201f7db3"/>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e2591cc0-3a07-45ec-a69a-3555fd7f8d18" w:customStyle="1">
    <w:name w:val="Table NoRule 2_e2591cc0-3a07-45ec-a69a-3555fd7f8d18"/>
    <w:basedOn w:val="TableNoRule1_932710f1-251a-4702-a44f-0a07113e2102"/>
    <w:uiPriority w:val="99"/>
    <w:pPr>
      <w:pBdr/>
      <w:spacing/>
    </w:pPr>
    <w:rPr/>
    <w:tblPr>
      <w:tblInd w:w="475" w:type="dxa"/>
      <w:tblBorders/>
      <w:tblCellMar/>
    </w:tblPr>
    <w:trPr/>
    <w:tcPr>
      <w:tcBorders/>
      <w:shd w:val="clear" w:color="auto" w:fill="auto"/>
      <w:tcMar/>
      <w:vAlign w:val="top"/>
    </w:tcPr>
  </w:style>
  <w:style w:type="table" w:styleId="TableNoRule3_d312cfab-e665-4854-8003-4b23dc470830" w:customStyle="1">
    <w:name w:val="Table NoRule 3_d312cfab-e665-4854-8003-4b23dc470830"/>
    <w:basedOn w:val="TableNoRule2_e2591cc0-3a07-45ec-a69a-3555fd7f8d18"/>
    <w:uiPriority w:val="99"/>
    <w:pPr>
      <w:pBdr/>
      <w:spacing/>
    </w:pPr>
    <w:rPr/>
    <w:tblPr>
      <w:tblInd w:w="950" w:type="dxa"/>
      <w:tblBorders/>
      <w:tblCellMar/>
    </w:tblPr>
    <w:trPr/>
    <w:tcPr>
      <w:tcBorders/>
      <w:shd w:val="clear" w:color="auto" w:fill="auto"/>
      <w:tcMar/>
      <w:vAlign w:val="top"/>
    </w:tcPr>
  </w:style>
  <w:style w:type="table" w:styleId="TableNoRule4_a9f1f492-8e4c-417e-925c-b637e5778a8a" w:customStyle="1">
    <w:name w:val="Table NoRule 4_a9f1f492-8e4c-417e-925c-b637e5778a8a"/>
    <w:basedOn w:val="TableNoRule3_d312cfab-e665-4854-8003-4b23dc470830"/>
    <w:uiPriority w:val="99"/>
    <w:pPr>
      <w:pBdr/>
      <w:spacing/>
    </w:pPr>
    <w:rPr/>
    <w:tblPr>
      <w:tblInd w:w="1440" w:type="dxa"/>
      <w:tblBorders/>
      <w:tblCellMar/>
    </w:tblPr>
    <w:trPr/>
    <w:tcPr>
      <w:tcBorders/>
      <w:shd w:val="clear" w:color="auto" w:fill="auto"/>
      <w:tcMar/>
      <w:vAlign w:val="top"/>
    </w:tcPr>
  </w:style>
  <w:style w:type="table" w:styleId="TableNoRule5_25eb3c24-d134-456d-8d72-be8096a56a57" w:customStyle="1">
    <w:name w:val="Table NoRule 5_25eb3c24-d134-456d-8d72-be8096a56a57"/>
    <w:basedOn w:val="TableNoRule4_a9f1f492-8e4c-417e-925c-b637e5778a8a"/>
    <w:uiPriority w:val="99"/>
    <w:pPr>
      <w:pBdr/>
      <w:spacing/>
    </w:pPr>
    <w:rPr/>
    <w:tblPr>
      <w:tblInd w:w="1915" w:type="dxa"/>
      <w:tblBorders/>
      <w:tblCellMar/>
    </w:tblPr>
    <w:trPr/>
    <w:tcPr>
      <w:tcBorders/>
      <w:shd w:val="clear" w:color="auto" w:fill="auto"/>
      <w:tcMar/>
      <w:vAlign w:val="top"/>
    </w:tcPr>
  </w:style>
  <w:style w:type="table" w:styleId="TableNoRule6_44ba50ec-4e40-4454-a670-07458a1f3a26" w:customStyle="1">
    <w:name w:val="Table NoRule 6_44ba50ec-4e40-4454-a670-07458a1f3a26"/>
    <w:basedOn w:val="TableNoRule5_25eb3c24-d134-456d-8d72-be8096a56a57"/>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44ba50ec-4e40-4454-a670-07458a1f3a26"/>
    <w:uiPriority w:val="99"/>
    <w:pPr>
      <w:pBdr/>
      <w:spacing/>
    </w:pPr>
    <w:rPr/>
    <w:tblPr>
      <w:tblInd w:w="2880" w:type="dxa"/>
      <w:tblBorders/>
      <w:tblCellMar/>
    </w:tblPr>
    <w:trPr/>
    <w:tcPr>
      <w:tcBorders/>
      <w:shd w:val="clear" w:color="auto" w:fill="auto"/>
      <w:tcMar/>
      <w:vAlign w:val="top"/>
    </w:tcPr>
  </w:style>
  <w:style w:type="table" w:styleId="NormalTable_ed0dbaab-47de-44d2-92bd-7ae61ad52b89" w:customStyle="1">
    <w:name w:val="Normal Table_ed0dbaab-47de-44d2-92bd-7ae61ad52b89"/>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b28cfce1-a20c-4976-921a-9b8cefe8f7f9" w:customStyle="1">
    <w:name w:val="Table NoRule 1_b28cfce1-a20c-4976-921a-9b8cefe8f7f9"/>
    <w:basedOn w:val="NormalTable_ed0dbaab-47de-44d2-92bd-7ae61ad52b89"/>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1333b9ea-24da-4565-a0a5-a158f12ee667" w:customStyle="1">
    <w:name w:val="Table NoRule 2_1333b9ea-24da-4565-a0a5-a158f12ee667"/>
    <w:basedOn w:val="TableNoRule1_b28cfce1-a20c-4976-921a-9b8cefe8f7f9"/>
    <w:uiPriority w:val="99"/>
    <w:pPr>
      <w:pBdr/>
      <w:spacing/>
    </w:pPr>
    <w:rPr/>
    <w:tblPr>
      <w:tblInd w:w="475" w:type="dxa"/>
      <w:tblBorders/>
      <w:tblCellMar/>
    </w:tblPr>
    <w:trPr/>
    <w:tcPr>
      <w:tcBorders/>
      <w:shd w:val="clear" w:color="auto" w:fill="auto"/>
      <w:tcMar/>
      <w:vAlign w:val="top"/>
    </w:tcPr>
  </w:style>
  <w:style w:type="table" w:styleId="TableNoRule3_7be4373e-9762-4541-a3e3-e33b669969db" w:customStyle="1">
    <w:name w:val="Table NoRule 3_7be4373e-9762-4541-a3e3-e33b669969db"/>
    <w:basedOn w:val="TableNoRule2_1333b9ea-24da-4565-a0a5-a158f12ee667"/>
    <w:uiPriority w:val="99"/>
    <w:pPr>
      <w:pBdr/>
      <w:spacing/>
    </w:pPr>
    <w:rPr/>
    <w:tblPr>
      <w:tblInd w:w="950" w:type="dxa"/>
      <w:tblBorders/>
      <w:tblCellMar/>
    </w:tblPr>
    <w:trPr/>
    <w:tcPr>
      <w:tcBorders/>
      <w:shd w:val="clear" w:color="auto" w:fill="auto"/>
      <w:tcMar/>
      <w:vAlign w:val="top"/>
    </w:tcPr>
  </w:style>
  <w:style w:type="table" w:styleId="TableNoRule4_5882bd4c-de27-4e2a-af50-f42334af02ba" w:customStyle="1">
    <w:name w:val="Table NoRule 4_5882bd4c-de27-4e2a-af50-f42334af02ba"/>
    <w:basedOn w:val="TableNoRule3_7be4373e-9762-4541-a3e3-e33b669969db"/>
    <w:uiPriority w:val="99"/>
    <w:pPr>
      <w:pBdr/>
      <w:spacing/>
    </w:pPr>
    <w:rPr/>
    <w:tblPr>
      <w:tblInd w:w="1440" w:type="dxa"/>
      <w:tblBorders/>
      <w:tblCellMar/>
    </w:tblPr>
    <w:trPr/>
    <w:tcPr>
      <w:tcBorders/>
      <w:shd w:val="clear" w:color="auto" w:fill="auto"/>
      <w:tcMar/>
      <w:vAlign w:val="top"/>
    </w:tcPr>
  </w:style>
  <w:style w:type="table" w:styleId="TableNoRule5_76fad079-4fd7-4ce9-a0c1-60a1c526e5d0" w:customStyle="1">
    <w:name w:val="Table NoRule 5_76fad079-4fd7-4ce9-a0c1-60a1c526e5d0"/>
    <w:basedOn w:val="TableNoRule4_5882bd4c-de27-4e2a-af50-f42334af02ba"/>
    <w:uiPriority w:val="99"/>
    <w:pPr>
      <w:pBdr/>
      <w:spacing/>
    </w:pPr>
    <w:rPr/>
    <w:tblPr>
      <w:tblInd w:w="1915" w:type="dxa"/>
      <w:tblBorders/>
      <w:tblCellMar/>
    </w:tblPr>
    <w:trPr/>
    <w:tcPr>
      <w:tcBorders/>
      <w:shd w:val="clear" w:color="auto" w:fill="auto"/>
      <w:tcMar/>
      <w:vAlign w:val="top"/>
    </w:tcPr>
  </w:style>
  <w:style w:type="table" w:styleId="TableNoRule6_8cb2c6b6-067a-4cbc-a1c5-fbdd581f93c7" w:customStyle="1">
    <w:name w:val="Table NoRule 6_8cb2c6b6-067a-4cbc-a1c5-fbdd581f93c7"/>
    <w:basedOn w:val="TableNoRule5_76fad079-4fd7-4ce9-a0c1-60a1c526e5d0"/>
    <w:uiPriority w:val="99"/>
    <w:pPr>
      <w:pBdr/>
      <w:spacing/>
    </w:pPr>
    <w:rPr/>
    <w:tblPr>
      <w:tblInd w:w="2390" w:type="dxa"/>
      <w:tblBorders/>
      <w:tblCellMar/>
    </w:tblPr>
    <w:trPr/>
    <w:tcPr>
      <w:tcBorders/>
      <w:shd w:val="clear" w:color="auto" w:fill="auto"/>
      <w:tcMar/>
      <w:vAlign w:val="top"/>
    </w:tcPr>
  </w:style>
  <w:style w:type="table" w:styleId="TableNoRule7_447dc43d-e1b5-4079-bc76-eeff04e25943" w:customStyle="1">
    <w:name w:val="Table NoRule 7_447dc43d-e1b5-4079-bc76-eeff04e25943"/>
    <w:basedOn w:val="TableNoRule6_8cb2c6b6-067a-4cbc-a1c5-fbdd581f93c7"/>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447dc43d-e1b5-4079-bc76-eeff04e25943"/>
    <w:uiPriority w:val="99"/>
    <w:pPr>
      <w:pBdr/>
      <w:spacing/>
    </w:pPr>
    <w:rPr/>
    <w:tblPr>
      <w:tblInd w:w="3355" w:type="dxa"/>
      <w:tblBorders/>
      <w:tblCellMar/>
    </w:tblPr>
    <w:trPr/>
    <w:tcPr>
      <w:tcBorders/>
      <w:shd w:val="clear" w:color="auto" w:fill="auto"/>
      <w:tcMar/>
      <w:vAlign w:val="top"/>
    </w:tcPr>
  </w:style>
  <w:style w:type="table" w:styleId="NormalTable_f6ceeb73-8446-45e4-b06c-df00e1493fea" w:customStyle="1">
    <w:name w:val="Normal Table_f6ceeb73-8446-45e4-b06c-df00e1493fea"/>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b2f468b7-4697-4d83-9970-5097ffc1d34a" w:customStyle="1">
    <w:name w:val="Table NoRule 1_b2f468b7-4697-4d83-9970-5097ffc1d34a"/>
    <w:basedOn w:val="NormalTable_f6ceeb73-8446-45e4-b06c-df00e1493fea"/>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895c74d8-3226-4684-b9cb-0a25092ae137" w:customStyle="1">
    <w:name w:val="Table NoRule 2_895c74d8-3226-4684-b9cb-0a25092ae137"/>
    <w:basedOn w:val="TableNoRule1_b2f468b7-4697-4d83-9970-5097ffc1d34a"/>
    <w:uiPriority w:val="99"/>
    <w:pPr>
      <w:pBdr/>
      <w:spacing/>
    </w:pPr>
    <w:rPr/>
    <w:tblPr>
      <w:tblInd w:w="475" w:type="dxa"/>
      <w:tblBorders/>
      <w:tblCellMar/>
    </w:tblPr>
    <w:trPr/>
    <w:tcPr>
      <w:tcBorders/>
      <w:shd w:val="clear" w:color="auto" w:fill="auto"/>
      <w:tcMar/>
      <w:vAlign w:val="top"/>
    </w:tcPr>
  </w:style>
  <w:style w:type="table" w:styleId="TableNoRule3_42e91320-11b1-412e-9d4e-0d86a52af3e1" w:customStyle="1">
    <w:name w:val="Table NoRule 3_42e91320-11b1-412e-9d4e-0d86a52af3e1"/>
    <w:basedOn w:val="TableNoRule2_895c74d8-3226-4684-b9cb-0a25092ae137"/>
    <w:uiPriority w:val="99"/>
    <w:pPr>
      <w:pBdr/>
      <w:spacing/>
    </w:pPr>
    <w:rPr/>
    <w:tblPr>
      <w:tblInd w:w="950" w:type="dxa"/>
      <w:tblBorders/>
      <w:tblCellMar/>
    </w:tblPr>
    <w:trPr/>
    <w:tcPr>
      <w:tcBorders/>
      <w:shd w:val="clear" w:color="auto" w:fill="auto"/>
      <w:tcMar/>
      <w:vAlign w:val="top"/>
    </w:tcPr>
  </w:style>
  <w:style w:type="table" w:styleId="TableNoRule4_07d104d1-da43-45df-969a-0a047ece107c" w:customStyle="1">
    <w:name w:val="Table NoRule 4_07d104d1-da43-45df-969a-0a047ece107c"/>
    <w:basedOn w:val="TableNoRule3_42e91320-11b1-412e-9d4e-0d86a52af3e1"/>
    <w:uiPriority w:val="99"/>
    <w:pPr>
      <w:pBdr/>
      <w:spacing/>
    </w:pPr>
    <w:rPr/>
    <w:tblPr>
      <w:tblInd w:w="1440" w:type="dxa"/>
      <w:tblBorders/>
      <w:tblCellMar/>
    </w:tblPr>
    <w:trPr/>
    <w:tcPr>
      <w:tcBorders/>
      <w:shd w:val="clear" w:color="auto" w:fill="auto"/>
      <w:tcMar/>
      <w:vAlign w:val="top"/>
    </w:tcPr>
  </w:style>
  <w:style w:type="table" w:styleId="TableNoRule5_a5c4d825-ae57-492c-8d19-4ec4a04b7e68" w:customStyle="1">
    <w:name w:val="Table NoRule 5_a5c4d825-ae57-492c-8d19-4ec4a04b7e68"/>
    <w:basedOn w:val="TableNoRule4_07d104d1-da43-45df-969a-0a047ece107c"/>
    <w:uiPriority w:val="99"/>
    <w:pPr>
      <w:pBdr/>
      <w:spacing/>
    </w:pPr>
    <w:rPr/>
    <w:tblPr>
      <w:tblInd w:w="1915" w:type="dxa"/>
      <w:tblBorders/>
      <w:tblCellMar/>
    </w:tblPr>
    <w:trPr/>
    <w:tcPr>
      <w:tcBorders/>
      <w:shd w:val="clear" w:color="auto" w:fill="auto"/>
      <w:tcMar/>
      <w:vAlign w:val="top"/>
    </w:tcPr>
  </w:style>
  <w:style w:type="table" w:styleId="TableNoRule6_b9dc35fb-6af7-4701-8eb7-fc45c9118172" w:customStyle="1">
    <w:name w:val="Table NoRule 6_b9dc35fb-6af7-4701-8eb7-fc45c9118172"/>
    <w:basedOn w:val="TableNoRule5_a5c4d825-ae57-492c-8d19-4ec4a04b7e68"/>
    <w:uiPriority w:val="99"/>
    <w:pPr>
      <w:pBdr/>
      <w:spacing/>
    </w:pPr>
    <w:rPr/>
    <w:tblPr>
      <w:tblInd w:w="2390" w:type="dxa"/>
      <w:tblBorders/>
      <w:tblCellMar/>
    </w:tblPr>
    <w:trPr/>
    <w:tcPr>
      <w:tcBorders/>
      <w:shd w:val="clear" w:color="auto" w:fill="auto"/>
      <w:tcMar/>
      <w:vAlign w:val="top"/>
    </w:tcPr>
  </w:style>
  <w:style w:type="table" w:styleId="TableNoRule7_d3e9f1da-a0c1-46d2-804a-3925ef3c627b" w:customStyle="1">
    <w:name w:val="Table NoRule 7_d3e9f1da-a0c1-46d2-804a-3925ef3c627b"/>
    <w:basedOn w:val="TableNoRule6_b9dc35fb-6af7-4701-8eb7-fc45c9118172"/>
    <w:uiPriority w:val="99"/>
    <w:pPr>
      <w:pBdr/>
      <w:spacing/>
    </w:pPr>
    <w:rPr/>
    <w:tblPr>
      <w:tblInd w:w="2880" w:type="dxa"/>
      <w:tblBorders/>
      <w:tblCellMar/>
    </w:tblPr>
    <w:trPr/>
    <w:tcPr>
      <w:tcBorders/>
      <w:shd w:val="clear" w:color="auto" w:fill="auto"/>
      <w:tcMar/>
      <w:vAlign w:val="top"/>
    </w:tcPr>
  </w:style>
  <w:style w:type="table" w:styleId="TableNoRule8_96b84a00-abcd-4f79-9189-3160c941a947" w:customStyle="1">
    <w:name w:val="Table NoRule 8_96b84a00-abcd-4f79-9189-3160c941a947"/>
    <w:basedOn w:val="TableNoRule7_d3e9f1da-a0c1-46d2-804a-3925ef3c627b"/>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96b84a00-abcd-4f79-9189-3160c941a947"/>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s>
</file>

<file path=word/_rels/document.xml.rels>&#65279;<?xml version="1.0" encoding="utf-8" standalone="yes"?><Relationships xmlns="http://schemas.openxmlformats.org/package/2006/relationships"><Relationship Id="rId77" Type="http://schemas.openxmlformats.org/officeDocument/2006/relationships/styles" Target="styles.xml" /><Relationship Id="rId78" Type="http://schemas.openxmlformats.org/officeDocument/2006/relationships/settings" Target="settings.xml" /><Relationship Id="rId79" Type="http://schemas.openxmlformats.org/officeDocument/2006/relationships/theme" Target="theme/theme1.xml" /><Relationship Id="rId80" Type="http://schemas.openxmlformats.org/officeDocument/2006/relationships/numbering" Target="numbering.xml" /><Relationship Id="rId2" Type="http://schemas.openxmlformats.org/officeDocument/2006/relationships/footer" Target="footer2.xml" /><Relationship Id="rId4" Type="http://schemas.openxmlformats.org/officeDocument/2006/relationships/footer" Target="footer4.xml" /><Relationship Id="rId6" Type="http://schemas.openxmlformats.org/officeDocument/2006/relationships/footer" Target="footer6.xml" /><Relationship Id="rId8" Type="http://schemas.openxmlformats.org/officeDocument/2006/relationships/footer" Target="footer8.xml" /><Relationship Id="rId10" Type="http://schemas.openxmlformats.org/officeDocument/2006/relationships/footer" Target="footer10.xml" /><Relationship Id="rId12" Type="http://schemas.openxmlformats.org/officeDocument/2006/relationships/footer" Target="footer12.xml" /><Relationship Id="rId14" Type="http://schemas.openxmlformats.org/officeDocument/2006/relationships/footer" Target="footer14.xml" /><Relationship Id="rId16" Type="http://schemas.openxmlformats.org/officeDocument/2006/relationships/footer" Target="footer16.xml" /><Relationship Id="rId18" Type="http://schemas.openxmlformats.org/officeDocument/2006/relationships/footer" Target="footer18.xml" /><Relationship Id="rId20" Type="http://schemas.openxmlformats.org/officeDocument/2006/relationships/footer" Target="footer20.xml" /><Relationship Id="rId22" Type="http://schemas.openxmlformats.org/officeDocument/2006/relationships/footer" Target="footer22.xml" /><Relationship Id="rId24" Type="http://schemas.openxmlformats.org/officeDocument/2006/relationships/footer" Target="footer24.xml" /><Relationship Id="rId26" Type="http://schemas.openxmlformats.org/officeDocument/2006/relationships/footer" Target="footer26.xml" /><Relationship Id="rId28" Type="http://schemas.openxmlformats.org/officeDocument/2006/relationships/footer" Target="footer28.xml" /><Relationship Id="rId30" Type="http://schemas.openxmlformats.org/officeDocument/2006/relationships/footer" Target="footer30.xml" /><Relationship Id="rId32" Type="http://schemas.openxmlformats.org/officeDocument/2006/relationships/footer" Target="footer32.xml" /><Relationship Id="rId34" Type="http://schemas.openxmlformats.org/officeDocument/2006/relationships/footer" Target="footer34.xml" /><Relationship Id="rId36" Type="http://schemas.openxmlformats.org/officeDocument/2006/relationships/footer" Target="footer36.xml" /><Relationship Id="rId38" Type="http://schemas.openxmlformats.org/officeDocument/2006/relationships/footer" Target="footer38.xml" /><Relationship Id="rId40" Type="http://schemas.openxmlformats.org/officeDocument/2006/relationships/footer" Target="footer40.xml" /><Relationship Id="rId42" Type="http://schemas.openxmlformats.org/officeDocument/2006/relationships/footer" Target="footer42.xml" /><Relationship Id="rId44" Type="http://schemas.openxmlformats.org/officeDocument/2006/relationships/footer" Target="footer44.xml" /><Relationship Id="rId46" Type="http://schemas.openxmlformats.org/officeDocument/2006/relationships/footer" Target="footer46.xml" /><Relationship Id="rId48" Type="http://schemas.openxmlformats.org/officeDocument/2006/relationships/footer" Target="footer48.xml" /><Relationship Id="rId50" Type="http://schemas.openxmlformats.org/officeDocument/2006/relationships/footer" Target="footer50.xml" /><Relationship Id="rId52" Type="http://schemas.openxmlformats.org/officeDocument/2006/relationships/footer" Target="footer52.xml" /><Relationship Id="rId54" Type="http://schemas.openxmlformats.org/officeDocument/2006/relationships/footer" Target="footer54.xml" /><Relationship Id="rId56" Type="http://schemas.openxmlformats.org/officeDocument/2006/relationships/footer" Target="footer56.xml" /><Relationship Id="rId58" Type="http://schemas.openxmlformats.org/officeDocument/2006/relationships/footer" Target="footer58.xml" /><Relationship Id="rId60" Type="http://schemas.openxmlformats.org/officeDocument/2006/relationships/footer" Target="footer60.xml" /><Relationship Id="rId62" Type="http://schemas.openxmlformats.org/officeDocument/2006/relationships/footer" Target="footer62.xml" /><Relationship Id="rId64" Type="http://schemas.openxmlformats.org/officeDocument/2006/relationships/footer" Target="footer64.xml" /><Relationship Id="rId66" Type="http://schemas.openxmlformats.org/officeDocument/2006/relationships/footer" Target="footer66.xml" /><Relationship Id="rId68" Type="http://schemas.openxmlformats.org/officeDocument/2006/relationships/footer" Target="footer68.xml" /><Relationship Id="rId70" Type="http://schemas.openxmlformats.org/officeDocument/2006/relationships/footer" Target="footer70.xml" /><Relationship Id="rId72" Type="http://schemas.openxmlformats.org/officeDocument/2006/relationships/footer" Target="footer72.xml" /><Relationship Id="rId74" Type="http://schemas.openxmlformats.org/officeDocument/2006/relationships/footer" Target="footer74.xml" /><Relationship Id="rId76" Type="http://schemas.openxmlformats.org/officeDocument/2006/relationships/footer" Target="footer76.xml" /><Relationship Id="rId1" Type="http://schemas.openxmlformats.org/officeDocument/2006/relationships/header" Target="header1.xml" /><Relationship Id="rId3" Type="http://schemas.openxmlformats.org/officeDocument/2006/relationships/header" Target="header3.xml" /><Relationship Id="rId5" Type="http://schemas.openxmlformats.org/officeDocument/2006/relationships/header" Target="header5.xml" /><Relationship Id="rId7" Type="http://schemas.openxmlformats.org/officeDocument/2006/relationships/header" Target="header7.xml" /><Relationship Id="rId9" Type="http://schemas.openxmlformats.org/officeDocument/2006/relationships/header" Target="header9.xml" /><Relationship Id="rId11" Type="http://schemas.openxmlformats.org/officeDocument/2006/relationships/header" Target="header11.xml" /><Relationship Id="rId13" Type="http://schemas.openxmlformats.org/officeDocument/2006/relationships/header" Target="header13.xml" /><Relationship Id="rId15" Type="http://schemas.openxmlformats.org/officeDocument/2006/relationships/header" Target="header15.xml" /><Relationship Id="rId17" Type="http://schemas.openxmlformats.org/officeDocument/2006/relationships/header" Target="header17.xml" /><Relationship Id="rId19" Type="http://schemas.openxmlformats.org/officeDocument/2006/relationships/header" Target="header19.xml" /><Relationship Id="rId21" Type="http://schemas.openxmlformats.org/officeDocument/2006/relationships/header" Target="header21.xml" /><Relationship Id="rId23" Type="http://schemas.openxmlformats.org/officeDocument/2006/relationships/header" Target="header23.xml" /><Relationship Id="rId25" Type="http://schemas.openxmlformats.org/officeDocument/2006/relationships/header" Target="header25.xml" /><Relationship Id="rId27" Type="http://schemas.openxmlformats.org/officeDocument/2006/relationships/header" Target="header27.xml" /><Relationship Id="rId29" Type="http://schemas.openxmlformats.org/officeDocument/2006/relationships/header" Target="header29.xml" /><Relationship Id="rId31" Type="http://schemas.openxmlformats.org/officeDocument/2006/relationships/header" Target="header31.xml" /><Relationship Id="rId33" Type="http://schemas.openxmlformats.org/officeDocument/2006/relationships/header" Target="header33.xml" /><Relationship Id="rId35" Type="http://schemas.openxmlformats.org/officeDocument/2006/relationships/header" Target="header35.xml" /><Relationship Id="rId37" Type="http://schemas.openxmlformats.org/officeDocument/2006/relationships/header" Target="header37.xml" /><Relationship Id="rId39" Type="http://schemas.openxmlformats.org/officeDocument/2006/relationships/header" Target="header39.xml" /><Relationship Id="rId41" Type="http://schemas.openxmlformats.org/officeDocument/2006/relationships/header" Target="header41.xml" /><Relationship Id="rId43" Type="http://schemas.openxmlformats.org/officeDocument/2006/relationships/header" Target="header43.xml" /><Relationship Id="rId45" Type="http://schemas.openxmlformats.org/officeDocument/2006/relationships/header" Target="header45.xml" /><Relationship Id="rId47" Type="http://schemas.openxmlformats.org/officeDocument/2006/relationships/header" Target="header47.xml" /><Relationship Id="rId49" Type="http://schemas.openxmlformats.org/officeDocument/2006/relationships/header" Target="header49.xml" /><Relationship Id="rId51" Type="http://schemas.openxmlformats.org/officeDocument/2006/relationships/header" Target="header51.xml" /><Relationship Id="rId53" Type="http://schemas.openxmlformats.org/officeDocument/2006/relationships/header" Target="header53.xml" /><Relationship Id="rId55" Type="http://schemas.openxmlformats.org/officeDocument/2006/relationships/header" Target="header55.xml" /><Relationship Id="rId57" Type="http://schemas.openxmlformats.org/officeDocument/2006/relationships/header" Target="header57.xml" /><Relationship Id="rId59" Type="http://schemas.openxmlformats.org/officeDocument/2006/relationships/header" Target="header59.xml" /><Relationship Id="rId61" Type="http://schemas.openxmlformats.org/officeDocument/2006/relationships/header" Target="header61.xml" /><Relationship Id="rId63" Type="http://schemas.openxmlformats.org/officeDocument/2006/relationships/header" Target="header63.xml" /><Relationship Id="rId65" Type="http://schemas.openxmlformats.org/officeDocument/2006/relationships/header" Target="header65.xml" /><Relationship Id="rId67" Type="http://schemas.openxmlformats.org/officeDocument/2006/relationships/header" Target="header67.xml" /><Relationship Id="rId69" Type="http://schemas.openxmlformats.org/officeDocument/2006/relationships/header" Target="header69.xml" /><Relationship Id="rId71" Type="http://schemas.openxmlformats.org/officeDocument/2006/relationships/header" Target="header71.xml" /><Relationship Id="rId73" Type="http://schemas.openxmlformats.org/officeDocument/2006/relationships/header" Target="header73.xml" /><Relationship Id="rId75" Type="http://schemas.openxmlformats.org/officeDocument/2006/relationships/header" Target="header7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2026-08-31T13:48:13Z</dcterms:created>
  <dcterms:modified xsi:type="dcterms:W3CDTF">2026-08-31T13:48:13Z</dcterms:modified>
</cp:coreProperties>
</file>