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40"/>
        <w:jc w:val="center"/>
      </w:pPr>
      <w:r>
        <w:rPr>
          <w:rFonts w:ascii="Times New Roman" w:hAnsi="Times New Roman"/>
          <w:b/>
          <w:sz w:val="24"/>
        </w:rPr>
        <w:t>IN THE FRANKLIN COUNTY MUNICIPAL COURT</w:t>
        <w:br/>
        <w:t>ENVIRONMENTAL DIVISION</w:t>
        <w:br/>
        <w:t>COLUMBUS, OHIO</w:t>
        <w:br/>
      </w:r>
    </w:p>
    <w:tbl>
      <w:tblPr>
        <w:tblW w:type="auto" w:w="0"/>
        <w:jc w:val="center"/>
        <w:tblLayout w:type="fixed"/>
        <w:tblLook w:firstColumn="1" w:firstRow="1" w:lastColumn="0" w:lastRow="0" w:noHBand="0" w:noVBand="1" w:val="04A0"/>
      </w:tblPr>
      <w:tblGrid>
        <w:gridCol w:w="4896"/>
        <w:gridCol w:w="4464"/>
      </w:tblGrid>
      <w:tr>
        <w:tc>
          <w:tcPr>
            <w:tcW w:type="dxa" w:w="4680"/>
          </w:tcPr>
          <w:p>
            <w:pPr>
              <w:spacing w:line="276" w:lineRule="auto" w:after="0"/>
            </w:pPr>
            <w:r>
              <w:rPr>
                <w:rFonts w:ascii="Times New Roman" w:hAnsi="Times New Roman"/>
                <w:b/>
                <w:sz w:val="22"/>
              </w:rPr>
              <w:t>OAKWOOD MANOR APARTMENTS, LLC</w:t>
              <w:br/>
            </w:r>
            <w:r>
              <w:rPr>
                <w:rFonts w:ascii="Times New Roman" w:hAnsi="Times New Roman"/>
                <w:sz w:val="20"/>
              </w:rPr>
              <w:t>Plaintiff / Landlord,</w:t>
              <w:br/>
              <w:br/>
            </w:r>
            <w:r>
              <w:rPr>
                <w:rFonts w:ascii="Times New Roman" w:hAnsi="Times New Roman"/>
                <w:sz w:val="22"/>
              </w:rPr>
              <w:t>v.</w:t>
              <w:br/>
              <w:br/>
            </w:r>
            <w:r>
              <w:rPr>
                <w:rFonts w:ascii="Times New Roman" w:hAnsi="Times New Roman"/>
                <w:b/>
                <w:sz w:val="22"/>
              </w:rPr>
              <w:t>MARCUS VANCE</w:t>
              <w:br/>
            </w:r>
            <w:r>
              <w:rPr>
                <w:rFonts w:ascii="Times New Roman" w:hAnsi="Times New Roman"/>
                <w:sz w:val="20"/>
              </w:rPr>
              <w:t>Defendant / Tenant.</w:t>
            </w:r>
          </w:p>
        </w:tc>
        <w:tc>
          <w:tcPr>
            <w:tcW w:type="dxa" w:w="4680"/>
          </w:tcPr>
          <w:p>
            <w:pPr>
              <w:spacing w:line="276" w:lineRule="auto" w:after="0"/>
            </w:pPr>
            <w:r>
              <w:rPr>
                <w:rFonts w:ascii="Times New Roman" w:hAnsi="Times New Roman"/>
                <w:b/>
                <w:sz w:val="22"/>
              </w:rPr>
              <w:t>CASE NO. 2024 CVG 014892</w:t>
              <w:br/>
            </w:r>
            <w:r>
              <w:rPr>
                <w:rFonts w:ascii="Times New Roman" w:hAnsi="Times New Roman"/>
                <w:sz w:val="20"/>
              </w:rPr>
              <w:t>JUDGE STEPHANIE MINGO</w:t>
              <w:br/>
              <w:br/>
            </w:r>
            <w:r>
              <w:rPr>
                <w:rFonts w:ascii="Times New Roman" w:hAnsi="Times New Roman"/>
                <w:b/>
                <w:sz w:val="22"/>
              </w:rPr>
              <w:t>DEFENDANT'S MOTION TO DISMISS FIRST CAUSE OF ACTION (FORCIBLE ENTRY AND DETAINER) PURSUANT TO CIV.R. 12(B)(1) AND R.C. 1923.04</w:t>
            </w:r>
          </w:p>
        </w:tc>
      </w:tr>
    </w:tbl>
    <w:p>
      <w:pPr>
        <w:spacing w:line="240" w:lineRule="auto" w:after="120"/>
      </w:pPr>
    </w:p>
    <w:p>
      <w:pPr>
        <w:spacing w:line="480" w:lineRule="auto" w:after="0" w:before="0"/>
        <w:ind w:firstLine="720"/>
      </w:pPr>
      <w:r>
        <w:rPr>
          <w:rFonts w:ascii="Times New Roman" w:hAnsi="Times New Roman"/>
          <w:sz w:val="24"/>
        </w:rPr>
        <w:t>Now comes Defendant Marcus Vance, by and through undersigned counsel, and respectfully moves this Court pursuant to Ohio Rule of Civil Procedure 12(B)(1) and Ohio Revised Code § 1923.04 for an Order dismissing Plaintiff's First Cause of Action (Forcible Entry and Detainer) for lack of subject-matter jurisdiction. As established in the accompanying Memorandum in Support, Plaintiff failed to serve a statutorily compliant three-day notice to leave the premises, and prematurely commenced this action prior to the expiration of the full statutory waiting period. Consequently, this Court lacks jurisdiction over Plaintiff's eviction claim.</w:t>
      </w:r>
    </w:p>
    <w:p>
      <w:pPr>
        <w:spacing w:line="360" w:lineRule="auto" w:before="240" w:after="80"/>
      </w:pPr>
      <w:r>
        <w:rPr>
          <w:rFonts w:ascii="Times New Roman" w:hAnsi="Times New Roman"/>
          <w:b/>
          <w:sz w:val="24"/>
        </w:rPr>
        <w:t>MEMORANDUM IN SUPPORT</w:t>
      </w:r>
    </w:p>
    <w:p>
      <w:pPr>
        <w:spacing w:line="360" w:lineRule="auto" w:before="240" w:after="80"/>
      </w:pPr>
      <w:r>
        <w:rPr>
          <w:rFonts w:ascii="Times New Roman" w:hAnsi="Times New Roman"/>
          <w:b/>
          <w:sz w:val="24"/>
        </w:rPr>
        <w:t>I. STATEMENT OF THE FACTS</w:t>
      </w:r>
    </w:p>
    <w:p>
      <w:pPr>
        <w:spacing w:line="480" w:lineRule="auto" w:after="0" w:before="0"/>
        <w:ind w:firstLine="720"/>
      </w:pPr>
      <w:r>
        <w:rPr>
          <w:rFonts w:ascii="Times New Roman" w:hAnsi="Times New Roman"/>
          <w:sz w:val="24"/>
        </w:rPr>
        <w:t>Defendant Marcus Vance has resided at 1428 East Broad Street, Apartment 3B, Columbus, Ohio 43205 since March 1, 2022, pursuant to a written residential lease agreement with Plaintiff Oakwood Manor Apartments, LLC.</w:t>
      </w:r>
    </w:p>
    <w:p>
      <w:pPr>
        <w:spacing w:line="480" w:lineRule="auto" w:after="0" w:before="0"/>
        <w:ind w:firstLine="720"/>
      </w:pPr>
      <w:r>
        <w:rPr>
          <w:rFonts w:ascii="Times New Roman" w:hAnsi="Times New Roman"/>
          <w:sz w:val="24"/>
        </w:rPr>
        <w:t>On Friday, May 3, 2024, at approximately 5:30 p.m., Plaintiff's property manager taped a paper document entitled 'Notice of Termination' to the exterior door of Defendant's apartment unit. A true and accurate copy of the paper posted by Plaintiff is attached hereto as Exhibit A.</w:t>
      </w:r>
    </w:p>
    <w:p>
      <w:pPr>
        <w:spacing w:line="480" w:lineRule="auto" w:after="0" w:before="0"/>
        <w:ind w:firstLine="720"/>
      </w:pPr>
      <w:r>
        <w:rPr>
          <w:rFonts w:ascii="Times New Roman" w:hAnsi="Times New Roman"/>
          <w:sz w:val="24"/>
        </w:rPr>
        <w:t>The paper posted by Plaintiff ordered Defendant to vacate within three days, but entirely omitted the mandatory conspicuous statutory warning required by R.C. 1923.04(A). Specifically, the notice contained no warning advising Defendant that if he did not leave, an eviction action might be filed against him, nor did it contain the required statutory language regarding seeking legal assistance.</w:t>
      </w:r>
    </w:p>
    <w:p>
      <w:pPr>
        <w:spacing w:line="480" w:lineRule="auto" w:after="0" w:before="0"/>
        <w:ind w:firstLine="720"/>
      </w:pPr>
      <w:r>
        <w:rPr>
          <w:rFonts w:ascii="Times New Roman" w:hAnsi="Times New Roman"/>
          <w:sz w:val="24"/>
        </w:rPr>
        <w:t>Furthermore, Plaintiff filed the instant Forcible Entry and Detainer Complaint in this Court on Wednesday, May 8, 2024. Counting from the date of service pursuant to R.C. 1.14 and Civ.R. 6(A)—which excludes the day of service (May 3) and intermediate weekend days (Saturday, May 4, and Sunday, May 5)—only two full business days elapsed before Plaintiff filed its eviction complaint.</w:t>
      </w:r>
    </w:p>
    <w:p>
      <w:pPr>
        <w:spacing w:line="360" w:lineRule="auto" w:before="240" w:after="80"/>
      </w:pPr>
      <w:r>
        <w:rPr>
          <w:rFonts w:ascii="Times New Roman" w:hAnsi="Times New Roman"/>
          <w:b/>
          <w:sz w:val="24"/>
        </w:rPr>
        <w:t>II. LAW AND ARGUMENT</w:t>
      </w:r>
    </w:p>
    <w:p>
      <w:pPr>
        <w:spacing w:line="360" w:lineRule="auto" w:before="160" w:after="40"/>
      </w:pPr>
      <w:r>
        <w:rPr>
          <w:rFonts w:ascii="Times New Roman" w:hAnsi="Times New Roman"/>
          <w:b/>
          <w:i/>
          <w:sz w:val="24"/>
        </w:rPr>
        <w:t>A. Proper Service of a Statutorily Compliant Three-Day Notice under R.C. 1923.04 Is a Mandatory Jurisdictional Precondition to Eviction.</w:t>
      </w:r>
    </w:p>
    <w:p>
      <w:pPr>
        <w:spacing w:line="480" w:lineRule="auto" w:after="0" w:before="0"/>
        <w:ind w:firstLine="720"/>
      </w:pPr>
      <w:r>
        <w:rPr>
          <w:rFonts w:ascii="Times New Roman" w:hAnsi="Times New Roman"/>
          <w:sz w:val="24"/>
        </w:rPr>
        <w:t>In Ohio, compliance with R.C. 1923.04 is a mandatory prerequisite to the jurisdiction of a municipal court in a forcible entry and detainer action. See Bella Vista Apts. v. Herzner, 125 Ohio Misc.2d 1, 2003-Ohio-4872, 796 N.E.2d 593 (M.C.); Voyager Village Ltd. v. Lehman, 161 Ohio App.3d 192, 2005-Ohio-2451, 829 N.E.2d 755 (2d Dist.). A landlord's failure to strictly comply with the notice requirements of R.C. 1923.04 deprives the trial court of subject-matter jurisdiction and requires dismissal of the complaint pursuant to Civ.R. 12(B)(1).</w:t>
      </w:r>
    </w:p>
    <w:p>
      <w:pPr>
        <w:spacing w:line="360" w:lineRule="auto" w:before="160" w:after="40"/>
      </w:pPr>
      <w:r>
        <w:rPr>
          <w:rFonts w:ascii="Times New Roman" w:hAnsi="Times New Roman"/>
          <w:b/>
          <w:i/>
          <w:sz w:val="24"/>
        </w:rPr>
        <w:t>B. Plaintiff's Notice Omitted the Mandatory Statutory Language Mandated by R.C. 1923.04(A).</w:t>
      </w:r>
    </w:p>
    <w:p>
      <w:pPr>
        <w:spacing w:line="480" w:lineRule="auto" w:after="0" w:before="0"/>
        <w:ind w:firstLine="720"/>
      </w:pPr>
      <w:r>
        <w:rPr>
          <w:rFonts w:ascii="Times New Roman" w:hAnsi="Times New Roman"/>
          <w:sz w:val="24"/>
        </w:rPr>
        <w:t>R.C. 1923.04(A) explicitly dictates that every notice to leave the premises served upon a residential tenant must contain the following language, printed in a conspicuous manner: 'YOU ARE BEING ASKED TO LEAVE THE PREMISES. IF YOU DO NOT LEAVE, AN EVICTION ACTION MAY BE SUBSTANTIALLY FILED AGAINST YOU. IF YOU ARE IN DOUBT REGARDING YOUR LEGAL RIGHTS AND OBLIGATIONS AS A TENANT, IT IS RECOMMENDED THAT YOU SEEK LEGAL ASSISTANCE.'</w:t>
      </w:r>
    </w:p>
    <w:p>
      <w:pPr>
        <w:spacing w:line="480" w:lineRule="auto" w:after="0" w:before="0"/>
        <w:ind w:firstLine="720"/>
      </w:pPr>
      <w:r>
        <w:rPr>
          <w:rFonts w:ascii="Times New Roman" w:hAnsi="Times New Roman"/>
          <w:sz w:val="24"/>
        </w:rPr>
        <w:t>The Supreme Court of Ohio and appellate courts across this state have repeatedly held that the inclusion of this exact statutory language is mandatory. See Mastics v. McGrew, 8th Dist. Cuyahoga No. 39682, 1979 WL 210543 (Dec. 6, 1979); Cincinnati Metro. Hous. Auth. v. Morgan, 104 Ohio St.3d 445, 2004-Ohio-6554, 820 N.E.2d 315. In the case at bar, as demonstrated by Exhibit A, Plaintiff's notice contained no such statutory language whatsoever. Because the statutory warning language is absent, the notice is void ab initio, and cannot support a forcible entry and detainer action.</w:t>
      </w:r>
    </w:p>
    <w:p>
      <w:pPr>
        <w:spacing w:line="360" w:lineRule="auto" w:before="160" w:after="40"/>
      </w:pPr>
      <w:r>
        <w:rPr>
          <w:rFonts w:ascii="Times New Roman" w:hAnsi="Times New Roman"/>
          <w:b/>
          <w:i/>
          <w:sz w:val="24"/>
        </w:rPr>
        <w:t>C. Plaintiff Prematurely Commenced this Action Prior to the Expiration of the Statutory Three-Day Waiting Period.</w:t>
      </w:r>
    </w:p>
    <w:p>
      <w:pPr>
        <w:spacing w:line="480" w:lineRule="auto" w:after="0" w:before="0"/>
        <w:ind w:firstLine="720"/>
      </w:pPr>
      <w:r>
        <w:rPr>
          <w:rFonts w:ascii="Times New Roman" w:hAnsi="Times New Roman"/>
          <w:sz w:val="24"/>
        </w:rPr>
        <w:t>Even assuming arguendo that the notice was substantively sufficient, Plaintiff failed to wait the requisite statutory three-day period before filing its complaint. Under R.C. 1923.04(A), a landlord must serve the notice 'at least three or more days before commencing the action.' When computing time under R.C. 1923.04, Ohio courts apply R.C. 1.14 and Civ.R. 6(A). See Wintrow v. Smith, 32 Ohio Misc.2d 12, 513 N.E.2d 363 (M.C. 1987); Dennis v. Morgan, 89 Ohio St.3d 417, 732 N.E.2d 391 (2000).</w:t>
      </w:r>
    </w:p>
    <w:p>
      <w:pPr>
        <w:spacing w:line="480" w:lineRule="auto" w:after="0" w:before="0"/>
        <w:ind w:firstLine="720"/>
      </w:pPr>
      <w:r>
        <w:rPr>
          <w:rFonts w:ascii="Times New Roman" w:hAnsi="Times New Roman"/>
          <w:sz w:val="24"/>
        </w:rPr>
        <w:t>Pursuant to Civ.R. 6(A), the day of service (Friday, May 3) is excluded. Furthermore, because the prescribed period is less than seven days, intermediate Saturdays and Sundays are excluded from the computation. Therefore, the first day counted was Monday, May 6, 2024; the second day was Tuesday, May 7; and the third full day was Wednesday, May 8. Plaintiff was prohibited from filing an eviction action until Thursday, May 9, 2024. By filing its complaint on May 8, Plaintiff filed prematurely. Under settled Ohio law, a premature filing under R.C. 1923.04 is a fatal defect that deprives the court of jurisdiction and warrants immediate dismissal. See Showe Mgt. Corp. v. Hazelbaker, 12th Dist. Fayette No. CA2005-11-031, 2006-Ohio-6356.</w:t>
      </w:r>
    </w:p>
    <w:p>
      <w:pPr>
        <w:spacing w:line="360" w:lineRule="auto" w:before="240" w:after="80"/>
      </w:pPr>
      <w:r>
        <w:rPr>
          <w:rFonts w:ascii="Times New Roman" w:hAnsi="Times New Roman"/>
          <w:b/>
          <w:sz w:val="24"/>
        </w:rPr>
        <w:t>III. CONCLUSION AND PRAYER FOR RELIEF</w:t>
      </w:r>
    </w:p>
    <w:p>
      <w:pPr>
        <w:spacing w:line="480" w:lineRule="auto" w:after="0" w:before="0"/>
        <w:ind w:firstLine="720"/>
      </w:pPr>
      <w:r>
        <w:rPr>
          <w:rFonts w:ascii="Times New Roman" w:hAnsi="Times New Roman"/>
          <w:sz w:val="24"/>
        </w:rPr>
        <w:t>WHEREFORE, Defendant Marcus Vance respectfully requests that this Court issue an Order dismissing Plaintiff's First Cause of Action (Forcible Entry and Detainer) with prejudice for lack of subject-matter jurisdiction, awarding Defendant his reasonable costs and statutory fees, and granting such other and further relief as the Court deems just and equitable.</w:t>
      </w:r>
    </w:p>
    <w:p>
      <w:pPr>
        <w:spacing w:line="276" w:lineRule="auto" w:before="240" w:after="0"/>
        <w:ind w:firstLine="0"/>
      </w:pPr>
      <w:r>
        <w:t>Respectfully submitted,</w:t>
        <w:br/>
        <w:br/>
        <w:br/>
      </w:r>
      <w:r>
        <w:rPr>
          <w:b/>
        </w:rPr>
        <w:t>/s/ Clara E. Jenkins</w:t>
        <w:br/>
      </w:r>
      <w:r>
        <w:t>Clara E. Jenkins (0098412)</w:t>
        <w:br/>
      </w:r>
      <w:r>
        <w:t>Staff Attorney</w:t>
        <w:br/>
      </w:r>
      <w:r>
        <w:t>The Legal Aid Society of Columbus</w:t>
        <w:br/>
      </w:r>
      <w:r>
        <w:t>1108 South High Street, Columbus, OH 43206</w:t>
        <w:br/>
      </w:r>
      <w:r>
        <w:t>Telephone: (614) 224-8374</w:t>
        <w:br/>
      </w:r>
      <w:r>
        <w:t>Email: cjenkins@columbuslegalaid.org</w:t>
        <w:br/>
        <w:br/>
      </w:r>
      <w:r>
        <w:t>Attorney for Defendant Marcus Vance</w:t>
        <w:br/>
      </w:r>
    </w:p>
    <w:p>
      <w:pPr>
        <w:spacing w:line="240" w:lineRule="auto" w:before="360" w:after="120"/>
        <w:jc w:val="center"/>
      </w:pPr>
      <w:r>
        <w:rPr>
          <w:rFonts w:ascii="Times New Roman" w:hAnsi="Times New Roman"/>
          <w:b/>
          <w:sz w:val="24"/>
        </w:rPr>
        <w:t>CERTIFICATE OF SERVICE</w:t>
      </w:r>
    </w:p>
    <w:p>
      <w:pPr>
        <w:spacing w:line="360" w:lineRule="auto" w:after="240"/>
        <w:ind w:firstLine="720"/>
      </w:pPr>
      <w:r>
        <w:rPr>
          <w:rFonts w:ascii="Times New Roman" w:hAnsi="Times New Roman"/>
          <w:sz w:val="24"/>
        </w:rPr>
        <w:t>I hereby certify that on this 14th day of May, 2024, a true and correct copy of the foregoing Motion to Dismiss was served via electronic mail and ordinary U.S. Mail, postage prepaid, upon Plaintiff's counsel: Gregory T. Stone, Esq., Stone &amp; Associates Co., L.P.A., 250 Civic Center Drive, Suite 400, Columbus, OH 43215 (gstone@stonelawcolumbus.com).</w:t>
      </w:r>
    </w:p>
    <w:p>
      <w:pPr>
        <w:spacing w:line="240" w:lineRule="auto" w:before="120"/>
      </w:pPr>
      <w:r>
        <w:rPr>
          <w:rFonts w:ascii="Times New Roman" w:hAnsi="Times New Roman"/>
          <w:sz w:val="24"/>
        </w:rPr>
        <w:t>/s/ Clara E. Jenkins</w:t>
        <w:br/>
        <w:t>Clara E. Jenkins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