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rPr>
          <w:rFonts w:ascii="Times New Roman" w:hAnsi="Times New Roman"/>
          <w:b/>
          <w:sz w:val="24"/>
        </w:rPr>
        <w:t>IN THE CLEVELAND MUNICIPAL COURT</w:t>
        <w:br/>
        <w:t>HOUSING DIVISION</w:t>
        <w:br/>
        <w:t>CUYAHOGA COUNTY, OHIO</w:t>
        <w:br/>
      </w:r>
    </w:p>
    <w:tbl>
      <w:tblPr>
        <w:tblW w:type="auto" w:w="0"/>
        <w:jc w:val="center"/>
        <w:tblLayout w:type="fixed"/>
        <w:tblLook w:firstColumn="1" w:firstRow="1" w:lastColumn="0" w:lastRow="0" w:noHBand="0" w:noVBand="1" w:val="04A0"/>
      </w:tblPr>
      <w:tblGrid>
        <w:gridCol w:w="4896"/>
        <w:gridCol w:w="4464"/>
      </w:tblGrid>
      <w:tr>
        <w:tc>
          <w:tcPr>
            <w:tcW w:type="dxa" w:w="4680"/>
          </w:tcPr>
          <w:p>
            <w:pPr>
              <w:spacing w:line="276" w:lineRule="auto" w:after="0"/>
            </w:pPr>
            <w:r>
              <w:rPr>
                <w:rFonts w:ascii="Times New Roman" w:hAnsi="Times New Roman"/>
                <w:b/>
                <w:sz w:val="22"/>
              </w:rPr>
              <w:t>SUPERIOR PROPERTY MANAGEMENT CO.</w:t>
              <w:br/>
            </w:r>
            <w:r>
              <w:rPr>
                <w:rFonts w:ascii="Times New Roman" w:hAnsi="Times New Roman"/>
                <w:sz w:val="20"/>
              </w:rPr>
              <w:t>Plaintiff / Landlord,</w:t>
              <w:br/>
              <w:br/>
            </w:r>
            <w:r>
              <w:rPr>
                <w:rFonts w:ascii="Times New Roman" w:hAnsi="Times New Roman"/>
                <w:sz w:val="22"/>
              </w:rPr>
              <w:t>v.</w:t>
              <w:br/>
              <w:br/>
            </w:r>
            <w:r>
              <w:rPr>
                <w:rFonts w:ascii="Times New Roman" w:hAnsi="Times New Roman"/>
                <w:b/>
                <w:sz w:val="22"/>
              </w:rPr>
              <w:t>ELENA ROSTOVA</w:t>
              <w:br/>
            </w:r>
            <w:r>
              <w:rPr>
                <w:rFonts w:ascii="Times New Roman" w:hAnsi="Times New Roman"/>
                <w:sz w:val="20"/>
              </w:rPr>
              <w:t>Defendant / Tenant.</w:t>
            </w:r>
          </w:p>
        </w:tc>
        <w:tc>
          <w:tcPr>
            <w:tcW w:type="dxa" w:w="4680"/>
          </w:tcPr>
          <w:p>
            <w:pPr>
              <w:spacing w:line="276" w:lineRule="auto" w:after="0"/>
            </w:pPr>
            <w:r>
              <w:rPr>
                <w:rFonts w:ascii="Times New Roman" w:hAnsi="Times New Roman"/>
                <w:b/>
                <w:sz w:val="22"/>
              </w:rPr>
              <w:t>CASE NO. 2024-CVG-008912</w:t>
              <w:br/>
            </w:r>
            <w:r>
              <w:rPr>
                <w:rFonts w:ascii="Times New Roman" w:hAnsi="Times New Roman"/>
                <w:sz w:val="20"/>
              </w:rPr>
              <w:t>JUDGE W. MONÁ SCOTT</w:t>
              <w:br/>
              <w:br/>
            </w:r>
            <w:r>
              <w:rPr>
                <w:rFonts w:ascii="Times New Roman" w:hAnsi="Times New Roman"/>
                <w:b/>
                <w:sz w:val="22"/>
              </w:rPr>
              <w:t>DEFENDANT'S TRIAL BRIEF IN OPPOSITION TO RESTITUTION OF PREMISES AND IN SUPPORT OF DEFENSES UNDER R.C. 5321.02 AND R.C. 5321.04</w:t>
            </w:r>
          </w:p>
        </w:tc>
      </w:tr>
    </w:tbl>
    <w:p>
      <w:pPr>
        <w:spacing w:line="240" w:lineRule="auto" w:after="120"/>
      </w:pPr>
    </w:p>
    <w:p>
      <w:pPr>
        <w:spacing w:line="480" w:lineRule="auto" w:after="0" w:before="0"/>
        <w:ind w:firstLine="720"/>
      </w:pPr>
      <w:r>
        <w:rPr>
          <w:rFonts w:ascii="Times New Roman" w:hAnsi="Times New Roman"/>
          <w:sz w:val="24"/>
        </w:rPr>
        <w:t>Defendant Elena Rostova, by and through undersigned legal counsel, respectfully submits this Trial Brief prior to the eviction hearing scheduled for November 14, 2024. As set forth below, Plaintiff's action for possession is barred because it constitutes an unlawful retaliatory eviction under R.C. 5321.02 following Defendant's formal housing code complaint to the City of Cleveland. Furthermore, Plaintiff's continuous and willful breach of its statutory duty to maintain fit and habitable premises under R.C. 5321.04(A) bars recovery of possession and entitles Defendant to rent abatement.</w:t>
      </w:r>
    </w:p>
    <w:p>
      <w:pPr>
        <w:spacing w:line="360" w:lineRule="auto" w:before="240" w:after="80"/>
      </w:pPr>
      <w:r>
        <w:rPr>
          <w:rFonts w:ascii="Times New Roman" w:hAnsi="Times New Roman"/>
          <w:b/>
          <w:sz w:val="24"/>
        </w:rPr>
        <w:t>I. STATEMENT OF FACTS AND PROCEDURAL HISTORY</w:t>
      </w:r>
    </w:p>
    <w:p>
      <w:pPr>
        <w:spacing w:line="480" w:lineRule="auto" w:after="0" w:before="0"/>
        <w:ind w:firstLine="720"/>
      </w:pPr>
      <w:r>
        <w:rPr>
          <w:rFonts w:ascii="Times New Roman" w:hAnsi="Times New Roman"/>
          <w:sz w:val="24"/>
        </w:rPr>
        <w:t>Defendant Elena Rostova has resided in unit 4 of the multi-family residential building located at 3241 West 84th Street, Cleveland, Ohio 44102 since January 2021. Monthly rent under the oral month-to-month tenancy is $750.00.</w:t>
      </w:r>
    </w:p>
    <w:p>
      <w:pPr>
        <w:spacing w:line="480" w:lineRule="auto" w:after="0" w:before="0"/>
        <w:ind w:firstLine="720"/>
      </w:pPr>
      <w:r>
        <w:rPr>
          <w:rFonts w:ascii="Times New Roman" w:hAnsi="Times New Roman"/>
          <w:sz w:val="24"/>
        </w:rPr>
        <w:t>Beginning in August 2024, Defendant experienced severe maintenance issues, including raw sewage backup into her bathtub and a complete failure of the apartment's heating furnace. Defendant sent written notices describing these hazardous conditions to Plaintiff's property manager via certified mail and text messaging on August 15, 2024, and September 4, 2024. Copies of these written communications are attached hereto as Exhibit B.</w:t>
      </w:r>
    </w:p>
    <w:p>
      <w:pPr>
        <w:spacing w:line="480" w:lineRule="auto" w:after="0" w:before="0"/>
        <w:ind w:firstLine="720"/>
      </w:pPr>
      <w:r>
        <w:rPr>
          <w:rFonts w:ascii="Times New Roman" w:hAnsi="Times New Roman"/>
          <w:sz w:val="24"/>
        </w:rPr>
        <w:t>Despite having ample reasonable time and opportunity to remedy these conditions, Plaintiff failed and refused to make repairs. Consequently, on October 2, 2024, Defendant engaged in statutorily protected activity by filing a formal housing code complaint with the City of Cleveland Department of Building and Housing.</w:t>
      </w:r>
    </w:p>
    <w:p>
      <w:pPr>
        <w:spacing w:line="480" w:lineRule="auto" w:after="0" w:before="0"/>
        <w:ind w:firstLine="720"/>
      </w:pPr>
      <w:r>
        <w:rPr>
          <w:rFonts w:ascii="Times New Roman" w:hAnsi="Times New Roman"/>
          <w:sz w:val="24"/>
        </w:rPr>
        <w:t>On October 8, 2024, a Cleveland Housing Code Inspector conducted an on-site inspection and issued a Notice of Violation citing Plaintiff for multiple hazardous conditions under the Cleveland Codified Ordinances and R.C. 5321.04(A)(1), including lack of operational heating facilities (Cleveland Cod. Ord. 369.15) and unsanitary plumbing backups (Cleveland Cod. Ord. 369.17). A certified copy of the City of Cleveland Inspection Report and Notice of Violation is attached hereto as Exhibit A.</w:t>
      </w:r>
    </w:p>
    <w:p>
      <w:pPr>
        <w:spacing w:line="480" w:lineRule="auto" w:after="0" w:before="0"/>
        <w:ind w:firstLine="720"/>
      </w:pPr>
      <w:r>
        <w:rPr>
          <w:rFonts w:ascii="Times New Roman" w:hAnsi="Times New Roman"/>
          <w:sz w:val="24"/>
        </w:rPr>
        <w:t>The City served the Notice of Violation on Plaintiff on October 12, 2024. Exactly six days later, on October 18, 2024, Plaintiff served Defendant with a Notice to Leave the Premises, followed immediately by the filing of this eviction complaint on October 25, 2024. Prior to Defendant's report to the city, Plaintiff had never issued any notice of lease violation or termination.</w:t>
      </w:r>
    </w:p>
    <w:p>
      <w:pPr>
        <w:spacing w:line="360" w:lineRule="auto" w:before="240" w:after="80"/>
      </w:pPr>
      <w:r>
        <w:rPr>
          <w:rFonts w:ascii="Times New Roman" w:hAnsi="Times New Roman"/>
          <w:b/>
          <w:sz w:val="24"/>
        </w:rPr>
        <w:t>II. LAW AND ARGUMENT</w:t>
      </w:r>
    </w:p>
    <w:p>
      <w:pPr>
        <w:spacing w:line="360" w:lineRule="auto" w:before="160" w:after="40"/>
      </w:pPr>
      <w:r>
        <w:rPr>
          <w:rFonts w:ascii="Times New Roman" w:hAnsi="Times New Roman"/>
          <w:b/>
          <w:i/>
          <w:sz w:val="24"/>
        </w:rPr>
        <w:t>A. Plaintiff's Action for Possession Is Barred as Unlawful Retaliation under R.C. 5321.02.</w:t>
      </w:r>
    </w:p>
    <w:p>
      <w:pPr>
        <w:spacing w:line="480" w:lineRule="auto" w:after="0" w:before="0"/>
        <w:ind w:firstLine="720"/>
      </w:pPr>
      <w:r>
        <w:rPr>
          <w:rFonts w:ascii="Times New Roman" w:hAnsi="Times New Roman"/>
          <w:sz w:val="24"/>
        </w:rPr>
        <w:t>Under R.C. 5321.02(A)(1), a residential landlord is strictly prohibited from bringing or threatening to bring an action for possession of the premises, increasing rent, or decreasing services when a tenant has complained to a governmental agency charged with the enforcement of building, housing, health, or safety codes regarding a violation that materially affects health and safety.</w:t>
      </w:r>
    </w:p>
    <w:p>
      <w:pPr>
        <w:spacing w:line="480" w:lineRule="auto" w:after="0" w:before="0"/>
        <w:ind w:firstLine="720"/>
      </w:pPr>
      <w:r>
        <w:rPr>
          <w:rFonts w:ascii="Times New Roman" w:hAnsi="Times New Roman"/>
          <w:sz w:val="24"/>
        </w:rPr>
        <w:t>To establish a defense under R.C. 5321.02, the tenant must demonstrate: (1) that the tenant engaged in protected activity; (2) that the landlord had notice or knowledge of the protected activity; (3) that the landlord took an adverse retaliatory action against the tenant, such as an eviction; and (4) that a causal connection exists between the protected activity and the adverse action. See Building Realty &amp; Holding Co. v. Jackson, 8th Dist. Cuyahoga No. 40312, 1980 WL 354394 (Feb. 28, 1980); Karas v. Floyd, 2 Ohio App.3d 4, 440 N.E.2d 563 (2d Dist. 1981).</w:t>
      </w:r>
    </w:p>
    <w:p>
      <w:pPr>
        <w:spacing w:line="480" w:lineRule="auto" w:after="0" w:before="0"/>
        <w:ind w:firstLine="720"/>
      </w:pPr>
      <w:r>
        <w:rPr>
          <w:rFonts w:ascii="Times New Roman" w:hAnsi="Times New Roman"/>
          <w:sz w:val="24"/>
        </w:rPr>
        <w:t>Here, every element of R.C. 5321.02 is established by uncontroverted documentary evidence. First, Defendant engaged in protected activity on October 2, 2024, by lodging a formal complaint with the Cleveland Department of Building and Housing regarding non-functioning heat and raw sewage. Second, Plaintiff received actual written notice of the code violations from the city inspector on October 12, 2024 (Exhibit A). Third, Plaintiff instituted eviction proceedings against Defendant. Fourth, the temporal proximity between Plaintiff learning of the city code violations on October 12 and serving the eviction notice on October 18—a mere six days—creates an overwhelming inference of retaliatory causation. See Smith v. Wright, 65 Ohio App.2d 101, 416 N.E.2d 655 (8th Dist. 1979). Because Plaintiff cannot establish any legitimate non-retaliatory justification, judgment on the first cause of action must be entered in favor of Defendant.</w:t>
      </w:r>
    </w:p>
    <w:p>
      <w:pPr>
        <w:spacing w:line="360" w:lineRule="auto" w:before="160" w:after="40"/>
      </w:pPr>
      <w:r>
        <w:rPr>
          <w:rFonts w:ascii="Times New Roman" w:hAnsi="Times New Roman"/>
          <w:b/>
          <w:i/>
          <w:sz w:val="24"/>
        </w:rPr>
        <w:t>B. Plaintiff Breached Its Mandatory Statutory Duties under R.C. 5321.04(A) and Cleveland Codified Ordinances, Precluding Restitution.</w:t>
      </w:r>
    </w:p>
    <w:p>
      <w:pPr>
        <w:spacing w:line="480" w:lineRule="auto" w:after="0" w:before="0"/>
        <w:ind w:firstLine="720"/>
      </w:pPr>
      <w:r>
        <w:rPr>
          <w:rFonts w:ascii="Times New Roman" w:hAnsi="Times New Roman"/>
          <w:sz w:val="24"/>
        </w:rPr>
        <w:t>Under R.C. 5321.04(A)(1), (A)(2), and (A)(4), a residential landlord has mandatory statutory obligations to comply with all applicable building, housing, and health codes; make all repairs and do whatever is reasonably necessary to put and keep the premises in a fit and habitable condition; and maintain in good and safe working order all heating, plumbing, and electrical fixtures. These obligations are implied into every residential lease agreement in Ohio and cannot be waived. See Shroades v. Rental Homes, Inc., 68 Ohio St.2d 20, 427 N.E.2d 774 (1981).</w:t>
      </w:r>
    </w:p>
    <w:p>
      <w:pPr>
        <w:spacing w:line="480" w:lineRule="auto" w:after="0" w:before="0"/>
        <w:ind w:firstLine="720"/>
      </w:pPr>
      <w:r>
        <w:rPr>
          <w:rFonts w:ascii="Times New Roman" w:hAnsi="Times New Roman"/>
          <w:sz w:val="24"/>
        </w:rPr>
        <w:t>As documented by the city inspection report (Exhibit A) and Defendant's written repair notices (Exhibit B), Plaintiff committed severe breaches of R.C. 5321.04(A) by leaving Defendant without operational heat during freezing October temperatures and failing to remediate toxic sewage backup. The landlord had actual notice of the defects and more than two months to perform repairs, yet willfully failed to remedy the violations. Under Ohio law, a landlord's material breach of R.C. 5321.04 constitutes a complete defense to an action for possession and entitles the tenant to an order of rent abatement and statutory damages under R.C. 5321.04(B). See Miller v. Ritchie, 45 Ohio St.3d 222, 543 N.E.2d 1265 (1989).</w:t>
      </w:r>
    </w:p>
    <w:p>
      <w:pPr>
        <w:spacing w:line="360" w:lineRule="auto" w:before="240" w:after="80"/>
      </w:pPr>
      <w:r>
        <w:rPr>
          <w:rFonts w:ascii="Times New Roman" w:hAnsi="Times New Roman"/>
          <w:b/>
          <w:sz w:val="24"/>
        </w:rPr>
        <w:t>III. RELIEF REQUESTED</w:t>
      </w:r>
    </w:p>
    <w:p>
      <w:pPr>
        <w:spacing w:line="480" w:lineRule="auto" w:after="0" w:before="0"/>
        <w:ind w:firstLine="720"/>
      </w:pPr>
      <w:r>
        <w:rPr>
          <w:rFonts w:ascii="Times New Roman" w:hAnsi="Times New Roman"/>
          <w:sz w:val="24"/>
        </w:rPr>
        <w:t>WHEREFORE, Defendant Elena Rostova respectfully requests that this Court enter judgment denying Plaintiff's claim for restitution of the premises; find that Plaintiff engaged in unlawful retaliation under R.C. 5321.02; determine that Plaintiff breached its statutory duties under R.C. 5321.04; award Defendant appropriate rent abatement and damages; and grant such further relief as law and equity require.</w:t>
      </w:r>
    </w:p>
    <w:p>
      <w:pPr>
        <w:spacing w:line="276" w:lineRule="auto" w:before="240" w:after="0"/>
        <w:ind w:firstLine="0"/>
      </w:pPr>
      <w:r>
        <w:t>Respectfully submitted,</w:t>
        <w:br/>
        <w:br/>
        <w:br/>
      </w:r>
      <w:r>
        <w:rPr>
          <w:b/>
        </w:rPr>
        <w:t>/s/ Marcus D. Washington</w:t>
        <w:br/>
      </w:r>
      <w:r>
        <w:t>Marcus D. Washington (0087654)</w:t>
        <w:br/>
      </w:r>
      <w:r>
        <w:t>Senior Attorney, Housing Practice Group</w:t>
        <w:br/>
      </w:r>
      <w:r>
        <w:t>The Legal Aid Society of Cleveland</w:t>
        <w:br/>
      </w:r>
      <w:r>
        <w:t>1223 West 6th Street, Cleveland, OH 44113</w:t>
        <w:br/>
      </w:r>
      <w:r>
        <w:t>Telephone: (216) 687-1900</w:t>
        <w:br/>
      </w:r>
      <w:r>
        <w:t>Email: mwashington@lasclev.org</w:t>
        <w:br/>
        <w:br/>
      </w:r>
      <w:r>
        <w:t>Attorney for Defendant Elena Rostova</w:t>
        <w:br/>
      </w:r>
    </w:p>
    <w:p>
      <w:pPr>
        <w:spacing w:line="240" w:lineRule="auto" w:before="360" w:after="120"/>
        <w:jc w:val="center"/>
      </w:pPr>
      <w:r>
        <w:rPr>
          <w:rFonts w:ascii="Times New Roman" w:hAnsi="Times New Roman"/>
          <w:b/>
          <w:sz w:val="24"/>
        </w:rPr>
        <w:t>CERTIFICATE OF SERVICE</w:t>
      </w:r>
    </w:p>
    <w:p>
      <w:pPr>
        <w:spacing w:line="360" w:lineRule="auto" w:after="240"/>
        <w:ind w:firstLine="720"/>
      </w:pPr>
      <w:r>
        <w:rPr>
          <w:rFonts w:ascii="Times New Roman" w:hAnsi="Times New Roman"/>
          <w:sz w:val="24"/>
        </w:rPr>
        <w:t>I hereby certify that a true and accurate copy of the foregoing Defendant's Trial Brief was served upon Plaintiff's attorney of record, Arthur P. Vance, Esq., Vance &amp; Sterling Co., LPA, 1300 East 9th Street, Suite 1400, Cleveland, OH 44114, via the Court's electronic filing system and email (avance@vancesterlinglaw.com) this 7th day of November, 2024.</w:t>
      </w:r>
    </w:p>
    <w:p>
      <w:pPr>
        <w:spacing w:line="240" w:lineRule="auto" w:before="120"/>
      </w:pPr>
      <w:r>
        <w:rPr>
          <w:rFonts w:ascii="Times New Roman" w:hAnsi="Times New Roman"/>
          <w:sz w:val="24"/>
        </w:rPr>
        <w:t>/s/ Marcus D. Washington</w:t>
        <w:br/>
        <w:t>Marcus D. Washington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