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Motion</w:t>
      </w:r>
    </w:p>
    <w:p>
      <w:pPr>
        <w:pStyle w:val="BriefPlain"/>
      </w:pPr>
      <w:r>
        <w:t>{%p if blocks["motion"]["revision"] %}</w:t>
      </w:r>
    </w:p>
    <w:p>
      <w:pPr>
        <w:pStyle w:val="BriefPlain"/>
      </w:pPr>
      <w:r>
        <w:t>{%p for paragraph in blocks["motion"]["paragraphs"] %}</w:t>
      </w:r>
    </w:p>
    <w:p>
      <w:pPr>
        <w:pStyle w:val="BriefBody"/>
      </w:pPr>
      <w:r>
        <w:t>{{ paragraph }}</w:t>
      </w:r>
    </w:p>
    <w:p>
      <w:pPr>
        <w:pStyle w:val="BriefPlain"/>
      </w:pPr>
      <w:r>
        <w:t>{%p endfor %}</w:t>
      </w:r>
    </w:p>
    <w:p>
      <w:pPr>
        <w:pStyle w:val="BriefPlain"/>
      </w:pPr>
      <w:r>
        <w:t>{%p else %}</w:t>
      </w:r>
    </w:p>
    <w:p>
      <w:pPr>
        <w:pStyle w:val="BriefBody"/>
      </w:pPr>
      <w:r>
        <w:rPr/>
        <w:t>Now comes Defendant {{ defendant }}, by and through counsel, and moves this Court under Civ.R. 56 for summary judgment in Defendant's favor on the claims in Plaintiff's Complaint. There is no genuine issue as to any material fact, and Defendant is entitled to judgment as a matter of law.</w:t>
      </w:r>
    </w:p>
    <w:p>
      <w:pPr>
        <w:pStyle w:val="BriefBody"/>
      </w:pPr>
      <w:r>
        <w:rPr/>
        <w:t>The grounds for this motion are set out in the attached Memorandum in Support, which is incorporated here. The motion is supported by the exhibits listed in the Index of Exhibits.</w:t>
      </w:r>
    </w:p>
    <w:p>
      <w:pPr>
        <w:pStyle w:val="BriefPlain"/>
      </w:pPr>
      <w:r>
        <w:t>{%p endif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imes New Roman" w:hAnsi="Times New Roman" w:cs="Times New Roman" w:eastAsia="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240"/>
      <w:jc w:val="left"/>
      <w:outlineLvl w:val="1"/>
    </w:pPr>
    <w:rPr>
      <w:rFonts w:ascii="Times New Roman" w:hAnsi="Times New Roman" w:cs="Times New Roman" w:eastAsia="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Body">
    <w:name w:val="Brief Body"/>
    <w:basedOn w:val="Normal"/>
    <w:pPr>
      <w:spacing w:line="480" w:lineRule="auto"/>
      <w:ind w:firstLine="720"/>
    </w:pPr>
  </w:style>
  <w:style w:type="paragraph" w:customStyle="1" w:styleId="BriefPlain">
    <w:name w:val="Brief Plain"/>
    <w:basedOn w:val="Normal"/>
    <w:pPr>
      <w:spacing w:after="240"/>
    </w:pPr>
  </w:style>
  <w:style w:type="paragraph" w:customStyle="1" w:styleId="BriefTitle">
    <w:name w:val="Brief Title"/>
    <w:basedOn w:val="Normal"/>
    <w:pPr>
      <w:keepNext/>
      <w:spacing w:before="240" w:after="240"/>
      <w:jc w:val="center"/>
    </w:pPr>
    <w:rPr>
      <w:rFonts w:ascii="Times New Roman" w:hAnsi="Times New Roman" w:cs="Times New Roman" w:eastAsia="Times New Roman"/>
      <w:b/>
      <w:sz w:val="24"/>
    </w:rPr>
  </w:style>
  <w:style w:type="paragraph" w:customStyle="1" w:styleId="TOAHeading">
    <w:name w:val="toa heading"/>
    <w:basedOn w:val="Normal"/>
    <w:pPr>
      <w:keepNext/>
      <w:spacing w:before="240" w:after="120"/>
    </w:pPr>
    <w:rPr>
      <w:rFonts w:ascii="Times New Roman" w:hAnsi="Times New Roman" w:cs="Times New Roman" w:eastAsia="Times New Roman"/>
      <w:b/>
      <w:sz w:val="24"/>
    </w:rPr>
  </w:style>
  <w:style w:type="paragraph" w:customStyle="1" w:styleId="TableofAuthorities">
    <w:name w:val="table of authorities"/>
    <w:basedOn w:val="Normal"/>
    <w:pPr>
      <w:tabs>
        <w:tab w:pos="9360" w:val="right" w:leader="dot"/>
      </w:tabs>
      <w:spacing w:after="120"/>
      <w:ind w:left="360" w:hanging="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2026-01-01T00:00:00Z</dcterms:created>
  <dcterms:modified xsi:type="dcterms:W3CDTF">2026-01-01T00:00:00Z</dcterms:modified>
  <cp:category/>
  <cp:lastModifiedBy xmlns:cp="http://schemas.openxmlformats.org/officeDocument/2006/custom-properties"/>
  <cp:revision xmlns:cp="http://schemas.openxmlformats.org/officeDocument/2006/custom-properties">1</cp:revision>
</cp:coreProperties>
</file>