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Standard for dismissal</w:t>
      </w:r>
    </w:p>
    <w:p>
      <w:pPr>
        <w:pStyle w:val="BriefPlain"/>
      </w:pPr>
      <w:r>
        <w:t>{%p if blocks["dismissal-standard"]["revision"] %}</w:t>
      </w:r>
    </w:p>
    <w:p>
      <w:pPr>
        <w:pStyle w:val="BriefPlain"/>
      </w:pPr>
      <w:r>
        <w:t>{%p for paragraph in blocks["dismissal-standard"]["paragraphs"] %}</w:t>
      </w:r>
    </w:p>
    <w:p>
      <w:pPr>
        <w:pStyle w:val="BriefBody"/>
      </w:pPr>
      <w:r>
        <w:t>{{ paragraph }}</w:t>
      </w:r>
    </w:p>
    <w:p>
      <w:pPr>
        <w:pStyle w:val="BriefPlain"/>
      </w:pPr>
      <w:r>
        <w:t>{%p endfor %}</w:t>
      </w:r>
    </w:p>
    <w:p>
      <w:pPr>
        <w:pStyle w:val="BriefPlain"/>
      </w:pPr>
      <w:r>
        <w:t>{%p else %}</w:t>
      </w:r>
    </w:p>
    <w:p>
      <w:pPr>
        <w:pStyle w:val="BriefPlain"/>
      </w:pPr>
      <w:r>
        <w:t>{%p if dismissal_ground == "lack_of_subject_matter_jurisdiction" %}</w:t>
      </w:r>
    </w:p>
    <w:p>
      <w:pPr>
        <w:pStyle w:val="BriefBody"/>
      </w:pPr>
      <w:r>
        <w:rPr/>
        <w:t xml:space="preserve">The standard for a Civ.R. 12(B)(1) motion is whether any cause of action cognizable by the forum has been raised in the complaint. </w:t>
      </w:r>
      <w:r>
        <w:rPr>
          <w:i/>
        </w:rPr>
        <w:t>State ex rel. Bush v. Spurlock</w:t>
      </w:r>
      <w:r>
        <w:rPr/>
        <w:t xml:space="preserve">, 42 Ohio St.3d 77, 80, 537 N.E.2d 641 (1989). In deciding that question the court is not confined to the allegations of the complaint and may consider pertinent evidentiary material without converting the motion into one for summary judgment. </w:t>
      </w:r>
      <w:r>
        <w:rPr>
          <w:i/>
        </w:rPr>
        <w:t>Southgate Dev. Corp. v. Columbia Gas Transm. Corp.</w:t>
      </w:r>
      <w:r>
        <w:rPr/>
        <w:t>, 48 Ohio St.2d 211, 358 N.E.2d 526 (1976), paragraph one of the syllabus. Whenever it appears that the court lacks jurisdiction of the subject matter, the court shall dismiss the action. Civ.R. 12(H)(3).</w:t>
      </w:r>
    </w:p>
    <w:p>
      <w:pPr>
        <w:pStyle w:val="BriefPlain"/>
      </w:pPr>
      <w:r>
        <w:t>{%p else %}</w:t>
      </w:r>
    </w:p>
    <w:p>
      <w:pPr>
        <w:pStyle w:val="BriefBody"/>
      </w:pPr>
      <w:r>
        <w:rPr/>
        <w:t xml:space="preserve">A motion to dismiss for failure to state a claim upon which relief can be granted tests the sufficiency of the complaint. </w:t>
      </w:r>
      <w:r>
        <w:rPr>
          <w:i/>
        </w:rPr>
        <w:t>State ex rel. Hanson v. Guernsey Cty. Bd. of Commrs.</w:t>
      </w:r>
      <w:r>
        <w:rPr/>
        <w:t xml:space="preserve">, 65 Ohio St.3d 545, 548, 605 N.E.2d 378 (1992). Dismissal is proper when it appears beyond doubt from the complaint that the plaintiff can prove no set of facts entitling the plaintiff to recovery. </w:t>
      </w:r>
      <w:r>
        <w:rPr>
          <w:i/>
        </w:rPr>
        <w:t>O'Brien v. Univ. Community Tenants Union, Inc.</w:t>
      </w:r>
      <w:r>
        <w:rPr/>
        <w:t xml:space="preserve">, 42 Ohio St.2d 242, 327 N.E.2d 753 (1975), syllabus. The court presumes the complaint's factual allegations are true and draws all reasonable inferences in the plaintiff's favor, </w:t>
      </w:r>
      <w:r>
        <w:rPr>
          <w:i/>
        </w:rPr>
        <w:t>Mitchell v. Lawson Milk Co.</w:t>
      </w:r>
      <w:r>
        <w:rPr/>
        <w:t>, 40 Ohio St.3d 190, 192, 532 N.E.2d 753 (1988), but it does not accept unsupported legal conclusions as true.</w:t>
      </w:r>
    </w:p>
    <w:p>
      <w:pPr>
        <w:pStyle w:val="BriefPlain"/>
      </w:pPr>
      <w:r>
        <w:t>{%p endif %}</w:t>
      </w:r>
    </w:p>
    <w:p>
      <w:pPr>
        <w:pStyle w:val="BriefPlain"/>
      </w:pPr>
      <w:r>
        <w:t>{%p endif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imes New Roman" w:hAnsi="Times New Roman" w:cs="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imes New Roman" w:hAnsi="Times New Roman" w:cs="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line="480" w:lineRule="auto"/>
      <w:ind w:firstLine="720"/>
    </w:pPr>
  </w:style>
  <w:style w:type="paragraph" w:customStyle="1" w:styleId="BriefPlain">
    <w:name w:val="Brief Plain"/>
    <w:basedOn w:val="Normal"/>
    <w:pPr>
      <w:spacing w:after="240"/>
    </w:pPr>
  </w:style>
  <w:style w:type="paragraph" w:customStyle="1" w:styleId="BriefTitle">
    <w:name w:val="Brief Title"/>
    <w:basedOn w:val="Normal"/>
    <w:pPr>
      <w:keepNext/>
      <w:spacing w:before="240" w:after="240"/>
      <w:jc w:val="center"/>
    </w:pPr>
    <w:rPr>
      <w:rFonts w:ascii="Times New Roman" w:hAnsi="Times New Roman" w:cs="Times New Roman" w:eastAsia="Times New Roman"/>
      <w:b/>
      <w:sz w:val="24"/>
    </w:rPr>
  </w:style>
  <w:style w:type="paragraph" w:customStyle="1" w:styleId="TOAHeading">
    <w:name w:val="toa heading"/>
    <w:basedOn w:val="Normal"/>
    <w:pPr>
      <w:keepNext/>
      <w:spacing w:before="240" w:after="120"/>
    </w:pPr>
    <w:rPr>
      <w:rFonts w:ascii="Times New Roman" w:hAnsi="Times New Roman" w:cs="Times New Roman" w:eastAsia="Times New Roman"/>
      <w:b/>
      <w:sz w:val="24"/>
    </w:rPr>
  </w:style>
  <w:style w:type="paragraph" w:customStyle="1" w:styleId="TableofAuthorities">
    <w:name w:val="table of authorities"/>
    <w:basedOn w:val="Normal"/>
    <w:pPr>
      <w:tabs>
        <w:tab w:pos="9360" w:val="right" w:leader="dot"/>
      </w:tabs>
      <w:spacing w:after="120"/>
      <w:ind w:left="36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lastModifiedBy xmlns:cp="http://schemas.openxmlformats.org/officeDocument/2006/custom-properties"/>
  <cp:revision xmlns:cp="http://schemas.openxmlformats.org/officeDocument/2006/custom-properties">1</cp:revision>
</cp:coreProperties>
</file>