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3412" w14:textId="6C6B30CD" w:rsidR="00ED05E1" w:rsidRPr="007B5D50" w:rsidRDefault="00ED05E1" w:rsidP="00BC32F3">
      <w:pPr>
        <w:rPr>
          <w:rFonts w:ascii="Equity A" w:hAnsi="Equity A"/>
        </w:rPr>
      </w:pPr>
      <w:r w:rsidRPr="007B5D50">
        <w:rPr>
          <w:rFonts w:ascii="Equity A" w:hAnsi="Equity A"/>
        </w:rPr>
        <w:fldChar w:fldCharType="begin"/>
      </w:r>
      <w:r w:rsidRPr="007B5D50">
        <w:rPr>
          <w:rFonts w:ascii="Equity A" w:hAnsi="Equity A"/>
        </w:rPr>
        <w:instrText xml:space="preserve"> DATE  \@ "MMMM d, yyyy"  \* MERGEFORMAT </w:instrText>
      </w:r>
      <w:r w:rsidRPr="007B5D50">
        <w:rPr>
          <w:rFonts w:ascii="Equity A" w:hAnsi="Equity A"/>
        </w:rPr>
        <w:fldChar w:fldCharType="separate"/>
      </w:r>
      <w:r w:rsidR="007B5D50" w:rsidRPr="007B5D50">
        <w:rPr>
          <w:rFonts w:ascii="Equity A" w:hAnsi="Equity A"/>
          <w:noProof/>
        </w:rPr>
        <w:t>February 27, 2023</w:t>
      </w:r>
      <w:r w:rsidRPr="007B5D50">
        <w:rPr>
          <w:rFonts w:ascii="Equity A" w:hAnsi="Equity A"/>
        </w:rPr>
        <w:fldChar w:fldCharType="end"/>
      </w:r>
    </w:p>
    <w:p w14:paraId="6D4C5CB0" w14:textId="7435A64E" w:rsidR="00D43629" w:rsidRPr="007B5D50" w:rsidRDefault="00D43629" w:rsidP="00BC32F3">
      <w:pPr>
        <w:rPr>
          <w:rFonts w:ascii="Equity A" w:hAnsi="Equity A"/>
        </w:rPr>
      </w:pPr>
      <w:r w:rsidRPr="007B5D50">
        <w:rPr>
          <w:rFonts w:ascii="Equity A" w:hAnsi="Equity A"/>
        </w:rPr>
        <w:t xml:space="preserve">Dear </w:t>
      </w:r>
      <w:proofErr w:type="spellStart"/>
      <w:r w:rsidR="00D75597" w:rsidRPr="007B5D50">
        <w:rPr>
          <w:rFonts w:ascii="Equity A" w:eastAsia="Calibri" w:hAnsi="Equity A"/>
          <w:color w:val="auto"/>
          <w:u w:color="000000"/>
        </w:rPr>
        <w:t>xxxxx</w:t>
      </w:r>
      <w:proofErr w:type="spellEnd"/>
      <w:r w:rsidRPr="007B5D50">
        <w:rPr>
          <w:rFonts w:ascii="Equity A" w:hAnsi="Equity A"/>
        </w:rPr>
        <w:t>,</w:t>
      </w:r>
    </w:p>
    <w:p w14:paraId="5C83A4F4" w14:textId="69F5B4D2" w:rsidR="00D43629" w:rsidRPr="007B5D50" w:rsidRDefault="00D43629" w:rsidP="00ED05E1">
      <w:pPr>
        <w:spacing w:line="240" w:lineRule="auto"/>
        <w:rPr>
          <w:rFonts w:ascii="Equity A" w:hAnsi="Equity A"/>
        </w:rPr>
      </w:pPr>
      <w:r w:rsidRPr="007B5D50">
        <w:rPr>
          <w:rFonts w:ascii="Equity A" w:hAnsi="Equity A"/>
        </w:rPr>
        <w:t xml:space="preserve">On </w:t>
      </w:r>
      <w:r w:rsidR="00684C12" w:rsidRPr="007B5D50">
        <w:rPr>
          <w:rFonts w:ascii="Equity A" w:hAnsi="Equity A"/>
        </w:rPr>
        <w:t>February 1, 2023</w:t>
      </w:r>
      <w:r w:rsidRPr="007B5D50">
        <w:rPr>
          <w:rFonts w:ascii="Equity A" w:hAnsi="Equity A"/>
        </w:rPr>
        <w:t xml:space="preserve">, our client </w:t>
      </w:r>
      <w:r w:rsidR="00B150E7" w:rsidRPr="007B5D50">
        <w:rPr>
          <w:rFonts w:ascii="Equity A" w:hAnsi="Equity A"/>
        </w:rPr>
        <w:t>Michael H. Anderson</w:t>
      </w:r>
      <w:r w:rsidRPr="007B5D50">
        <w:rPr>
          <w:rFonts w:ascii="Equity A" w:hAnsi="Equity A"/>
        </w:rPr>
        <w:t xml:space="preserve"> </w:t>
      </w:r>
      <w:r w:rsidR="00B150E7" w:rsidRPr="007B5D50">
        <w:rPr>
          <w:rFonts w:ascii="Equity A" w:hAnsi="Equity A"/>
        </w:rPr>
        <w:t xml:space="preserve">propounded </w:t>
      </w:r>
      <w:r w:rsidR="00D75597" w:rsidRPr="007B5D50">
        <w:rPr>
          <w:rFonts w:ascii="Equity A" w:hAnsi="Equity A"/>
        </w:rPr>
        <w:t>Special Interrogatories</w:t>
      </w:r>
      <w:r w:rsidRPr="007B5D50">
        <w:rPr>
          <w:rFonts w:ascii="Equity A" w:hAnsi="Equity A"/>
        </w:rPr>
        <w:t xml:space="preserve">, </w:t>
      </w:r>
      <w:r w:rsidR="00B150E7" w:rsidRPr="007B5D50">
        <w:rPr>
          <w:rFonts w:ascii="Equity A" w:hAnsi="Equity A"/>
        </w:rPr>
        <w:t>S</w:t>
      </w:r>
      <w:r w:rsidRPr="007B5D50">
        <w:rPr>
          <w:rFonts w:ascii="Equity A" w:hAnsi="Equity A"/>
        </w:rPr>
        <w:t>et</w:t>
      </w:r>
      <w:r w:rsidR="00D75597" w:rsidRPr="007B5D50">
        <w:rPr>
          <w:rFonts w:ascii="Equity A" w:hAnsi="Equity A"/>
        </w:rPr>
        <w:t xml:space="preserve"> </w:t>
      </w:r>
      <w:r w:rsidR="007B5D50" w:rsidRPr="007B5D50">
        <w:rPr>
          <w:rFonts w:ascii="Equity A" w:hAnsi="Equity A"/>
        </w:rPr>
        <w:t>Three</w:t>
      </w:r>
      <w:r w:rsidR="00A44433" w:rsidRPr="007B5D50">
        <w:rPr>
          <w:rFonts w:ascii="Equity A" w:hAnsi="Equity A"/>
        </w:rPr>
        <w:t xml:space="preserve">, consisting of 34 interrogatories, </w:t>
      </w:r>
      <w:r w:rsidRPr="007B5D50">
        <w:rPr>
          <w:rFonts w:ascii="Equity A" w:hAnsi="Equity A"/>
        </w:rPr>
        <w:t xml:space="preserve">upon </w:t>
      </w:r>
      <w:r w:rsidR="007B5D50" w:rsidRPr="007B5D50">
        <w:rPr>
          <w:rFonts w:ascii="Equity A" w:hAnsi="Equity A"/>
        </w:rPr>
        <w:t>your client, Defendant Alexis Waterford</w:t>
      </w:r>
      <w:r w:rsidRPr="007B5D50">
        <w:rPr>
          <w:rFonts w:ascii="Equity A" w:hAnsi="Equity A"/>
        </w:rPr>
        <w:t>.</w:t>
      </w:r>
    </w:p>
    <w:p w14:paraId="1AC263D2" w14:textId="57553AA7" w:rsidR="00D43629" w:rsidRPr="007B5D50" w:rsidRDefault="00D43629" w:rsidP="00ED05E1">
      <w:pPr>
        <w:spacing w:line="240" w:lineRule="auto"/>
        <w:rPr>
          <w:rFonts w:ascii="Equity A" w:hAnsi="Equity A"/>
        </w:rPr>
      </w:pPr>
      <w:r w:rsidRPr="007B5D50">
        <w:rPr>
          <w:rFonts w:ascii="Equity A" w:hAnsi="Equity A"/>
        </w:rPr>
        <w:t xml:space="preserve">On </w:t>
      </w:r>
      <w:r w:rsidR="00684C12" w:rsidRPr="007B5D50">
        <w:rPr>
          <w:rFonts w:ascii="Equity A" w:hAnsi="Equity A"/>
        </w:rPr>
        <w:t>February 24, 2023</w:t>
      </w:r>
      <w:r w:rsidRPr="007B5D50">
        <w:rPr>
          <w:rFonts w:ascii="Equity A" w:hAnsi="Equity A"/>
        </w:rPr>
        <w:t xml:space="preserve">, Waterford served </w:t>
      </w:r>
      <w:r w:rsidR="007B5D50" w:rsidRPr="007B5D50">
        <w:rPr>
          <w:rFonts w:ascii="Equity A" w:hAnsi="Equity A"/>
        </w:rPr>
        <w:t>a hybrid set of responses to each interrogatory containing objections and certain substantive responses.</w:t>
      </w:r>
    </w:p>
    <w:p w14:paraId="13F3A379" w14:textId="03C5068B" w:rsidR="00D43629" w:rsidRPr="007B5D50" w:rsidRDefault="00A44433" w:rsidP="00ED05E1">
      <w:pPr>
        <w:spacing w:line="240" w:lineRule="auto"/>
        <w:rPr>
          <w:rFonts w:ascii="Equity A" w:hAnsi="Equity A"/>
        </w:rPr>
      </w:pPr>
      <w:r w:rsidRPr="007B5D50">
        <w:rPr>
          <w:rFonts w:ascii="Equity A" w:hAnsi="Equity A"/>
        </w:rPr>
        <w:t>Please consider this letter our initial outreach in a good-faith attempt to meet-and-confer regarding your client’s responses</w:t>
      </w:r>
      <w:r w:rsidR="007B5D50" w:rsidRPr="007B5D50">
        <w:rPr>
          <w:rFonts w:ascii="Equity A" w:hAnsi="Equity A"/>
        </w:rPr>
        <w:t xml:space="preserve">, which </w:t>
      </w:r>
      <w:r w:rsidR="00D43629" w:rsidRPr="007B5D50">
        <w:rPr>
          <w:rFonts w:ascii="Equity A" w:hAnsi="Equity A"/>
        </w:rPr>
        <w:t>were deficient as follows:</w:t>
      </w:r>
    </w:p>
    <w:p w14:paraId="7B31FC1C" w14:textId="33B004D4" w:rsidR="00D43629" w:rsidRPr="007B5D50" w:rsidRDefault="00D43629" w:rsidP="00ED05E1">
      <w:pPr>
        <w:spacing w:line="240" w:lineRule="auto"/>
        <w:rPr>
          <w:rFonts w:ascii="Equity A" w:hAnsi="Equity A"/>
          <w:b/>
          <w:bCs/>
          <w:i/>
          <w:iCs/>
          <w:highlight w:val="yellow"/>
        </w:rPr>
      </w:pPr>
      <w:r w:rsidRPr="007B5D50">
        <w:rPr>
          <w:rFonts w:ascii="Equity A" w:hAnsi="Equity A"/>
          <w:b/>
          <w:bCs/>
          <w:i/>
          <w:iCs/>
          <w:highlight w:val="yellow"/>
        </w:rPr>
        <w:t>Interrogatory No. 4</w:t>
      </w:r>
    </w:p>
    <w:p w14:paraId="2F6142B8" w14:textId="77777777" w:rsidR="00D43629" w:rsidRPr="007B5D50" w:rsidRDefault="00D43629" w:rsidP="00ED05E1">
      <w:pPr>
        <w:spacing w:line="240" w:lineRule="auto"/>
        <w:rPr>
          <w:rFonts w:ascii="Equity A" w:hAnsi="Equity A"/>
        </w:rPr>
      </w:pPr>
      <w:r w:rsidRPr="007B5D50">
        <w:rPr>
          <w:rFonts w:ascii="Equity A" w:hAnsi="Equity A"/>
        </w:rPr>
        <w:t>Interrogatory No. 4</w:t>
      </w:r>
      <w:r w:rsidR="00BC32F3" w:rsidRPr="007B5D50">
        <w:rPr>
          <w:rFonts w:ascii="Equity A" w:hAnsi="Equity A"/>
        </w:rPr>
        <w:t xml:space="preserve"> </w:t>
      </w:r>
      <w:r w:rsidRPr="007B5D50">
        <w:rPr>
          <w:rFonts w:ascii="Equity A" w:hAnsi="Equity A"/>
        </w:rPr>
        <w:t>states:</w:t>
      </w:r>
    </w:p>
    <w:p w14:paraId="1764E2D0" w14:textId="7238A8DE" w:rsidR="00D43629" w:rsidRPr="007B5D50" w:rsidRDefault="00ED05E1" w:rsidP="00ED05E1">
      <w:pPr>
        <w:spacing w:line="240" w:lineRule="auto"/>
        <w:rPr>
          <w:rFonts w:ascii="Equity A" w:hAnsi="Equity A"/>
        </w:rPr>
      </w:pPr>
      <w:proofErr w:type="spellStart"/>
      <w:r w:rsidRPr="007B5D50">
        <w:rPr>
          <w:rFonts w:ascii="Equity A" w:hAnsi="Equity A"/>
        </w:rPr>
        <w:t>x</w:t>
      </w:r>
      <w:r w:rsidR="00D43629" w:rsidRPr="007B5D50">
        <w:rPr>
          <w:rFonts w:ascii="Equity A" w:hAnsi="Equity A"/>
        </w:rPr>
        <w:t>xxxxxxxxxxxxxxxxxxx</w:t>
      </w:r>
      <w:r w:rsidRPr="007B5D50">
        <w:rPr>
          <w:rFonts w:ascii="Equity A" w:hAnsi="Equity A"/>
        </w:rPr>
        <w:t>xxxxxxxxxxxxxxxxxxxxx</w:t>
      </w:r>
      <w:proofErr w:type="spellEnd"/>
    </w:p>
    <w:p w14:paraId="2A62E48C" w14:textId="57DF0579" w:rsidR="00D43629" w:rsidRPr="007B5D50" w:rsidRDefault="003750A8" w:rsidP="00ED05E1">
      <w:pPr>
        <w:spacing w:line="240" w:lineRule="auto"/>
        <w:rPr>
          <w:rFonts w:ascii="Equity A" w:hAnsi="Equity A"/>
        </w:rPr>
      </w:pPr>
      <w:r>
        <w:rPr>
          <w:rFonts w:ascii="Equity A" w:hAnsi="Equity A"/>
        </w:rPr>
        <w:t>Waterford</w:t>
      </w:r>
      <w:r w:rsidRPr="007B5D50">
        <w:rPr>
          <w:rFonts w:ascii="Equity A" w:hAnsi="Equity A"/>
        </w:rPr>
        <w:t xml:space="preserve">’s </w:t>
      </w:r>
      <w:r w:rsidR="00D43629" w:rsidRPr="007B5D50">
        <w:rPr>
          <w:rFonts w:ascii="Equity A" w:hAnsi="Equity A"/>
        </w:rPr>
        <w:t>’s response was:</w:t>
      </w:r>
    </w:p>
    <w:p w14:paraId="48A3C4CD" w14:textId="770988B0" w:rsidR="00D43629" w:rsidRPr="007B5D50" w:rsidRDefault="00ED05E1" w:rsidP="00ED05E1">
      <w:pPr>
        <w:spacing w:line="240" w:lineRule="auto"/>
        <w:rPr>
          <w:rFonts w:ascii="Equity A" w:hAnsi="Equity A"/>
        </w:rPr>
      </w:pPr>
      <w:proofErr w:type="spellStart"/>
      <w:r w:rsidRPr="007B5D50">
        <w:rPr>
          <w:rFonts w:ascii="Equity A" w:hAnsi="Equity A"/>
        </w:rPr>
        <w:t>y</w:t>
      </w:r>
      <w:r w:rsidR="00D43629" w:rsidRPr="007B5D50">
        <w:rPr>
          <w:rFonts w:ascii="Equity A" w:hAnsi="Equity A"/>
        </w:rPr>
        <w:t>yyyyyyyyyyyyyyyyyyyyyy</w:t>
      </w:r>
      <w:r w:rsidRPr="007B5D50">
        <w:rPr>
          <w:rFonts w:ascii="Equity A" w:hAnsi="Equity A"/>
        </w:rPr>
        <w:t>yyyyyyyyyyyyyyyyyy</w:t>
      </w:r>
      <w:proofErr w:type="spellEnd"/>
    </w:p>
    <w:p w14:paraId="3FA641DF" w14:textId="6A349F3F" w:rsidR="00BC32F3" w:rsidRPr="007B5D50" w:rsidRDefault="00D43629" w:rsidP="00ED05E1">
      <w:pPr>
        <w:spacing w:line="240" w:lineRule="auto"/>
        <w:rPr>
          <w:rFonts w:ascii="Equity A" w:hAnsi="Equity A"/>
          <w:highlight w:val="yellow"/>
        </w:rPr>
      </w:pPr>
      <w:r w:rsidRPr="007B5D50">
        <w:rPr>
          <w:rFonts w:ascii="Equity A" w:hAnsi="Equity A"/>
          <w:highlight w:val="yellow"/>
        </w:rPr>
        <w:t xml:space="preserve">The above response is not </w:t>
      </w:r>
      <w:proofErr w:type="gramStart"/>
      <w:r w:rsidRPr="007B5D50">
        <w:rPr>
          <w:rFonts w:ascii="Equity A" w:hAnsi="Equity A"/>
          <w:highlight w:val="yellow"/>
        </w:rPr>
        <w:t>code-compliant</w:t>
      </w:r>
      <w:proofErr w:type="gramEnd"/>
      <w:r w:rsidRPr="007B5D50">
        <w:rPr>
          <w:rFonts w:ascii="Equity A" w:hAnsi="Equity A"/>
          <w:highlight w:val="yellow"/>
        </w:rPr>
        <w:t>.</w:t>
      </w:r>
    </w:p>
    <w:p w14:paraId="1F1463FC" w14:textId="4DBEF75C" w:rsidR="00B150E7" w:rsidRPr="007B5D50" w:rsidRDefault="00B150E7" w:rsidP="00ED05E1">
      <w:pPr>
        <w:spacing w:line="240" w:lineRule="auto"/>
        <w:rPr>
          <w:rFonts w:ascii="Equity A" w:hAnsi="Equity A"/>
          <w:highlight w:val="yellow"/>
        </w:rPr>
      </w:pPr>
      <w:r w:rsidRPr="007B5D50">
        <w:rPr>
          <w:rFonts w:ascii="Equity A" w:hAnsi="Equity A"/>
          <w:highlight w:val="yellow"/>
        </w:rPr>
        <w:t xml:space="preserve">First, </w:t>
      </w:r>
      <w:r w:rsidR="007B5D50" w:rsidRPr="007B5D50">
        <w:rPr>
          <w:rFonts w:ascii="Equity A" w:hAnsi="Equity A"/>
          <w:highlight w:val="yellow"/>
        </w:rPr>
        <w:t>t</w:t>
      </w:r>
      <w:r w:rsidR="007B5D50" w:rsidRPr="007B5D50">
        <w:rPr>
          <w:rFonts w:ascii="Equity A" w:hAnsi="Equity A"/>
          <w:highlight w:val="yellow"/>
        </w:rPr>
        <w:t>he duty to answer</w:t>
      </w:r>
      <w:r w:rsidR="007B5D50" w:rsidRPr="007B5D50">
        <w:rPr>
          <w:rFonts w:ascii="Equity A" w:hAnsi="Equity A"/>
          <w:highlight w:val="yellow"/>
        </w:rPr>
        <w:t xml:space="preserve"> interrogatories</w:t>
      </w:r>
      <w:r w:rsidR="007B5D50" w:rsidRPr="007B5D50">
        <w:rPr>
          <w:rFonts w:ascii="Equity A" w:hAnsi="Equity A"/>
          <w:highlight w:val="yellow"/>
        </w:rPr>
        <w:t xml:space="preserve"> extends beyond personal knowledge. If a party lacks personal knowledge sufficient to respond fully, the party must make “a reasonable and good-faith effort to obtain the information” from other sources. (CCP § 2030.220(c); Sinaiko Healthcare Consulting, Inc. v. Pacific Healthcare Consultants (2007) 148 Cal.App.4th 390, 406.) For example, the responding party must obtain and disclose information from sources under its control (Deyo v. Kilbourne (1978) 84 Cal.App.3d 771, 782), as well as information in its counsel's possession. (Smith v. Super. Ct. (1961) 189 Cal.App.2d 6, 11 [upholding, in personal injury case, interrogatory seeking names of persons who witnessed accident].)</w:t>
      </w:r>
    </w:p>
    <w:p w14:paraId="5E4FDE37" w14:textId="189E97C8" w:rsidR="0014677D" w:rsidRPr="007B5D50" w:rsidRDefault="00ED05E1" w:rsidP="00ED05E1">
      <w:pPr>
        <w:spacing w:line="240" w:lineRule="auto"/>
        <w:rPr>
          <w:rFonts w:ascii="Equity A" w:hAnsi="Equity A"/>
          <w:highlight w:val="yellow"/>
        </w:rPr>
      </w:pPr>
      <w:r w:rsidRPr="007B5D50">
        <w:rPr>
          <w:rFonts w:ascii="Equity A" w:hAnsi="Equity A"/>
          <w:highlight w:val="yellow"/>
        </w:rPr>
        <w:t xml:space="preserve">Next, </w:t>
      </w:r>
      <w:r w:rsidR="007B5D50" w:rsidRPr="007B5D50">
        <w:rPr>
          <w:rFonts w:ascii="Equity A" w:hAnsi="Equity A"/>
          <w:highlight w:val="yellow"/>
        </w:rPr>
        <w:t>Counsel for corporate entities responding to discovery must ensure that the officer or agent designated to answer the interrogatories (1) makes reasonable inquiries of employees, agents, and persons under the company’s control and (2) conducts a reasonable search of the company’s business records. The entity must gather information necessary to answer the interrogatories from all sources under its control, even if the information is not personally known to the designated officer or agent. (Gordon v. Super. Ct. (1984) 161 Cal.App.3d 157, 167-168.)</w:t>
      </w:r>
    </w:p>
    <w:p w14:paraId="1731A269" w14:textId="34352CEE" w:rsidR="007B5D50" w:rsidRPr="007B5D50" w:rsidRDefault="007B5D50" w:rsidP="00ED05E1">
      <w:pPr>
        <w:spacing w:line="240" w:lineRule="auto"/>
        <w:rPr>
          <w:rFonts w:ascii="Equity A" w:hAnsi="Equity A"/>
          <w:highlight w:val="yellow"/>
        </w:rPr>
      </w:pPr>
      <w:r w:rsidRPr="007B5D50">
        <w:rPr>
          <w:rFonts w:ascii="Equity A" w:hAnsi="Equity A"/>
          <w:highlight w:val="yellow"/>
        </w:rPr>
        <w:t>Further, [optional, custom user-entered criticism.]</w:t>
      </w:r>
    </w:p>
    <w:p w14:paraId="7675FCA2" w14:textId="77777777" w:rsidR="00D43629" w:rsidRPr="007B5D50" w:rsidRDefault="00D43629" w:rsidP="00ED05E1">
      <w:pPr>
        <w:spacing w:line="240" w:lineRule="auto"/>
        <w:rPr>
          <w:rFonts w:ascii="Equity A" w:hAnsi="Equity A"/>
          <w:b/>
          <w:bCs/>
          <w:i/>
          <w:iCs/>
          <w:highlight w:val="yellow"/>
        </w:rPr>
      </w:pPr>
      <w:r w:rsidRPr="007B5D50">
        <w:rPr>
          <w:rFonts w:ascii="Equity A" w:hAnsi="Equity A"/>
          <w:b/>
          <w:bCs/>
          <w:i/>
          <w:iCs/>
          <w:highlight w:val="yellow"/>
        </w:rPr>
        <w:t>Interrogatory No. 5</w:t>
      </w:r>
    </w:p>
    <w:p w14:paraId="2769CEDC" w14:textId="77777777" w:rsidR="00D43629" w:rsidRPr="007B5D50" w:rsidRDefault="00D43629" w:rsidP="00ED05E1">
      <w:pPr>
        <w:spacing w:line="240" w:lineRule="auto"/>
        <w:rPr>
          <w:rFonts w:ascii="Equity A" w:hAnsi="Equity A"/>
        </w:rPr>
      </w:pPr>
      <w:r w:rsidRPr="007B5D50">
        <w:rPr>
          <w:rFonts w:ascii="Equity A" w:hAnsi="Equity A"/>
        </w:rPr>
        <w:t>Interrogatory No. 5</w:t>
      </w:r>
      <w:r w:rsidR="00BC32F3" w:rsidRPr="007B5D50">
        <w:rPr>
          <w:rFonts w:ascii="Equity A" w:hAnsi="Equity A"/>
        </w:rPr>
        <w:t xml:space="preserve"> </w:t>
      </w:r>
      <w:r w:rsidRPr="007B5D50">
        <w:rPr>
          <w:rFonts w:ascii="Equity A" w:hAnsi="Equity A"/>
        </w:rPr>
        <w:t>states:</w:t>
      </w:r>
    </w:p>
    <w:p w14:paraId="21319914" w14:textId="77777777" w:rsidR="00D43629" w:rsidRPr="007B5D50" w:rsidRDefault="00ED05E1" w:rsidP="00ED05E1">
      <w:pPr>
        <w:spacing w:line="240" w:lineRule="auto"/>
        <w:rPr>
          <w:rFonts w:ascii="Equity A" w:hAnsi="Equity A"/>
        </w:rPr>
      </w:pPr>
      <w:proofErr w:type="spellStart"/>
      <w:r w:rsidRPr="007B5D50">
        <w:rPr>
          <w:rFonts w:ascii="Equity A" w:hAnsi="Equity A"/>
        </w:rPr>
        <w:t>x</w:t>
      </w:r>
      <w:r w:rsidR="00D43629" w:rsidRPr="007B5D50">
        <w:rPr>
          <w:rFonts w:ascii="Equity A" w:hAnsi="Equity A"/>
        </w:rPr>
        <w:t>xxxxxxxxxxxxxxxxxxx</w:t>
      </w:r>
      <w:r w:rsidRPr="007B5D50">
        <w:rPr>
          <w:rFonts w:ascii="Equity A" w:hAnsi="Equity A"/>
        </w:rPr>
        <w:t>xxxxxxxxxxxxxxxxxxxxx</w:t>
      </w:r>
      <w:proofErr w:type="spellEnd"/>
    </w:p>
    <w:p w14:paraId="06CA4EDD" w14:textId="20C5751A" w:rsidR="00D43629" w:rsidRPr="007B5D50" w:rsidRDefault="003750A8" w:rsidP="00ED05E1">
      <w:pPr>
        <w:spacing w:line="240" w:lineRule="auto"/>
        <w:rPr>
          <w:rFonts w:ascii="Equity A" w:hAnsi="Equity A"/>
        </w:rPr>
      </w:pPr>
      <w:r>
        <w:rPr>
          <w:rFonts w:ascii="Equity A" w:hAnsi="Equity A"/>
        </w:rPr>
        <w:t>Waterford</w:t>
      </w:r>
      <w:r w:rsidRPr="007B5D50">
        <w:rPr>
          <w:rFonts w:ascii="Equity A" w:hAnsi="Equity A"/>
        </w:rPr>
        <w:t xml:space="preserve">’s </w:t>
      </w:r>
      <w:r w:rsidR="00D43629" w:rsidRPr="007B5D50">
        <w:rPr>
          <w:rFonts w:ascii="Equity A" w:hAnsi="Equity A"/>
        </w:rPr>
        <w:t>’s response was:</w:t>
      </w:r>
    </w:p>
    <w:p w14:paraId="1A402969" w14:textId="77777777" w:rsidR="00D43629" w:rsidRPr="007B5D50" w:rsidRDefault="00ED05E1" w:rsidP="00ED05E1">
      <w:pPr>
        <w:spacing w:line="240" w:lineRule="auto"/>
        <w:rPr>
          <w:rFonts w:ascii="Equity A" w:hAnsi="Equity A"/>
        </w:rPr>
      </w:pPr>
      <w:proofErr w:type="spellStart"/>
      <w:r w:rsidRPr="007B5D50">
        <w:rPr>
          <w:rFonts w:ascii="Equity A" w:hAnsi="Equity A"/>
        </w:rPr>
        <w:t>y</w:t>
      </w:r>
      <w:r w:rsidR="00D43629" w:rsidRPr="007B5D50">
        <w:rPr>
          <w:rFonts w:ascii="Equity A" w:hAnsi="Equity A"/>
        </w:rPr>
        <w:t>yyyyyyyyyyyyyyyyyyyyyy</w:t>
      </w:r>
      <w:r w:rsidRPr="007B5D50">
        <w:rPr>
          <w:rFonts w:ascii="Equity A" w:hAnsi="Equity A"/>
        </w:rPr>
        <w:t>yyyyyyyyyyyyyyyyyy</w:t>
      </w:r>
      <w:proofErr w:type="spellEnd"/>
    </w:p>
    <w:p w14:paraId="2A8172AB" w14:textId="337D9140" w:rsidR="00BC32F3" w:rsidRDefault="007B5D50" w:rsidP="00ED05E1">
      <w:pPr>
        <w:spacing w:line="240" w:lineRule="auto"/>
        <w:rPr>
          <w:rFonts w:ascii="Equity A" w:hAnsi="Equity A"/>
          <w:highlight w:val="yellow"/>
        </w:rPr>
      </w:pPr>
      <w:r>
        <w:rPr>
          <w:rFonts w:ascii="Equity A" w:hAnsi="Equity A"/>
          <w:highlight w:val="yellow"/>
        </w:rPr>
        <w:t>T</w:t>
      </w:r>
      <w:r w:rsidR="00D43629" w:rsidRPr="007B5D50">
        <w:rPr>
          <w:rFonts w:ascii="Equity A" w:hAnsi="Equity A"/>
          <w:highlight w:val="yellow"/>
        </w:rPr>
        <w:t xml:space="preserve">he above response is not </w:t>
      </w:r>
      <w:proofErr w:type="gramStart"/>
      <w:r w:rsidR="00D43629" w:rsidRPr="007B5D50">
        <w:rPr>
          <w:rFonts w:ascii="Equity A" w:hAnsi="Equity A"/>
          <w:highlight w:val="yellow"/>
        </w:rPr>
        <w:t>code-compliant</w:t>
      </w:r>
      <w:proofErr w:type="gramEnd"/>
      <w:r w:rsidR="00D43629" w:rsidRPr="007B5D50">
        <w:rPr>
          <w:rFonts w:ascii="Equity A" w:hAnsi="Equity A"/>
          <w:highlight w:val="yellow"/>
        </w:rPr>
        <w:t>.</w:t>
      </w:r>
    </w:p>
    <w:p w14:paraId="733A213C" w14:textId="63ABAE5E" w:rsidR="007B5D50" w:rsidRPr="007B5D50" w:rsidRDefault="007B5D50" w:rsidP="00ED05E1">
      <w:pPr>
        <w:spacing w:line="240" w:lineRule="auto"/>
        <w:rPr>
          <w:rFonts w:ascii="Equity A" w:hAnsi="Equity A"/>
          <w:highlight w:val="yellow"/>
        </w:rPr>
      </w:pPr>
      <w:r w:rsidRPr="007B5D50">
        <w:rPr>
          <w:rFonts w:ascii="Equity A" w:hAnsi="Equity A"/>
          <w:highlight w:val="yellow"/>
        </w:rPr>
        <w:lastRenderedPageBreak/>
        <w:t xml:space="preserve">Black-letter law authorizes interrogatories that call for responses that furnish factual grounds for lay opinions or legal contentions. (CCP § 2030.010(b).) "An interrogatory is not objectionable because an answer to it involves an opinion or contention that relates to fact or the application of law to fact, or would be based on information obtained or legal theories developed in anticipation of litigation or in preparation for </w:t>
      </w:r>
      <w:proofErr w:type="gramStart"/>
      <w:r w:rsidRPr="007B5D50">
        <w:rPr>
          <w:rFonts w:ascii="Equity A" w:hAnsi="Equity A"/>
          <w:highlight w:val="yellow"/>
        </w:rPr>
        <w:t>trial  calls</w:t>
      </w:r>
      <w:proofErr w:type="gramEnd"/>
      <w:r w:rsidRPr="007B5D50">
        <w:rPr>
          <w:rFonts w:ascii="Equity A" w:hAnsi="Equity A"/>
          <w:highlight w:val="yellow"/>
        </w:rPr>
        <w:t xml:space="preserve"> for a legal contention. (Ibid.; see also Rifkind v. Super. Ct. (1994) 22 Cal.App.4th 1255, 1261.)</w:t>
      </w:r>
    </w:p>
    <w:p w14:paraId="2AC63EDF" w14:textId="0C550C5E" w:rsidR="0014677D" w:rsidRDefault="007B5D50" w:rsidP="00ED05E1">
      <w:pPr>
        <w:spacing w:line="240" w:lineRule="auto"/>
        <w:rPr>
          <w:rFonts w:ascii="Equity A" w:hAnsi="Equity A"/>
        </w:rPr>
      </w:pPr>
      <w:r w:rsidRPr="007B5D50">
        <w:rPr>
          <w:rFonts w:ascii="Equity A" w:hAnsi="Equity A"/>
          <w:highlight w:val="yellow"/>
        </w:rPr>
        <w:t>Nonprivileged information that is relevant to the subject matter of the action is discoverable, even if it is inadmissible, if it appears reasonably calculated to lead to the discovery of admissible evidence. This standard gives the propounding party a broad right to discovery. (CCP § 2017.010; Williams v. Super. Ct. (2017), 3 Cal.5th 531, 541.) Any doubts about discoverability are resolved in favor of disclosure. (See Williams, 3 Cal.5th at 542.) “California’s pretrial discovery procedures are designed to minimize the opportunities for fabrication and forgetfulness, and to eliminate the need for guesswork about the other side’s evidence, with all doubts about discoverability resolved in favor of disclosure.” (Glenfed Dev. Corp. v. Super. Ct. (1997) 53 Cal.App.4th 1113, 1119.) To accomplish the legislative purpose behind the discovery statutes, they “must be construed liberally in favor of disclosure.” (Emerson Elec. Co. v Super. Ct. (1997) 16 Cal.4th 1101, 1107, quoting Greyhound Corp. v Super. Ct. (1961) 56 Cal.2d 355, 377 [emphasis added].)</w:t>
      </w:r>
    </w:p>
    <w:p w14:paraId="5C43C6AE" w14:textId="0BB7F3AC" w:rsidR="003750A8" w:rsidRPr="007B5D50" w:rsidRDefault="003750A8" w:rsidP="003750A8">
      <w:pPr>
        <w:spacing w:line="240" w:lineRule="auto"/>
        <w:rPr>
          <w:rFonts w:ascii="Equity A" w:hAnsi="Equity A"/>
          <w:b/>
          <w:bCs/>
          <w:i/>
          <w:iCs/>
          <w:highlight w:val="yellow"/>
        </w:rPr>
      </w:pPr>
      <w:r>
        <w:rPr>
          <w:rFonts w:ascii="Equity A" w:hAnsi="Equity A"/>
          <w:b/>
          <w:bCs/>
          <w:i/>
          <w:iCs/>
          <w:highlight w:val="yellow"/>
        </w:rPr>
        <w:t>Request for Documents</w:t>
      </w:r>
      <w:r w:rsidRPr="007B5D50">
        <w:rPr>
          <w:rFonts w:ascii="Equity A" w:hAnsi="Equity A"/>
          <w:b/>
          <w:bCs/>
          <w:i/>
          <w:iCs/>
          <w:highlight w:val="yellow"/>
        </w:rPr>
        <w:t xml:space="preserve"> No.</w:t>
      </w:r>
      <w:r>
        <w:rPr>
          <w:rFonts w:ascii="Equity A" w:hAnsi="Equity A"/>
          <w:b/>
          <w:bCs/>
          <w:i/>
          <w:iCs/>
          <w:highlight w:val="yellow"/>
        </w:rPr>
        <w:t>3</w:t>
      </w:r>
    </w:p>
    <w:p w14:paraId="2F29F2CE" w14:textId="7A18576C" w:rsidR="003750A8" w:rsidRPr="007B5D50" w:rsidRDefault="003750A8" w:rsidP="003750A8">
      <w:pPr>
        <w:spacing w:line="240" w:lineRule="auto"/>
        <w:rPr>
          <w:rFonts w:ascii="Equity A" w:hAnsi="Equity A"/>
        </w:rPr>
      </w:pPr>
      <w:r>
        <w:rPr>
          <w:rFonts w:ascii="Equity A" w:hAnsi="Equity A"/>
        </w:rPr>
        <w:t>Request for Documents</w:t>
      </w:r>
      <w:r w:rsidRPr="007B5D50">
        <w:rPr>
          <w:rFonts w:ascii="Equity A" w:hAnsi="Equity A"/>
        </w:rPr>
        <w:t xml:space="preserve"> No. </w:t>
      </w:r>
      <w:r>
        <w:rPr>
          <w:rFonts w:ascii="Equity A" w:hAnsi="Equity A"/>
        </w:rPr>
        <w:t>3</w:t>
      </w:r>
      <w:r w:rsidRPr="007B5D50">
        <w:rPr>
          <w:rFonts w:ascii="Equity A" w:hAnsi="Equity A"/>
        </w:rPr>
        <w:t xml:space="preserve"> states:</w:t>
      </w:r>
    </w:p>
    <w:p w14:paraId="77548A65" w14:textId="77777777" w:rsidR="003750A8" w:rsidRPr="007B5D50" w:rsidRDefault="003750A8" w:rsidP="003750A8">
      <w:pPr>
        <w:spacing w:line="240" w:lineRule="auto"/>
        <w:rPr>
          <w:rFonts w:ascii="Equity A" w:hAnsi="Equity A"/>
        </w:rPr>
      </w:pPr>
      <w:proofErr w:type="spellStart"/>
      <w:r w:rsidRPr="007B5D50">
        <w:rPr>
          <w:rFonts w:ascii="Equity A" w:hAnsi="Equity A"/>
        </w:rPr>
        <w:t>xxxxxxxxxxxxxxxxxxxxxxxxxxxxxxxxxxxxxxxxx</w:t>
      </w:r>
      <w:proofErr w:type="spellEnd"/>
    </w:p>
    <w:p w14:paraId="014E426D" w14:textId="7EBCAC1C" w:rsidR="003750A8" w:rsidRPr="007B5D50" w:rsidRDefault="003750A8" w:rsidP="003750A8">
      <w:pPr>
        <w:spacing w:line="240" w:lineRule="auto"/>
        <w:rPr>
          <w:rFonts w:ascii="Equity A" w:hAnsi="Equity A"/>
        </w:rPr>
      </w:pPr>
      <w:r>
        <w:rPr>
          <w:rFonts w:ascii="Equity A" w:hAnsi="Equity A"/>
        </w:rPr>
        <w:t>Waterford</w:t>
      </w:r>
      <w:r w:rsidRPr="007B5D50">
        <w:rPr>
          <w:rFonts w:ascii="Equity A" w:hAnsi="Equity A"/>
        </w:rPr>
        <w:t>’s response was:</w:t>
      </w:r>
    </w:p>
    <w:p w14:paraId="3256FB48" w14:textId="77777777" w:rsidR="003750A8" w:rsidRPr="007B5D50" w:rsidRDefault="003750A8" w:rsidP="003750A8">
      <w:pPr>
        <w:spacing w:line="240" w:lineRule="auto"/>
        <w:rPr>
          <w:rFonts w:ascii="Equity A" w:hAnsi="Equity A"/>
        </w:rPr>
      </w:pPr>
      <w:proofErr w:type="spellStart"/>
      <w:r w:rsidRPr="007B5D50">
        <w:rPr>
          <w:rFonts w:ascii="Equity A" w:hAnsi="Equity A"/>
        </w:rPr>
        <w:t>yyyyyyyyyyyyyyyyyyyyyyyyyyyyyyyyyyyyyyyyy</w:t>
      </w:r>
      <w:proofErr w:type="spellEnd"/>
    </w:p>
    <w:p w14:paraId="4DF2CF06" w14:textId="77777777" w:rsidR="003750A8" w:rsidRPr="003750A8" w:rsidRDefault="003750A8" w:rsidP="003750A8">
      <w:pPr>
        <w:spacing w:line="240" w:lineRule="auto"/>
        <w:rPr>
          <w:rFonts w:ascii="Equity A" w:hAnsi="Equity A"/>
          <w:highlight w:val="yellow"/>
        </w:rPr>
      </w:pPr>
      <w:r w:rsidRPr="003750A8">
        <w:rPr>
          <w:rFonts w:ascii="Equity A" w:hAnsi="Equity A"/>
          <w:highlight w:val="yellow"/>
        </w:rPr>
        <w:t xml:space="preserve">The above response is not </w:t>
      </w:r>
      <w:proofErr w:type="gramStart"/>
      <w:r w:rsidRPr="003750A8">
        <w:rPr>
          <w:rFonts w:ascii="Equity A" w:hAnsi="Equity A"/>
          <w:highlight w:val="yellow"/>
        </w:rPr>
        <w:t>code-compliant</w:t>
      </w:r>
      <w:proofErr w:type="gramEnd"/>
      <w:r w:rsidRPr="003750A8">
        <w:rPr>
          <w:rFonts w:ascii="Equity A" w:hAnsi="Equity A"/>
          <w:highlight w:val="yellow"/>
        </w:rPr>
        <w:t>.</w:t>
      </w:r>
    </w:p>
    <w:p w14:paraId="513CA0AF" w14:textId="77777777" w:rsidR="003750A8" w:rsidRPr="003750A8" w:rsidRDefault="003750A8" w:rsidP="003750A8">
      <w:pPr>
        <w:spacing w:line="240" w:lineRule="auto"/>
        <w:rPr>
          <w:rFonts w:ascii="Equity A" w:hAnsi="Equity A"/>
          <w:highlight w:val="yellow"/>
        </w:rPr>
      </w:pPr>
      <w:r w:rsidRPr="003750A8">
        <w:rPr>
          <w:rFonts w:ascii="Equity A" w:hAnsi="Equity A"/>
          <w:highlight w:val="yellow"/>
        </w:rPr>
        <w:t>If only part of an item or category demanded is objectionable, the response must contain an agreement to comply with the remainder, or a representation of inability to comply. [CCP § 2031.240(a)] (General objections to the entire request are unauthorized and constitute discovery misuse; see ¶ 8:1071 (dealing with interrogatories).)</w:t>
      </w:r>
    </w:p>
    <w:p w14:paraId="63A8CA11" w14:textId="3EAD3F09" w:rsidR="003750A8" w:rsidRPr="003750A8" w:rsidRDefault="003750A8" w:rsidP="003750A8">
      <w:pPr>
        <w:spacing w:line="240" w:lineRule="auto"/>
        <w:rPr>
          <w:rFonts w:ascii="Equity A" w:hAnsi="Equity A"/>
          <w:highlight w:val="yellow"/>
        </w:rPr>
      </w:pPr>
      <w:r w:rsidRPr="003750A8">
        <w:rPr>
          <w:rFonts w:ascii="Equity A" w:hAnsi="Equity A"/>
          <w:highlight w:val="yellow"/>
        </w:rPr>
        <w:t xml:space="preserve">Documents produced by the responding party </w:t>
      </w:r>
      <w:r w:rsidRPr="003750A8">
        <w:rPr>
          <w:rFonts w:ascii="Equity A" w:hAnsi="Equity A"/>
          <w:highlight w:val="yellow"/>
        </w:rPr>
        <w:t>must be sorted and labeled to correspond with the categories in the document demand. [CCP § 2031.280(a)] (Prior law permitted production of documents as they were kept in the ordinary course of business.) Sanctions possible for noncompliance: Sanctions may be assessed for production of documents that are in complete disorder if the court finds that the producing party is responsible for the disordered state. [Kayne v. Grande Holdings Ltd. (2011) 198 CA4th 1470, 1476, 130 CR3d 751, 755—producing party ordered to pay more than $74,000 of costs incurred by opposing party to organize documents; see ¶ 8:1508.2a]</w:t>
      </w:r>
    </w:p>
    <w:p w14:paraId="543B0DAF" w14:textId="77777777" w:rsidR="003750A8" w:rsidRPr="007B5D50" w:rsidRDefault="003750A8" w:rsidP="003750A8">
      <w:pPr>
        <w:spacing w:line="240" w:lineRule="auto"/>
        <w:rPr>
          <w:rFonts w:ascii="Equity A" w:hAnsi="Equity A"/>
          <w:highlight w:val="yellow"/>
        </w:rPr>
      </w:pPr>
      <w:r w:rsidRPr="007B5D50">
        <w:rPr>
          <w:rFonts w:ascii="Equity A" w:hAnsi="Equity A"/>
          <w:highlight w:val="yellow"/>
        </w:rPr>
        <w:t>Further, [optional, custom user-entered criticism.]</w:t>
      </w:r>
    </w:p>
    <w:p w14:paraId="1FCE144D" w14:textId="64BBA2A5" w:rsidR="00933841" w:rsidRDefault="00933841" w:rsidP="00933841">
      <w:pPr>
        <w:keepNext/>
        <w:keepLines/>
        <w:tabs>
          <w:tab w:val="left" w:pos="4510"/>
        </w:tabs>
        <w:spacing w:after="360" w:line="240" w:lineRule="auto"/>
        <w:ind w:left="4507"/>
        <w:rPr>
          <w:rFonts w:ascii="Equity A" w:hAnsi="Equity A"/>
          <w:color w:val="000000"/>
          <w:u w:color="000000"/>
        </w:rPr>
      </w:pPr>
      <w:r>
        <w:rPr>
          <w:rFonts w:ascii="Equity A" w:hAnsi="Equity A"/>
          <w:color w:val="000000"/>
          <w:u w:color="000000"/>
        </w:rPr>
        <w:t>Cordially,</w:t>
      </w:r>
    </w:p>
    <w:p w14:paraId="769C7F1B" w14:textId="7ECCF489" w:rsidR="00933841" w:rsidRPr="00933841" w:rsidRDefault="00933841" w:rsidP="00933841">
      <w:pPr>
        <w:keepNext/>
        <w:keepLines/>
        <w:tabs>
          <w:tab w:val="left" w:pos="4510"/>
        </w:tabs>
        <w:spacing w:after="0" w:line="240" w:lineRule="auto"/>
        <w:ind w:left="4500"/>
        <w:contextualSpacing/>
        <w:rPr>
          <w:rFonts w:ascii="Equity A" w:hAnsi="Equity A"/>
          <w:color w:val="000000"/>
          <w:u w:color="000000"/>
        </w:rPr>
      </w:pPr>
      <w:r w:rsidRPr="00933841">
        <w:rPr>
          <w:rFonts w:ascii="Equity A" w:hAnsi="Equity A"/>
          <w:color w:val="000000"/>
          <w:u w:color="000000"/>
        </w:rPr>
        <w:t>_______________________</w:t>
      </w:r>
    </w:p>
    <w:p w14:paraId="2A953CA7" w14:textId="581B9195" w:rsidR="00A44433" w:rsidRPr="00933841" w:rsidRDefault="00933841" w:rsidP="00933841">
      <w:pPr>
        <w:keepNext/>
        <w:keepLines/>
        <w:tabs>
          <w:tab w:val="left" w:pos="4510"/>
        </w:tabs>
        <w:spacing w:after="0" w:line="240" w:lineRule="exact"/>
        <w:ind w:left="4507"/>
        <w:contextualSpacing/>
        <w:rPr>
          <w:rFonts w:ascii="Equity A" w:hAnsi="Equity A"/>
          <w:color w:val="000000"/>
          <w:u w:color="000000"/>
        </w:rPr>
      </w:pPr>
      <w:r>
        <w:rPr>
          <w:rFonts w:ascii="Equity A" w:hAnsi="Equity A"/>
          <w:color w:val="000000"/>
          <w:u w:color="000000"/>
        </w:rPr>
        <w:t>Big Shot Lawyer</w:t>
      </w:r>
    </w:p>
    <w:sectPr w:rsidR="00A44433" w:rsidRPr="00933841" w:rsidSect="00AC08B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E860" w14:textId="77777777" w:rsidR="00465D3C" w:rsidRDefault="00465D3C" w:rsidP="003750A8">
      <w:pPr>
        <w:spacing w:after="0" w:line="240" w:lineRule="auto"/>
      </w:pPr>
      <w:r>
        <w:separator/>
      </w:r>
    </w:p>
  </w:endnote>
  <w:endnote w:type="continuationSeparator" w:id="0">
    <w:p w14:paraId="21E60CBD" w14:textId="77777777" w:rsidR="00465D3C" w:rsidRDefault="00465D3C" w:rsidP="0037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quity 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46F9" w14:textId="77777777" w:rsidR="00465D3C" w:rsidRDefault="00465D3C" w:rsidP="003750A8">
      <w:pPr>
        <w:spacing w:after="0" w:line="240" w:lineRule="auto"/>
      </w:pPr>
      <w:r>
        <w:separator/>
      </w:r>
    </w:p>
  </w:footnote>
  <w:footnote w:type="continuationSeparator" w:id="0">
    <w:p w14:paraId="72D3B1FF" w14:textId="77777777" w:rsidR="00465D3C" w:rsidRDefault="00465D3C" w:rsidP="00375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14AD"/>
    <w:multiLevelType w:val="hybridMultilevel"/>
    <w:tmpl w:val="D5DE57E8"/>
    <w:lvl w:ilvl="0" w:tplc="C53AB642">
      <w:start w:val="1"/>
      <w:numFmt w:val="decimal"/>
      <w:pStyle w:val="ListParagraph"/>
      <w:lvlText w:val="%1."/>
      <w:lvlJc w:val="center"/>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36D25247"/>
    <w:multiLevelType w:val="hybridMultilevel"/>
    <w:tmpl w:val="A88218A4"/>
    <w:lvl w:ilvl="0" w:tplc="EDDCAA1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49F87201"/>
    <w:multiLevelType w:val="hybridMultilevel"/>
    <w:tmpl w:val="1A0EF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FD0D57"/>
    <w:multiLevelType w:val="hybridMultilevel"/>
    <w:tmpl w:val="201881DC"/>
    <w:lvl w:ilvl="0" w:tplc="3564C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B36FC"/>
    <w:multiLevelType w:val="hybridMultilevel"/>
    <w:tmpl w:val="FC0608DA"/>
    <w:lvl w:ilvl="0" w:tplc="6A9E8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90CD7"/>
    <w:multiLevelType w:val="hybridMultilevel"/>
    <w:tmpl w:val="AF0E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998199">
    <w:abstractNumId w:val="0"/>
  </w:num>
  <w:num w:numId="2" w16cid:durableId="170872234">
    <w:abstractNumId w:val="1"/>
  </w:num>
  <w:num w:numId="3" w16cid:durableId="1827815929">
    <w:abstractNumId w:val="5"/>
  </w:num>
  <w:num w:numId="4" w16cid:durableId="467941080">
    <w:abstractNumId w:val="2"/>
  </w:num>
  <w:num w:numId="5" w16cid:durableId="1735354908">
    <w:abstractNumId w:val="3"/>
  </w:num>
  <w:num w:numId="6" w16cid:durableId="648363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F3"/>
    <w:rsid w:val="00014604"/>
    <w:rsid w:val="0014677D"/>
    <w:rsid w:val="001E5CFE"/>
    <w:rsid w:val="00226BA3"/>
    <w:rsid w:val="00232F52"/>
    <w:rsid w:val="002C76EC"/>
    <w:rsid w:val="002D73D6"/>
    <w:rsid w:val="003750A8"/>
    <w:rsid w:val="00465D3C"/>
    <w:rsid w:val="004E68D4"/>
    <w:rsid w:val="00634A08"/>
    <w:rsid w:val="006767FC"/>
    <w:rsid w:val="00684C12"/>
    <w:rsid w:val="00686AD3"/>
    <w:rsid w:val="00720246"/>
    <w:rsid w:val="00734198"/>
    <w:rsid w:val="007B5D50"/>
    <w:rsid w:val="007E6046"/>
    <w:rsid w:val="008E259E"/>
    <w:rsid w:val="00933841"/>
    <w:rsid w:val="00972149"/>
    <w:rsid w:val="00974292"/>
    <w:rsid w:val="00A244E2"/>
    <w:rsid w:val="00A44433"/>
    <w:rsid w:val="00AC08B4"/>
    <w:rsid w:val="00AE7F7F"/>
    <w:rsid w:val="00B150E7"/>
    <w:rsid w:val="00B3295F"/>
    <w:rsid w:val="00BC32F3"/>
    <w:rsid w:val="00C41C0F"/>
    <w:rsid w:val="00C62CA0"/>
    <w:rsid w:val="00CC0146"/>
    <w:rsid w:val="00CE0268"/>
    <w:rsid w:val="00D17710"/>
    <w:rsid w:val="00D35299"/>
    <w:rsid w:val="00D43629"/>
    <w:rsid w:val="00D75597"/>
    <w:rsid w:val="00DC2854"/>
    <w:rsid w:val="00DD4E2D"/>
    <w:rsid w:val="00E857F4"/>
    <w:rsid w:val="00ED05E1"/>
    <w:rsid w:val="00EE343E"/>
    <w:rsid w:val="00F5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6721"/>
  <w15:chartTrackingRefBased/>
  <w15:docId w15:val="{17D990E8-84F9-8D41-9519-585C5A50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2F3"/>
    <w:pPr>
      <w:spacing w:after="120" w:line="276" w:lineRule="auto"/>
    </w:pPr>
    <w:rPr>
      <w:rFonts w:eastAsia="Times New Roman" w:cs="Times New Roman"/>
      <w:color w:val="000000" w:themeColor="text1"/>
      <w:u w:color="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rsid w:val="00BC32F3"/>
    <w:pPr>
      <w:numPr>
        <w:numId w:val="1"/>
      </w:numPr>
      <w:tabs>
        <w:tab w:val="left" w:pos="432"/>
      </w:tabs>
      <w:ind w:left="864" w:hanging="432"/>
    </w:pPr>
  </w:style>
  <w:style w:type="paragraph" w:styleId="Quote">
    <w:name w:val="Quote"/>
    <w:basedOn w:val="Normal"/>
    <w:next w:val="Normal"/>
    <w:link w:val="QuoteChar"/>
    <w:uiPriority w:val="29"/>
    <w:qFormat/>
    <w:rsid w:val="00F577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7793"/>
    <w:rPr>
      <w:rFonts w:eastAsia="Times New Roman" w:cs="Times New Roman"/>
      <w:i/>
      <w:iCs/>
      <w:color w:val="404040" w:themeColor="text1" w:themeTint="BF"/>
      <w:u w:color="000000" w:themeColor="text1"/>
    </w:rPr>
  </w:style>
  <w:style w:type="paragraph" w:styleId="Header">
    <w:name w:val="header"/>
    <w:basedOn w:val="Normal"/>
    <w:link w:val="HeaderChar"/>
    <w:uiPriority w:val="99"/>
    <w:unhideWhenUsed/>
    <w:rsid w:val="00375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A8"/>
    <w:rPr>
      <w:rFonts w:eastAsia="Times New Roman" w:cs="Times New Roman"/>
      <w:color w:val="000000" w:themeColor="text1"/>
      <w:u w:color="000000" w:themeColor="text1"/>
    </w:rPr>
  </w:style>
  <w:style w:type="paragraph" w:styleId="Footer">
    <w:name w:val="footer"/>
    <w:basedOn w:val="Normal"/>
    <w:link w:val="FooterChar"/>
    <w:uiPriority w:val="99"/>
    <w:unhideWhenUsed/>
    <w:rsid w:val="00375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A8"/>
    <w:rPr>
      <w:rFonts w:eastAsia="Times New Roman" w:cs="Times New Roman"/>
      <w:color w:val="000000" w:themeColor="text1"/>
      <w:u w:color="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398">
      <w:bodyDiv w:val="1"/>
      <w:marLeft w:val="0"/>
      <w:marRight w:val="0"/>
      <w:marTop w:val="0"/>
      <w:marBottom w:val="0"/>
      <w:divBdr>
        <w:top w:val="none" w:sz="0" w:space="0" w:color="auto"/>
        <w:left w:val="none" w:sz="0" w:space="0" w:color="auto"/>
        <w:bottom w:val="none" w:sz="0" w:space="0" w:color="auto"/>
        <w:right w:val="none" w:sz="0" w:space="0" w:color="auto"/>
      </w:divBdr>
      <w:divsChild>
        <w:div w:id="895508644">
          <w:marLeft w:val="0"/>
          <w:marRight w:val="0"/>
          <w:marTop w:val="0"/>
          <w:marBottom w:val="0"/>
          <w:divBdr>
            <w:top w:val="none" w:sz="0" w:space="0" w:color="auto"/>
            <w:left w:val="none" w:sz="0" w:space="0" w:color="auto"/>
            <w:bottom w:val="none" w:sz="0" w:space="0" w:color="auto"/>
            <w:right w:val="none" w:sz="0" w:space="0" w:color="auto"/>
          </w:divBdr>
          <w:divsChild>
            <w:div w:id="15338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10314">
      <w:bodyDiv w:val="1"/>
      <w:marLeft w:val="0"/>
      <w:marRight w:val="0"/>
      <w:marTop w:val="0"/>
      <w:marBottom w:val="0"/>
      <w:divBdr>
        <w:top w:val="none" w:sz="0" w:space="0" w:color="auto"/>
        <w:left w:val="none" w:sz="0" w:space="0" w:color="auto"/>
        <w:bottom w:val="none" w:sz="0" w:space="0" w:color="auto"/>
        <w:right w:val="none" w:sz="0" w:space="0" w:color="auto"/>
      </w:divBdr>
      <w:divsChild>
        <w:div w:id="1508786638">
          <w:marLeft w:val="0"/>
          <w:marRight w:val="0"/>
          <w:marTop w:val="0"/>
          <w:marBottom w:val="0"/>
          <w:divBdr>
            <w:top w:val="none" w:sz="0" w:space="0" w:color="auto"/>
            <w:left w:val="none" w:sz="0" w:space="0" w:color="auto"/>
            <w:bottom w:val="none" w:sz="0" w:space="0" w:color="auto"/>
            <w:right w:val="none" w:sz="0" w:space="0" w:color="auto"/>
          </w:divBdr>
          <w:divsChild>
            <w:div w:id="17502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cp:keywords/>
  <dc:description/>
  <cp:lastModifiedBy>Anthony Danielson</cp:lastModifiedBy>
  <cp:revision>3</cp:revision>
  <cp:lastPrinted>2023-02-15T15:50:00Z</cp:lastPrinted>
  <dcterms:created xsi:type="dcterms:W3CDTF">2023-02-27T20:22:00Z</dcterms:created>
  <dcterms:modified xsi:type="dcterms:W3CDTF">2023-02-27T20:27:00Z</dcterms:modified>
  <dc:identifier/>
  <dc:language/>
</cp:coreProperties>
</file>