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68CFA8D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FFA12B1" w14:textId="77777777" w:rsidR="007340DE" w:rsidRDefault="00F95EA0" w:rsidP="007340DE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>
        <w:rPr>
          <w:rFonts w:eastAsia="Book Antiqua"/>
          <w:color w:val="000000" w:themeColor="text1"/>
        </w:rPr>
        <w:t>include_legal_support</w:t>
      </w:r>
      <w:r w:rsidRPr="00337B29">
        <w:rPr>
          <w:rFonts w:eastAsia="Book Antiqua"/>
          <w:color w:val="000000" w:themeColor="text1"/>
        </w:rPr>
        <w:t xml:space="preserve"> = </w:t>
      </w:r>
      <w:r>
        <w:t>True</w:t>
      </w:r>
      <w:r w:rsidRPr="00337B29">
        <w:rPr>
          <w:rFonts w:eastAsia="Book Antiqua"/>
          <w:color w:val="000000" w:themeColor="text1"/>
        </w:rPr>
        <w:t xml:space="preserve"> %}</w:t>
      </w:r>
    </w:p>
    <w:p w14:paraId="011E3082" w14:textId="4F9F4FB8" w:rsidR="00F95EA0" w:rsidRDefault="007340DE" w:rsidP="007340DE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>
        <w:rPr>
          <w:rFonts w:eastAsia="Book Antiqua"/>
          <w:color w:val="000000" w:themeColor="text1"/>
        </w:rPr>
        <w:t>include_legal_argument</w:t>
      </w:r>
      <w:r w:rsidRPr="00337B29">
        <w:rPr>
          <w:rFonts w:eastAsia="Book Antiqua"/>
          <w:color w:val="000000" w:themeColor="text1"/>
        </w:rPr>
        <w:t xml:space="preserve"> = </w:t>
      </w:r>
      <w:r>
        <w:t>True</w:t>
      </w:r>
      <w:r w:rsidRPr="00337B29">
        <w:rPr>
          <w:rFonts w:eastAsia="Book Antiqua"/>
          <w:color w:val="000000" w:themeColor="text1"/>
        </w:rPr>
        <w:t xml:space="preserve"> %}</w:t>
      </w:r>
    </w:p>
    <w:p w14:paraId="6C8962AB" w14:textId="0E73C1F3" w:rsidR="00F95EA0" w:rsidRPr="00337B29" w:rsidRDefault="00F95EA0" w:rsidP="00F95EA0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>
        <w:rPr>
          <w:rFonts w:eastAsia="Book Antiqua"/>
          <w:color w:val="000000" w:themeColor="text1"/>
        </w:rPr>
        <w:t>include_other_relief</w:t>
      </w:r>
      <w:r w:rsidRPr="00337B29">
        <w:rPr>
          <w:rFonts w:eastAsia="Book Antiqua"/>
          <w:color w:val="000000" w:themeColor="text1"/>
        </w:rPr>
        <w:t xml:space="preserve"> = </w:t>
      </w:r>
      <w:r>
        <w:t>True</w:t>
      </w:r>
      <w:r w:rsidRPr="00337B29">
        <w:rPr>
          <w:rFonts w:eastAsia="Book Antiqua"/>
          <w:color w:val="000000" w:themeColor="text1"/>
        </w:rPr>
        <w:t xml:space="preserve"> %}</w:t>
      </w:r>
    </w:p>
    <w:p w14:paraId="09504592" w14:textId="07C7ACFF" w:rsidR="43D49915" w:rsidRPr="00337B29" w:rsidRDefault="63D77E83" w:rsidP="00D74A54">
      <w:r w:rsidRPr="00337B29">
        <w:t>{%p i</w:t>
      </w:r>
      <w:r w:rsidR="003C06CB">
        <w:t xml:space="preserve">f </w:t>
      </w:r>
      <w:r w:rsidR="00742EA3">
        <w:t>opposing_party_consent</w:t>
      </w:r>
      <w:r w:rsidRPr="00337B29">
        <w:t xml:space="preserve"> %}</w:t>
      </w:r>
    </w:p>
    <w:p w14:paraId="15968AD3" w14:textId="0EFB6417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E19AE">
        <w:t>DEFENDANT'S CONSENT</w:t>
      </w:r>
      <w:r w:rsidR="003C06CB">
        <w:t xml:space="preserve"> 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9A48AFB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"DEFENDANT'S 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67D71822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(Case.Net).</w:t>
      </w:r>
      <w:r w:rsidR="00412569">
        <w:rPr>
          <w:rFonts w:eastAsia="Book Antiqua"/>
          <w:color w:val="000000" w:themeColor="text1"/>
        </w:rPr>
        <w:t xml:space="preserve">{% if include_legal_support %}{% endif %}.{% if </w:t>
      </w:r>
      <w:r w:rsidR="00742EA3">
        <w:rPr>
          <w:rFonts w:eastAsia="Book Antiqua"/>
          <w:color w:val="000000" w:themeColor="text1"/>
        </w:rPr>
        <w:t>opposing_party_consent</w:t>
      </w:r>
      <w:r w:rsidR="00412569">
        <w:rPr>
          <w:rFonts w:eastAsia="Book Antiqua"/>
          <w:color w:val="000000" w:themeColor="text1"/>
        </w:rPr>
        <w:t xml:space="preserve"> %} {{ landlord_doc_name }} consented to this motion.{% endif %} In support of this request, {{ tenant_doc_name }} states as follows:</w:t>
      </w:r>
    </w:p>
    <w:p w14:paraId="7434C72A" w14:textId="74A2DFD0" w:rsidR="00172BB9" w:rsidRDefault="6F33C9D8" w:rsidP="00D74A54">
      <w:r w:rsidRPr="00337B29">
        <w:t>{</w:t>
      </w:r>
      <w:r w:rsidR="4D93E942" w:rsidRPr="00337B29">
        <w:t xml:space="preserve">%p if </w:t>
      </w:r>
      <w:r w:rsidR="00CA15C9">
        <w:t>include_legal_argumen</w:t>
      </w:r>
      <w:r w:rsidR="61176955" w:rsidRPr="00337B29">
        <w:t>t %}</w:t>
      </w:r>
    </w:p>
    <w:p w14:paraId="667B7208" w14:textId="39A94325" w:rsidR="58337180" w:rsidRPr="00D74A54" w:rsidRDefault="00CA15C9" w:rsidP="00CA15C9">
      <w:pPr>
        <w:pStyle w:val="AnswerSection"/>
      </w:pPr>
      <w:r>
        <w:t>Background</w:t>
      </w:r>
    </w:p>
    <w:p w14:paraId="0ABB5810" w14:textId="62C2631D" w:rsidR="00172BB9" w:rsidRPr="00337B29" w:rsidRDefault="374B4B75" w:rsidP="00D74A54">
      <w:r w:rsidRPr="00D74A54">
        <w:t>{%p endif %}</w:t>
      </w:r>
    </w:p>
    <w:p w14:paraId="1C16B93B" w14:textId="0428F6BF" w:rsidR="00F46CE9" w:rsidRDefault="00FE173C" w:rsidP="00090C71">
      <w:pPr>
        <w:pStyle w:val="ListParagraph"/>
      </w:pPr>
      <w:r w:rsidRPr="00FE173C">
        <w:t>{{ tenant_doc_name }} was a tenant at {{ rental_property_address }} (hereinafter, the “rental property”), which is the subject of this eviction lawsuit filed by {{ landlord_doc_name }}.</w:t>
      </w:r>
      <w:r w:rsidR="00C13869" w:rsidRPr="00C13869">
        <w:t xml:space="preserve"> </w:t>
      </w:r>
    </w:p>
    <w:p w14:paraId="652315BD" w14:textId="24AF9312" w:rsidR="00C13869" w:rsidRDefault="00FE173C" w:rsidP="00090C71">
      <w:pPr>
        <w:pStyle w:val="ListParagraph"/>
      </w:pPr>
      <w:r w:rsidRPr="00FE173C">
        <w:t>This lawsuit was an eviction lawsuit that resulted in {{ eviction_outcome }}.</w:t>
      </w:r>
    </w:p>
    <w:p w14:paraId="111589ED" w14:textId="72328A9B" w:rsidR="00FE173C" w:rsidRDefault="00FE173C" w:rsidP="00FE173C">
      <w:pPr>
        <w:pStyle w:val="ListParagraph"/>
      </w:pPr>
      <w:r>
        <w:t>{%p if reason_for_elevated_security.any</w:t>
      </w:r>
      <w:r w:rsidR="00836F88">
        <w:t>_true()</w:t>
      </w:r>
      <w:r>
        <w:t xml:space="preserve"> %}</w:t>
      </w:r>
    </w:p>
    <w:p w14:paraId="025905F2" w14:textId="77777777" w:rsidR="00FE173C" w:rsidRDefault="00FE173C" w:rsidP="00FE173C">
      <w:pPr>
        <w:pStyle w:val="ListParagraph"/>
      </w:pPr>
      <w:r>
        <w:t xml:space="preserve">The Court should elevate security in this case because: </w:t>
      </w:r>
    </w:p>
    <w:p w14:paraId="2C45B4E9" w14:textId="3E2594FA" w:rsidR="00FE173C" w:rsidRDefault="00FE173C" w:rsidP="00CC672A">
      <w:pPr>
        <w:pStyle w:val="ListParagraph"/>
        <w:numPr>
          <w:ilvl w:val="1"/>
          <w:numId w:val="1"/>
        </w:numPr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D810BEF" w14:textId="7861716A" w:rsidR="0016043C" w:rsidRDefault="0016043C" w:rsidP="00901050">
      <w:pPr>
        <w:pStyle w:val="ListParagraph"/>
        <w:numPr>
          <w:ilvl w:val="1"/>
          <w:numId w:val="1"/>
        </w:numPr>
      </w:pPr>
      <w:r>
        <w:lastRenderedPageBreak/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4DE751E7" w14:textId="2C860773" w:rsidR="0016043C" w:rsidRDefault="0016043C" w:rsidP="00901050">
      <w:pPr>
        <w:pStyle w:val="ListParagraph"/>
        <w:numPr>
          <w:ilvl w:val="1"/>
          <w:numId w:val="1"/>
        </w:numPr>
      </w:pPr>
      <w:r>
        <w:t>{{ reason_for_elevated_security_other }}</w:t>
      </w:r>
    </w:p>
    <w:p w14:paraId="09F628D9" w14:textId="6BE0D8FF" w:rsidR="0016043C" w:rsidRDefault="0016043C" w:rsidP="00901050">
      <w:pPr>
        <w:pStyle w:val="ListParagraph"/>
        <w:numPr>
          <w:ilvl w:val="1"/>
          <w:numId w:val="1"/>
        </w:numPr>
      </w:pPr>
      <w:r>
        <w:t>{%p else %}</w:t>
      </w:r>
    </w:p>
    <w:p w14:paraId="154E9A45" w14:textId="2CF63CA3" w:rsidR="00CC672A" w:rsidRDefault="00CC672A" w:rsidP="00901050">
      <w:pPr>
        <w:pStyle w:val="ListParagraph"/>
        <w:numPr>
          <w:ilvl w:val="1"/>
          <w:numId w:val="1"/>
        </w:numPr>
      </w:pPr>
      <w:r>
        <w:t xml:space="preserve">{{ </w:t>
      </w:r>
      <w:r w:rsidR="00FE173C">
        <w:t>reason</w:t>
      </w:r>
      <w:r>
        <w:t xml:space="preserve"> }}</w:t>
      </w:r>
    </w:p>
    <w:p w14:paraId="71D2FF97" w14:textId="23CC76F6" w:rsidR="0016043C" w:rsidRDefault="0016043C" w:rsidP="00901050">
      <w:pPr>
        <w:pStyle w:val="ListParagraph"/>
        <w:numPr>
          <w:ilvl w:val="1"/>
          <w:numId w:val="1"/>
        </w:numPr>
      </w:pPr>
      <w:r>
        <w:t>{%p endif %}</w:t>
      </w:r>
    </w:p>
    <w:p w14:paraId="14A942D3" w14:textId="1FE7A917" w:rsidR="00FE173C" w:rsidRDefault="00FE173C" w:rsidP="00901050">
      <w:pPr>
        <w:pStyle w:val="ListParagraph"/>
        <w:numPr>
          <w:ilvl w:val="1"/>
          <w:numId w:val="1"/>
        </w:numPr>
      </w:pPr>
      <w:r>
        <w:t>{%p endfor %}</w:t>
      </w:r>
    </w:p>
    <w:p w14:paraId="0D08AD5F" w14:textId="27BB6D8F" w:rsidR="00C13869" w:rsidRDefault="00FE173C" w:rsidP="00FE173C">
      <w:pPr>
        <w:pStyle w:val="ListParagraph"/>
      </w:pPr>
      <w:r>
        <w:t>{%p endif %}</w:t>
      </w:r>
    </w:p>
    <w:p w14:paraId="0357C096" w14:textId="6BD84542" w:rsidR="00FE173C" w:rsidRDefault="00FE173C" w:rsidP="00FE173C">
      <w:pPr>
        <w:pStyle w:val="ListParagraph"/>
      </w:pPr>
      <w:r>
        <w:t>{%p if tenant_exposed_to_threats %}</w:t>
      </w:r>
    </w:p>
    <w:p w14:paraId="5883DCCF" w14:textId="77777777" w:rsidR="00FE173C" w:rsidRDefault="00FE173C" w:rsidP="00FE173C">
      <w:pPr>
        <w:pStyle w:val="ListParagraph"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FE173C">
      <w:pPr>
        <w:pStyle w:val="ListParagraph"/>
      </w:pPr>
      <w:r>
        <w:t>{%p endif %}</w:t>
      </w:r>
    </w:p>
    <w:p w14:paraId="18012135" w14:textId="21E5593D" w:rsidR="00FE173C" w:rsidRDefault="00FE173C" w:rsidP="00FE173C">
      <w:pPr>
        <w:pStyle w:val="ListParagraph"/>
      </w:pPr>
      <w:r>
        <w:t>{%p if tenant_believes_landlords_wont_rent %}</w:t>
      </w:r>
    </w:p>
    <w:p w14:paraId="7E63A4F3" w14:textId="77777777" w:rsidR="00FE173C" w:rsidRDefault="00FE173C" w:rsidP="00FE173C">
      <w:pPr>
        <w:pStyle w:val="ListParagraph"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FE173C">
      <w:pPr>
        <w:pStyle w:val="ListParagraph"/>
      </w:pPr>
      <w:r>
        <w:t>{%p endif %}</w:t>
      </w:r>
    </w:p>
    <w:p w14:paraId="60001134" w14:textId="169C1A46" w:rsidR="00FE173C" w:rsidRDefault="00FE173C" w:rsidP="00FE173C">
      <w:pPr>
        <w:pStyle w:val="ListParagraph"/>
      </w:pPr>
      <w:r>
        <w:t>{%p if economic_consequences %}</w:t>
      </w:r>
    </w:p>
    <w:p w14:paraId="7DA0DDCA" w14:textId="77777777" w:rsidR="00FE173C" w:rsidRDefault="00FE173C" w:rsidP="00FE173C">
      <w:pPr>
        <w:pStyle w:val="ListParagraph"/>
      </w:pPr>
      <w:r>
        <w:t xml:space="preserve">{{ tenant_doc_name }} may also face disproportionate economic consequences such as higher monthly rent or having to find a co-signer as a result of misinterpretation or over-reliance on the information contained in the Court’s records on this case. </w:t>
      </w:r>
    </w:p>
    <w:p w14:paraId="68F7B1DD" w14:textId="7DA8B8A2" w:rsidR="00C13869" w:rsidRDefault="00FE173C" w:rsidP="00FE173C">
      <w:pPr>
        <w:pStyle w:val="ListParagraph"/>
      </w:pPr>
      <w:r>
        <w:lastRenderedPageBreak/>
        <w:t>{%p endif %}</w:t>
      </w:r>
    </w:p>
    <w:p w14:paraId="0D14958E" w14:textId="75A65116" w:rsidR="0020342E" w:rsidRPr="00FE173C" w:rsidRDefault="00FE173C" w:rsidP="00FE173C">
      <w:pPr>
        <w:pStyle w:val="ListParagraph"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465C93FF" w14:textId="7F7A2CC6" w:rsidR="00B227C0" w:rsidRPr="0020342E" w:rsidRDefault="00B227C0" w:rsidP="00B227C0">
      <w:pPr>
        <w:pStyle w:val="ListParagraph"/>
        <w:rPr>
          <w:rFonts w:eastAsia="Times New Roman"/>
        </w:rPr>
      </w:pPr>
      <w:r w:rsidRPr="00337B29">
        <w:t xml:space="preserve">{%p if </w:t>
      </w:r>
      <w:r>
        <w:t>include_legal_argumen</w:t>
      </w:r>
      <w:r w:rsidRPr="00337B29">
        <w:t>t %}</w:t>
      </w:r>
    </w:p>
    <w:p w14:paraId="4AEAE516" w14:textId="294FE937" w:rsidR="00F46CE9" w:rsidRPr="00225CFA" w:rsidRDefault="00B227C0" w:rsidP="00B227C0">
      <w:pPr>
        <w:pStyle w:val="AnswerSection"/>
      </w:pPr>
      <w:r>
        <w:t>Authority and Argument</w:t>
      </w:r>
    </w:p>
    <w:p w14:paraId="10DE3E6A" w14:textId="076E78AB" w:rsidR="00C54CD2" w:rsidRDefault="00FE173C" w:rsidP="00B227C0">
      <w:pPr>
        <w:pStyle w:val="ListParagraph"/>
      </w:pPr>
      <w:r w:rsidRPr="00FE173C"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B227C0">
      <w:pPr>
        <w:pStyle w:val="ListParagraph"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0E19AE">
      <w:pPr>
        <w:pStyle w:val="ListParagraph"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2257F48F" w14:textId="69A8EECE" w:rsidR="0020342E" w:rsidRDefault="0020342E" w:rsidP="00B227C0">
      <w:pPr>
        <w:pStyle w:val="ListParagraph"/>
      </w:pPr>
      <w:r w:rsidRPr="00D74A54">
        <w:t>{%p endif %}</w:t>
      </w:r>
    </w:p>
    <w:p w14:paraId="30824E9D" w14:textId="15BC6D89" w:rsidR="00E50E6C" w:rsidRPr="00337B29" w:rsidRDefault="00225932" w:rsidP="00B227C0">
      <w:pPr>
        <w:pStyle w:val="ListParagraph"/>
      </w:pPr>
      <w:r w:rsidRPr="00225932">
        <w:t>Accordingly, the Court should grant leave for {{ tenant_doc_name }} to file the proposed {{ motion_list }} (attached hereto as an exhibit and incorporated herein). Such relief should be “freely given” as justice requires.</w:t>
      </w:r>
    </w:p>
    <w:p w14:paraId="353EB529" w14:textId="77777777" w:rsidR="00412569" w:rsidRDefault="00412569" w:rsidP="00B227C0"/>
    <w:p w14:paraId="33C152CA" w14:textId="76C40AEB" w:rsidR="00B227C0" w:rsidRDefault="00412569" w:rsidP="00B227C0">
      <w:r w:rsidRPr="00D706A9">
        <w:t xml:space="preserve">For the reasons stated herein, {{ tenant_doc_name }} </w:t>
      </w:r>
      <w:r w:rsidR="000E19AE" w:rsidRPr="000E19AE">
        <w:t>elevate security of this case to Level 3 (or higher if appropriate),</w:t>
      </w:r>
      <w:r w:rsidR="003C06CB">
        <w:t>}</w:t>
      </w:r>
      <w:r w:rsidRPr="00D706A9">
        <w:t>{% if include_legal_support %}{% endif %}{% if include_other_relief %} and for such other and further relief as the Court deems just and proper{% endif %}.</w:t>
      </w:r>
    </w:p>
    <w:p w14:paraId="1F7BEDC1" w14:textId="274B4A17" w:rsidR="00B227C0" w:rsidRDefault="00B227C0" w:rsidP="00B227C0"/>
    <w:p w14:paraId="559E7D04" w14:textId="6AA6E3BE" w:rsidR="00B227C0" w:rsidRPr="00337B29" w:rsidRDefault="34261A97" w:rsidP="00D74A54">
      <w:r w:rsidRPr="00337B29">
        <w:t>{{p include_docx_template('include_signature.docx', certificate_of_service_type =”short”)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1CB8" w14:textId="77777777" w:rsidR="004E3903" w:rsidRDefault="004E3903" w:rsidP="00D74A54">
      <w:r>
        <w:separator/>
      </w:r>
    </w:p>
  </w:endnote>
  <w:endnote w:type="continuationSeparator" w:id="0">
    <w:p w14:paraId="046F6055" w14:textId="77777777" w:rsidR="004E3903" w:rsidRDefault="004E3903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16F06660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F8D8" w14:textId="77777777" w:rsidR="004E3903" w:rsidRDefault="004E3903" w:rsidP="00D74A54">
      <w:r>
        <w:separator/>
      </w:r>
    </w:p>
  </w:footnote>
  <w:footnote w:type="continuationSeparator" w:id="0">
    <w:p w14:paraId="00FF6AB9" w14:textId="77777777" w:rsidR="004E3903" w:rsidRDefault="004E3903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75D2"/>
    <w:rsid w:val="0077071A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2023-08-08T07:44:00Z</dcterms:created>
  <dcterms:modified xsi:type="dcterms:W3CDTF">2023-08-17T00:24:00Z</dcterms:modified>
</cp:coreProperties>
</file>