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32C94E57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2754D" w:rsidRPr="00F2754D">
        <w:t>M</w:t>
      </w:r>
      <w:r w:rsidR="000C29B3">
        <w:t>otion to Elevate Security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1556F30C" w:rsidR="43D49915" w:rsidRPr="00337B29" w:rsidRDefault="63D77E83" w:rsidP="00D74A54">
      <w:r w:rsidRPr="00337B29">
        <w:t>{%p i</w:t>
      </w:r>
      <w:r w:rsidR="003C06CB">
        <w:t xml:space="preserve">f </w:t>
      </w:r>
      <w:r w:rsidR="006A4F07" w:rsidRPr="006A4F07">
        <w:t xml:space="preserve">opposing_party_consent_to_motion_to_elevate_security </w:t>
      </w:r>
      <w:r w:rsidRPr="00337B29">
        <w:t>%}</w:t>
      </w:r>
    </w:p>
    <w:p w14:paraId="15968AD3" w14:textId="153FB2B3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</w:t>
      </w:r>
      <w:r w:rsidR="000C29B3">
        <w:t>Defendant’s</w:t>
      </w:r>
      <w:r w:rsidR="000E19AE">
        <w:t xml:space="preserve"> </w:t>
      </w:r>
      <w:r w:rsidR="000C29B3">
        <w:t xml:space="preserve">Consent </w:t>
      </w:r>
      <w:r w:rsidR="003C06CB">
        <w:t>" +</w:t>
      </w:r>
      <w:r w:rsidRPr="00337B29">
        <w:t>answer_title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735FF80C" w:rsidR="1DB37016" w:rsidRPr="00337B29" w:rsidRDefault="2FB1B4C9" w:rsidP="00D74A54">
      <w:pPr>
        <w:rPr>
          <w:noProof w:val="0"/>
        </w:rPr>
      </w:pPr>
      <w:r w:rsidRPr="00337B29">
        <w:t xml:space="preserve">{%p set answer_title_full = </w:t>
      </w:r>
      <w:r w:rsidR="000E19AE">
        <w:t>"</w:t>
      </w:r>
      <w:r w:rsidR="000C29B3">
        <w:t xml:space="preserve">Defendant’s </w:t>
      </w:r>
      <w:r w:rsidR="000E19AE">
        <w:t>" +</w:t>
      </w:r>
      <w:r w:rsidRPr="00337B29">
        <w:t>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673D828A" w14:textId="0A4850B8" w:rsidR="00412569" w:rsidRDefault="00FE173C" w:rsidP="00D74A54">
      <w:r w:rsidRPr="00FE173C">
        <w:rPr>
          <w:rFonts w:eastAsia="Book Antiqua"/>
          <w:color w:val="000000" w:themeColor="text1"/>
        </w:rPr>
        <w:t>{{ tenant_doc_name }} makes this motion to elevate the security level of the above-styled case on the court’s electronic records system (Case.Net)</w:t>
      </w:r>
      <w:r w:rsidR="00412569">
        <w:rPr>
          <w:rFonts w:eastAsia="Book Antiqua"/>
          <w:color w:val="000000" w:themeColor="text1"/>
        </w:rPr>
        <w:t>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 xml:space="preserve">{% if </w:t>
      </w:r>
      <w:r w:rsidR="006A4F07" w:rsidRPr="006A4F07">
        <w:rPr>
          <w:rFonts w:eastAsia="Book Antiqua"/>
          <w:color w:val="000000" w:themeColor="text1"/>
        </w:rPr>
        <w:t xml:space="preserve">opposing_party_consent_to_motion_to_elevate_security </w:t>
      </w:r>
      <w:r w:rsidR="00412569">
        <w:rPr>
          <w:rFonts w:eastAsia="Book Antiqua"/>
          <w:color w:val="000000" w:themeColor="text1"/>
        </w:rPr>
        <w:t>%}{{ landlord_doc_name }} consented to this motion.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>{% endif %}In support of this request, {{ tenant_doc_name }} states as follows:</w:t>
      </w:r>
    </w:p>
    <w:p w14:paraId="1E7E0DF6" w14:textId="6A6B15B8" w:rsidR="00A941F0" w:rsidRDefault="00CA15C9" w:rsidP="00A941F0">
      <w:pPr>
        <w:pStyle w:val="AnswerSection"/>
      </w:pPr>
      <w:r w:rsidRPr="00C1184F">
        <w:t>Background</w:t>
      </w:r>
    </w:p>
    <w:p w14:paraId="67277EFC" w14:textId="5C28A63B" w:rsidR="00A941F0" w:rsidRDefault="00A941F0" w:rsidP="00763021">
      <w:pPr>
        <w:pStyle w:val="ListParagraph"/>
        <w:keepLines/>
      </w:pPr>
      <w:r w:rsidRPr="00FE173C">
        <w:t>{{ tenant_doc_name }} was a tenant at {{ rental_address }} (hereinafter, the “rental property”), which is the subject of this eviction lawsuit filed by {{ landlord_doc_name }}.</w:t>
      </w:r>
      <w:r w:rsidRPr="00C13869">
        <w:t xml:space="preserve"> </w:t>
      </w:r>
    </w:p>
    <w:p w14:paraId="652315BD" w14:textId="454D3429" w:rsidR="00C13869" w:rsidRDefault="00FE173C" w:rsidP="00763021">
      <w:pPr>
        <w:pStyle w:val="ListParagraph"/>
        <w:keepLines/>
      </w:pPr>
      <w:r w:rsidRPr="00FE173C">
        <w:t>This lawsuit was an eviction lawsuit that resulted in {{ eviction_outcome }}.</w:t>
      </w:r>
    </w:p>
    <w:p w14:paraId="186677D7" w14:textId="7F30ACE8" w:rsidR="00A941F0" w:rsidRDefault="00FE173C" w:rsidP="00763021">
      <w:pPr>
        <w:pStyle w:val="ListParagraph"/>
        <w:keepLines/>
      </w:pPr>
      <w:r>
        <w:t>The Court should elevate security in this case because:</w:t>
      </w:r>
    </w:p>
    <w:p w14:paraId="4470DD07" w14:textId="77777777" w:rsidR="00A941F0" w:rsidRDefault="00FE173C" w:rsidP="00763021">
      <w:pPr>
        <w:pStyle w:val="ListParagraph"/>
        <w:keepLines/>
        <w:numPr>
          <w:ilvl w:val="2"/>
          <w:numId w:val="1"/>
        </w:numPr>
        <w:ind w:left="1800"/>
      </w:pPr>
      <w:r>
        <w:t>{%p for reason in reason_for_elevated_security</w:t>
      </w:r>
      <w:r w:rsidR="00836F88">
        <w:t>.true_values()</w:t>
      </w:r>
      <w:r>
        <w:t xml:space="preserve"> %}</w:t>
      </w:r>
    </w:p>
    <w:p w14:paraId="7655AE5E" w14:textId="77777777" w:rsidR="00A941F0" w:rsidRDefault="0016043C" w:rsidP="00763021">
      <w:pPr>
        <w:pStyle w:val="ListParagraph"/>
        <w:keepLines/>
        <w:numPr>
          <w:ilvl w:val="2"/>
          <w:numId w:val="1"/>
        </w:numPr>
        <w:ind w:left="1800"/>
      </w:pPr>
      <w:r>
        <w:lastRenderedPageBreak/>
        <w:t xml:space="preserve">{%p if reason </w:t>
      </w:r>
      <w:r w:rsidR="00C57B59">
        <w:t>in</w:t>
      </w:r>
      <w:r>
        <w:t xml:space="preserve"> </w:t>
      </w:r>
      <w:r w:rsidR="00C57B59">
        <w:t>[</w:t>
      </w:r>
      <w:r>
        <w:t>"Other"</w:t>
      </w:r>
      <w:r w:rsidR="00C57B59">
        <w:t>]</w:t>
      </w:r>
      <w:r>
        <w:t xml:space="preserve"> %}</w:t>
      </w:r>
    </w:p>
    <w:p w14:paraId="6AF4B64E" w14:textId="77777777" w:rsidR="00A941F0" w:rsidRDefault="0016043C" w:rsidP="00763021">
      <w:pPr>
        <w:pStyle w:val="ListParagraph"/>
        <w:keepLines/>
        <w:numPr>
          <w:ilvl w:val="2"/>
          <w:numId w:val="1"/>
        </w:numPr>
        <w:ind w:left="1800"/>
      </w:pPr>
      <w:r>
        <w:t>{{ reason_for_elevated_security_other }}</w:t>
      </w:r>
    </w:p>
    <w:p w14:paraId="190AD587" w14:textId="77777777" w:rsidR="00A941F0" w:rsidRDefault="0016043C" w:rsidP="00763021">
      <w:pPr>
        <w:pStyle w:val="ListParagraph"/>
        <w:keepLines/>
        <w:numPr>
          <w:ilvl w:val="2"/>
          <w:numId w:val="1"/>
        </w:numPr>
        <w:ind w:left="1800"/>
      </w:pPr>
      <w:r>
        <w:t>{%p else %}</w:t>
      </w:r>
    </w:p>
    <w:p w14:paraId="0C0B7766" w14:textId="77777777" w:rsidR="00A941F0" w:rsidRDefault="00CC672A" w:rsidP="00763021">
      <w:pPr>
        <w:pStyle w:val="ListParagraph"/>
        <w:keepLines/>
        <w:numPr>
          <w:ilvl w:val="2"/>
          <w:numId w:val="1"/>
        </w:numPr>
        <w:ind w:left="1800"/>
      </w:pPr>
      <w:r>
        <w:t xml:space="preserve">{{ </w:t>
      </w:r>
      <w:r w:rsidR="00FE173C">
        <w:t>reason</w:t>
      </w:r>
      <w:r>
        <w:t xml:space="preserve"> }}</w:t>
      </w:r>
    </w:p>
    <w:p w14:paraId="68A422C7" w14:textId="77777777" w:rsidR="00A941F0" w:rsidRDefault="0016043C" w:rsidP="00763021">
      <w:pPr>
        <w:pStyle w:val="ListParagraph"/>
        <w:keepLines/>
        <w:numPr>
          <w:ilvl w:val="2"/>
          <w:numId w:val="1"/>
        </w:numPr>
        <w:ind w:left="1800"/>
      </w:pPr>
      <w:r>
        <w:t>{%p endif %}</w:t>
      </w:r>
    </w:p>
    <w:p w14:paraId="14A942D3" w14:textId="3C782805" w:rsidR="00FE173C" w:rsidRDefault="00FE173C" w:rsidP="00763021">
      <w:pPr>
        <w:pStyle w:val="ListParagraph"/>
        <w:keepLines/>
        <w:numPr>
          <w:ilvl w:val="2"/>
          <w:numId w:val="1"/>
        </w:numPr>
        <w:ind w:left="1800"/>
      </w:pPr>
      <w:r>
        <w:t>{%p endfor %}</w:t>
      </w:r>
    </w:p>
    <w:p w14:paraId="0357C096" w14:textId="6BD84542" w:rsidR="00FE173C" w:rsidRDefault="00FE173C" w:rsidP="00763021">
      <w:pPr>
        <w:pStyle w:val="ListParagraph"/>
        <w:keepLines/>
      </w:pPr>
      <w:r>
        <w:t>{%p if tenant_exposed_to_threats %}</w:t>
      </w:r>
    </w:p>
    <w:p w14:paraId="5883DCCF" w14:textId="77777777" w:rsidR="00FE173C" w:rsidRDefault="00FE173C" w:rsidP="00763021">
      <w:pPr>
        <w:pStyle w:val="ListParagraph"/>
        <w:keepLines/>
      </w:pPr>
      <w:r>
        <w:t xml:space="preserve">The mere visibility of this lawsuit on Case.net has exposed {{ tenant_doc_name }} to the real and tangible threats of (1) incurring excessive rental application fees and (2) being summarily denied access to housing. </w:t>
      </w:r>
    </w:p>
    <w:p w14:paraId="707FFCED" w14:textId="53BF4574" w:rsidR="00FE173C" w:rsidRDefault="00FE173C" w:rsidP="00763021">
      <w:pPr>
        <w:pStyle w:val="ListParagraph"/>
        <w:keepLines/>
      </w:pPr>
      <w:r>
        <w:t>{%p endif %}</w:t>
      </w:r>
    </w:p>
    <w:p w14:paraId="18012135" w14:textId="21E5593D" w:rsidR="00FE173C" w:rsidRDefault="00FE173C" w:rsidP="00763021">
      <w:pPr>
        <w:pStyle w:val="ListParagraph"/>
        <w:keepLines/>
      </w:pPr>
      <w:r>
        <w:t>{%p if tenant_believes_landlords_wont_rent %}</w:t>
      </w:r>
    </w:p>
    <w:p w14:paraId="7E63A4F3" w14:textId="77777777" w:rsidR="00FE173C" w:rsidRDefault="00FE173C" w:rsidP="00763021">
      <w:pPr>
        <w:pStyle w:val="ListParagraph"/>
        <w:keepLines/>
      </w:pPr>
      <w:r>
        <w:t xml:space="preserve">A compelling justification exists because many landlords use Case.net to conduct rental background checks on prospective tenants. In this case, {{ tenant_doc_name }} fears that the current case will prevent {{ tenant_doc_name }} from having the ability to find affordable housing in the future. </w:t>
      </w:r>
    </w:p>
    <w:p w14:paraId="2B6EB249" w14:textId="6CDB9C7D" w:rsidR="00FE173C" w:rsidRDefault="00FE173C" w:rsidP="00763021">
      <w:pPr>
        <w:pStyle w:val="ListParagraph"/>
        <w:keepLines/>
      </w:pPr>
      <w:r>
        <w:t>{%p endif %}</w:t>
      </w:r>
    </w:p>
    <w:p w14:paraId="60001134" w14:textId="169C1A46" w:rsidR="00FE173C" w:rsidRDefault="00FE173C" w:rsidP="00763021">
      <w:pPr>
        <w:pStyle w:val="ListParagraph"/>
        <w:keepLines/>
      </w:pPr>
      <w:r>
        <w:t>{%p if economic_consequences %}</w:t>
      </w:r>
    </w:p>
    <w:p w14:paraId="7DA0DDCA" w14:textId="44D42BFF" w:rsidR="00FE173C" w:rsidRDefault="00FE173C" w:rsidP="00763021">
      <w:pPr>
        <w:pStyle w:val="ListParagraph"/>
        <w:keepLines/>
      </w:pPr>
      <w:r>
        <w:lastRenderedPageBreak/>
        <w:t>{{ tenant_doc_name }} may also face disproportionate economic consequences such as higher monthly rent or having to find a co-signer as a result of misinterpretation or over-reliance on the information contained in the Court’s</w:t>
      </w:r>
      <w:r w:rsidR="00CF1B96">
        <w:t xml:space="preserve"> </w:t>
      </w:r>
      <w:r>
        <w:t xml:space="preserve">records on this case. </w:t>
      </w:r>
    </w:p>
    <w:p w14:paraId="68F7B1DD" w14:textId="7DA8B8A2" w:rsidR="00C13869" w:rsidRDefault="00FE173C" w:rsidP="00763021">
      <w:pPr>
        <w:pStyle w:val="ListParagraph"/>
        <w:keepLines/>
      </w:pPr>
      <w:r>
        <w:t>{%p endif %}</w:t>
      </w:r>
    </w:p>
    <w:p w14:paraId="38D3221D" w14:textId="2DA14AEA" w:rsidR="002E19B7" w:rsidRDefault="002E19B7" w:rsidP="00763021">
      <w:pPr>
        <w:pStyle w:val="ListParagraph"/>
        <w:keepLines/>
      </w:pPr>
      <w:r>
        <w:t xml:space="preserve">{%p if </w:t>
      </w:r>
      <w:r w:rsidRPr="002E19B7">
        <w:t>tenant_would_be_prejudiced</w:t>
      </w:r>
      <w:r>
        <w:t xml:space="preserve"> %}</w:t>
      </w:r>
    </w:p>
    <w:p w14:paraId="0D14958E" w14:textId="75A65116" w:rsidR="0020342E" w:rsidRPr="002E19B7" w:rsidRDefault="00FE173C" w:rsidP="00763021">
      <w:pPr>
        <w:pStyle w:val="ListParagraph"/>
        <w:keepLines/>
        <w:rPr>
          <w:rFonts w:eastAsia="Times New Roman"/>
        </w:rPr>
      </w:pPr>
      <w:r w:rsidRPr="00FE173C">
        <w:t xml:space="preserve">Failure to elevate security will unduly prejudice {{ tenant_doc_name }} because the eviction case will hinder {{ tenant_doc_name }}’s ability to rent housing. </w:t>
      </w:r>
    </w:p>
    <w:p w14:paraId="1E3C5F58" w14:textId="726E0603" w:rsidR="002E19B7" w:rsidRPr="002E19B7" w:rsidRDefault="002E19B7" w:rsidP="00763021">
      <w:pPr>
        <w:pStyle w:val="ListParagraph"/>
        <w:keepLines/>
      </w:pPr>
      <w:r>
        <w:t>{%p endif %}</w:t>
      </w:r>
    </w:p>
    <w:p w14:paraId="4AEAE516" w14:textId="294FE937" w:rsidR="00F46CE9" w:rsidRPr="00225CFA" w:rsidRDefault="00B227C0" w:rsidP="00A941F0">
      <w:pPr>
        <w:pStyle w:val="AnswerSection"/>
      </w:pPr>
      <w:r>
        <w:t>Authority and Argument</w:t>
      </w:r>
    </w:p>
    <w:p w14:paraId="10DE3E6A" w14:textId="076E78AB" w:rsidR="00C54CD2" w:rsidRDefault="00FE173C" w:rsidP="00763021">
      <w:pPr>
        <w:pStyle w:val="ListParagraph"/>
        <w:keepLines/>
      </w:pPr>
      <w:r w:rsidRPr="00FE173C">
        <w:t xml:space="preserve">“Where there are higher interests favoring nondisclosure, courts . . . have routinely seen fit to close some public records.” Pulitzer Publishing Co., 43 S.W.3d, 293, 302 (Mo. 2001). </w:t>
      </w:r>
    </w:p>
    <w:p w14:paraId="163A2CCC" w14:textId="5E17C86C" w:rsidR="00FE173C" w:rsidRDefault="00FE173C" w:rsidP="00763021">
      <w:pPr>
        <w:pStyle w:val="ListParagraph"/>
        <w:keepLines/>
      </w:pPr>
      <w:r w:rsidRPr="00FE173C">
        <w:t xml:space="preserve">A compelling justification to elevate security exists because many landlords and tenant screeners use Case.Net to conduct rental background checks on prospective tenants. </w:t>
      </w:r>
    </w:p>
    <w:p w14:paraId="2BF70525" w14:textId="6CD533F3" w:rsidR="00D82FA7" w:rsidRDefault="000E19AE" w:rsidP="00763021">
      <w:pPr>
        <w:pStyle w:val="ListParagraph"/>
        <w:keepLines/>
      </w:pPr>
      <w:r w:rsidRPr="000E19AE">
        <w:t>Specific tangible threats here outweigh the public’s interest in access to this case record and good cause overwhelmingly supports this Court’s invocation of the well-established exception in Missouri Supreme Court Operating Rule 4.24(1)(s).</w:t>
      </w:r>
    </w:p>
    <w:p w14:paraId="33C152CA" w14:textId="23D611E2" w:rsidR="00B227C0" w:rsidRDefault="00225932" w:rsidP="00763021">
      <w:pPr>
        <w:pStyle w:val="ListParagraph"/>
        <w:keepLines/>
      </w:pPr>
      <w:r w:rsidRPr="00225932">
        <w:lastRenderedPageBreak/>
        <w:t xml:space="preserve">Accordingly, the Court should </w:t>
      </w:r>
      <w:r w:rsidR="000E19AE" w:rsidRPr="000E19AE">
        <w:t>elevate security of this case to Level 3 (or higher if appropriate),</w:t>
      </w:r>
      <w:r w:rsidR="00E916E9">
        <w:t xml:space="preserve"> </w:t>
      </w:r>
      <w:r w:rsidR="00412569" w:rsidRPr="00D706A9">
        <w:t>and for such other and further relief as the Court deems just and proper.</w:t>
      </w:r>
    </w:p>
    <w:p w14:paraId="1F7BEDC1" w14:textId="274B4A17" w:rsidR="00B227C0" w:rsidRDefault="00B227C0" w:rsidP="00B227C0"/>
    <w:p w14:paraId="559E7D04" w14:textId="477741CE" w:rsidR="00B227C0" w:rsidRPr="00337B29" w:rsidRDefault="34261A97" w:rsidP="00D74A54">
      <w:r w:rsidRPr="00337B29">
        <w:t>{{p include_docx_template('include_signature.docx', certificate_of_service_type =</w:t>
      </w:r>
      <w:r w:rsidR="003462A9" w:rsidRPr="00225932">
        <w:t>“</w:t>
      </w:r>
      <w:r w:rsidRPr="00337B29">
        <w:t>short”) }}</w:t>
      </w:r>
    </w:p>
    <w:sectPr w:rsidR="00B227C0" w:rsidRPr="00337B29" w:rsidSect="00C1184F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11CBA" w14:textId="77777777" w:rsidR="004B5A1A" w:rsidRDefault="004B5A1A" w:rsidP="00D74A54">
      <w:r>
        <w:separator/>
      </w:r>
    </w:p>
  </w:endnote>
  <w:endnote w:type="continuationSeparator" w:id="0">
    <w:p w14:paraId="758B7D94" w14:textId="77777777" w:rsidR="004B5A1A" w:rsidRDefault="004B5A1A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  <w:embedRegular r:id="rId1" w:fontKey="{511DF8DF-482B-0E4D-B930-4243548B3570}"/>
    <w:embedBold r:id="rId2" w:fontKey="{9DAA41F4-186A-DB4E-8146-2C5F956A0C38}"/>
    <w:embedItalic r:id="rId3" w:fontKey="{976441C9-6CE3-AC4E-92FB-791F3BEA2021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  <w:embedRegular r:id="rId5" w:subsetted="1" w:fontKey="{CB7B8C89-5D97-C446-8440-C97E914FB09E}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04280" w14:textId="77777777" w:rsidR="00A941F0" w:rsidRDefault="00A941F0" w:rsidP="00C1184F">
    <w:pPr>
      <w:pStyle w:val="Header"/>
      <w:tabs>
        <w:tab w:val="clear" w:pos="4680"/>
        <w:tab w:val="center" w:pos="4320"/>
      </w:tabs>
      <w:ind w:left="-720" w:right="360"/>
    </w:pPr>
  </w:p>
  <w:p w14:paraId="46336FFE" w14:textId="57F4D084" w:rsidR="005C6B77" w:rsidRPr="00932786" w:rsidRDefault="00000000" w:rsidP="00C1184F">
    <w:pPr>
      <w:pStyle w:val="Header"/>
      <w:tabs>
        <w:tab w:val="clear" w:pos="4680"/>
        <w:tab w:val="center" w:pos="4320"/>
      </w:tabs>
      <w:ind w:left="-720" w:right="360"/>
    </w:pPr>
    <w:hyperlink r:id="rId1" w:history="1">
      <w:r w:rsidR="00C1184F" w:rsidRPr="00642155">
        <w:rPr>
          <w:rStyle w:val="Hyperlink"/>
          <w:color w:val="000000" w:themeColor="text1"/>
          <w:bdr w:val="none" w:sz="0" w:space="0" w:color="auto" w:frame="1"/>
          <w:shd w:val="clear" w:color="auto" w:fill="FFFFFF"/>
        </w:rPr>
        <w:t>motenanthelp.org</w:t>
      </w:r>
    </w:hyperlink>
    <w:r w:rsidR="00C1184F" w:rsidRPr="00642155">
      <w:rPr>
        <w:rStyle w:val="Hyperlink"/>
        <w:u w:val="none"/>
        <w:bdr w:val="none" w:sz="0" w:space="0" w:color="auto" w:frame="1"/>
        <w:shd w:val="clear" w:color="auto" w:fill="FFFFFF"/>
      </w:rPr>
      <w:tab/>
    </w:r>
    <w:r w:rsidR="00C1184F" w:rsidRPr="00642155">
      <w:fldChar w:fldCharType="begin"/>
    </w:r>
    <w:r w:rsidR="00C1184F" w:rsidRPr="00642155">
      <w:instrText>PAGE</w:instrText>
    </w:r>
    <w:r w:rsidR="00C1184F" w:rsidRPr="00642155">
      <w:fldChar w:fldCharType="separate"/>
    </w:r>
    <w:r w:rsidR="00C1184F">
      <w:t>6</w:t>
    </w:r>
    <w:r w:rsidR="00C1184F" w:rsidRPr="00642155">
      <w:fldChar w:fldCharType="end"/>
    </w:r>
    <w:r w:rsidR="00C1184F" w:rsidRPr="00642155">
      <w:t xml:space="preserve"> of </w:t>
    </w:r>
    <w:r w:rsidR="00C1184F" w:rsidRPr="00642155">
      <w:fldChar w:fldCharType="begin"/>
    </w:r>
    <w:r w:rsidR="00C1184F" w:rsidRPr="00642155">
      <w:instrText>NUMPAGES</w:instrText>
    </w:r>
    <w:r w:rsidR="00C1184F" w:rsidRPr="00642155">
      <w:fldChar w:fldCharType="separate"/>
    </w:r>
    <w:r w:rsidR="00C1184F">
      <w:t>17</w:t>
    </w:r>
    <w:r w:rsidR="00C1184F" w:rsidRPr="006421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4A190" w14:textId="77777777" w:rsidR="004B5A1A" w:rsidRDefault="004B5A1A" w:rsidP="00D74A54">
      <w:r>
        <w:separator/>
      </w:r>
    </w:p>
  </w:footnote>
  <w:footnote w:type="continuationSeparator" w:id="0">
    <w:p w14:paraId="41C8A053" w14:textId="77777777" w:rsidR="004B5A1A" w:rsidRDefault="004B5A1A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0CE0C7B" w:rsidR="002A1988" w:rsidRDefault="002A1988" w:rsidP="002A1988">
    <w:pPr>
      <w:pStyle w:val="Header"/>
    </w:pPr>
  </w:p>
  <w:p w14:paraId="29AF90DB" w14:textId="6A4593C2" w:rsidR="002A1988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71CBA6" w14:textId="77777777" w:rsidR="00C1184F" w:rsidRPr="00C1184F" w:rsidRDefault="00C1184F" w:rsidP="002A1988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6B79"/>
    <w:multiLevelType w:val="hybridMultilevel"/>
    <w:tmpl w:val="7B32B1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52B5"/>
    <w:multiLevelType w:val="multilevel"/>
    <w:tmpl w:val="FA5EB40C"/>
    <w:lvl w:ilvl="0">
      <w:start w:val="1"/>
      <w:numFmt w:val="decimal"/>
      <w:pStyle w:val="ListParagraph"/>
      <w:lvlText w:val="%1."/>
      <w:lvlJc w:val="left"/>
      <w:pPr>
        <w:tabs>
          <w:tab w:val="num" w:pos="-360"/>
        </w:tabs>
        <w:ind w:left="-72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rFonts w:hint="default"/>
      </w:rPr>
    </w:lvl>
  </w:abstractNum>
  <w:abstractNum w:abstractNumId="3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2"/>
  </w:num>
  <w:num w:numId="2" w16cid:durableId="1013150299">
    <w:abstractNumId w:val="5"/>
  </w:num>
  <w:num w:numId="3" w16cid:durableId="1773041120">
    <w:abstractNumId w:val="1"/>
  </w:num>
  <w:num w:numId="4" w16cid:durableId="1248465972">
    <w:abstractNumId w:val="4"/>
  </w:num>
  <w:num w:numId="5" w16cid:durableId="927933264">
    <w:abstractNumId w:val="3"/>
  </w:num>
  <w:num w:numId="6" w16cid:durableId="38352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removePersonalInformation/>
  <w:removeDateAndTim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A33BA"/>
    <w:rsid w:val="000B53CA"/>
    <w:rsid w:val="000C29B3"/>
    <w:rsid w:val="000E0BEE"/>
    <w:rsid w:val="000E19AE"/>
    <w:rsid w:val="000E68C9"/>
    <w:rsid w:val="000F35E1"/>
    <w:rsid w:val="000F43C4"/>
    <w:rsid w:val="00104B95"/>
    <w:rsid w:val="00106EBD"/>
    <w:rsid w:val="001105EF"/>
    <w:rsid w:val="00110FD1"/>
    <w:rsid w:val="00115015"/>
    <w:rsid w:val="0016043C"/>
    <w:rsid w:val="0016620C"/>
    <w:rsid w:val="00172BB9"/>
    <w:rsid w:val="001A443B"/>
    <w:rsid w:val="001A5250"/>
    <w:rsid w:val="001D1C35"/>
    <w:rsid w:val="001F6D1A"/>
    <w:rsid w:val="0020342E"/>
    <w:rsid w:val="00225932"/>
    <w:rsid w:val="00225CFA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19B7"/>
    <w:rsid w:val="002E4672"/>
    <w:rsid w:val="002F5FB2"/>
    <w:rsid w:val="00301152"/>
    <w:rsid w:val="00325AC4"/>
    <w:rsid w:val="00335EFA"/>
    <w:rsid w:val="00337B29"/>
    <w:rsid w:val="003462A9"/>
    <w:rsid w:val="003551AA"/>
    <w:rsid w:val="00360A90"/>
    <w:rsid w:val="00376EA5"/>
    <w:rsid w:val="003861AF"/>
    <w:rsid w:val="003A6BFB"/>
    <w:rsid w:val="003B451C"/>
    <w:rsid w:val="003B58FF"/>
    <w:rsid w:val="003B5AA4"/>
    <w:rsid w:val="003B5D03"/>
    <w:rsid w:val="003C06CB"/>
    <w:rsid w:val="003C2565"/>
    <w:rsid w:val="003C4F1E"/>
    <w:rsid w:val="004067C6"/>
    <w:rsid w:val="00412569"/>
    <w:rsid w:val="00422DF4"/>
    <w:rsid w:val="00425990"/>
    <w:rsid w:val="00426B90"/>
    <w:rsid w:val="00427582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112F"/>
    <w:rsid w:val="004B4B01"/>
    <w:rsid w:val="004B5A1A"/>
    <w:rsid w:val="004C7CEE"/>
    <w:rsid w:val="004E3903"/>
    <w:rsid w:val="004E49B8"/>
    <w:rsid w:val="00521E7B"/>
    <w:rsid w:val="005457C5"/>
    <w:rsid w:val="00576CFB"/>
    <w:rsid w:val="005800EF"/>
    <w:rsid w:val="005819EC"/>
    <w:rsid w:val="00583FEF"/>
    <w:rsid w:val="005A2817"/>
    <w:rsid w:val="005C3023"/>
    <w:rsid w:val="005C4D6E"/>
    <w:rsid w:val="005C5030"/>
    <w:rsid w:val="005C6B77"/>
    <w:rsid w:val="005E234F"/>
    <w:rsid w:val="005E45AA"/>
    <w:rsid w:val="005E4D51"/>
    <w:rsid w:val="005F0A8F"/>
    <w:rsid w:val="00601109"/>
    <w:rsid w:val="00605968"/>
    <w:rsid w:val="006112C4"/>
    <w:rsid w:val="006208B6"/>
    <w:rsid w:val="00622733"/>
    <w:rsid w:val="006338DF"/>
    <w:rsid w:val="00655FDE"/>
    <w:rsid w:val="0065733B"/>
    <w:rsid w:val="00662BE0"/>
    <w:rsid w:val="006A10E9"/>
    <w:rsid w:val="006A3983"/>
    <w:rsid w:val="006A4F07"/>
    <w:rsid w:val="006B5BD2"/>
    <w:rsid w:val="006B703D"/>
    <w:rsid w:val="0071460A"/>
    <w:rsid w:val="00714D70"/>
    <w:rsid w:val="00720679"/>
    <w:rsid w:val="007247FE"/>
    <w:rsid w:val="007328F2"/>
    <w:rsid w:val="007340DE"/>
    <w:rsid w:val="00734280"/>
    <w:rsid w:val="0073741E"/>
    <w:rsid w:val="00742EA3"/>
    <w:rsid w:val="00745BE1"/>
    <w:rsid w:val="00753B47"/>
    <w:rsid w:val="00755843"/>
    <w:rsid w:val="00760165"/>
    <w:rsid w:val="00763021"/>
    <w:rsid w:val="007675D2"/>
    <w:rsid w:val="0077071A"/>
    <w:rsid w:val="007756AC"/>
    <w:rsid w:val="00783199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33654"/>
    <w:rsid w:val="00836F88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32786"/>
    <w:rsid w:val="0096034A"/>
    <w:rsid w:val="0096598A"/>
    <w:rsid w:val="00972059"/>
    <w:rsid w:val="00972F34"/>
    <w:rsid w:val="0099487F"/>
    <w:rsid w:val="009A52DE"/>
    <w:rsid w:val="009B1FAF"/>
    <w:rsid w:val="009B574E"/>
    <w:rsid w:val="009D7465"/>
    <w:rsid w:val="009F5779"/>
    <w:rsid w:val="009F789E"/>
    <w:rsid w:val="00A02E5F"/>
    <w:rsid w:val="00A045F0"/>
    <w:rsid w:val="00A1231F"/>
    <w:rsid w:val="00A31B24"/>
    <w:rsid w:val="00A33A87"/>
    <w:rsid w:val="00A4754A"/>
    <w:rsid w:val="00A50060"/>
    <w:rsid w:val="00A514D6"/>
    <w:rsid w:val="00A57710"/>
    <w:rsid w:val="00A75C6B"/>
    <w:rsid w:val="00A84E83"/>
    <w:rsid w:val="00A941F0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1C8"/>
    <w:rsid w:val="00AF23BE"/>
    <w:rsid w:val="00AF5744"/>
    <w:rsid w:val="00AF6DA5"/>
    <w:rsid w:val="00B03A8B"/>
    <w:rsid w:val="00B20EE2"/>
    <w:rsid w:val="00B227C0"/>
    <w:rsid w:val="00B42B29"/>
    <w:rsid w:val="00B45504"/>
    <w:rsid w:val="00B57614"/>
    <w:rsid w:val="00B60406"/>
    <w:rsid w:val="00B760FA"/>
    <w:rsid w:val="00B9075A"/>
    <w:rsid w:val="00BD062E"/>
    <w:rsid w:val="00BE0C1E"/>
    <w:rsid w:val="00BF4F9C"/>
    <w:rsid w:val="00C1184F"/>
    <w:rsid w:val="00C13869"/>
    <w:rsid w:val="00C139AE"/>
    <w:rsid w:val="00C13A85"/>
    <w:rsid w:val="00C2312C"/>
    <w:rsid w:val="00C508C1"/>
    <w:rsid w:val="00C54CD2"/>
    <w:rsid w:val="00C57B59"/>
    <w:rsid w:val="00CA087C"/>
    <w:rsid w:val="00CA1581"/>
    <w:rsid w:val="00CA15C9"/>
    <w:rsid w:val="00CC1757"/>
    <w:rsid w:val="00CC672A"/>
    <w:rsid w:val="00CD0B19"/>
    <w:rsid w:val="00CD38B8"/>
    <w:rsid w:val="00CF1B9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B7906"/>
    <w:rsid w:val="00DC1EA0"/>
    <w:rsid w:val="00DC6CFF"/>
    <w:rsid w:val="00DC746B"/>
    <w:rsid w:val="00DE7343"/>
    <w:rsid w:val="00DF4AF6"/>
    <w:rsid w:val="00E2445C"/>
    <w:rsid w:val="00E50E6C"/>
    <w:rsid w:val="00E524E2"/>
    <w:rsid w:val="00E6198E"/>
    <w:rsid w:val="00E637B1"/>
    <w:rsid w:val="00E66A96"/>
    <w:rsid w:val="00E73FBC"/>
    <w:rsid w:val="00E8224B"/>
    <w:rsid w:val="00E916E9"/>
    <w:rsid w:val="00E920F3"/>
    <w:rsid w:val="00E97F77"/>
    <w:rsid w:val="00EA5E8B"/>
    <w:rsid w:val="00ED0AAA"/>
    <w:rsid w:val="00ED2059"/>
    <w:rsid w:val="00EE59FD"/>
    <w:rsid w:val="00EF2220"/>
    <w:rsid w:val="00F06294"/>
    <w:rsid w:val="00F1762E"/>
    <w:rsid w:val="00F2754D"/>
    <w:rsid w:val="00F40BDD"/>
    <w:rsid w:val="00F46CE9"/>
    <w:rsid w:val="00F50B67"/>
    <w:rsid w:val="00F64F42"/>
    <w:rsid w:val="00F711A1"/>
    <w:rsid w:val="00F721E3"/>
    <w:rsid w:val="00F80D02"/>
    <w:rsid w:val="00F87DEE"/>
    <w:rsid w:val="00F95EA0"/>
    <w:rsid w:val="00F97615"/>
    <w:rsid w:val="00FA2670"/>
    <w:rsid w:val="00FA2855"/>
    <w:rsid w:val="00FD3B2C"/>
    <w:rsid w:val="00FE173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A941F0"/>
    <w:pPr>
      <w:numPr>
        <w:numId w:val="1"/>
      </w:numPr>
      <w:spacing w:before="60" w:after="180"/>
      <w:ind w:left="936" w:right="360" w:hanging="576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A941F0"/>
    <w:pPr>
      <w:keepNext/>
      <w:spacing w:before="360" w:after="80"/>
      <w:ind w:left="720" w:right="360" w:hanging="360"/>
      <w:jc w:val="center"/>
    </w:pPr>
    <w:rPr>
      <w:rFonts w:ascii="Helvetica Neue" w:hAnsi="Helvetica Neue"/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A941F0"/>
    <w:rPr>
      <w:rFonts w:ascii="Helvetica Neue" w:hAnsi="Helvetica Neue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2748</Characters>
  <Application>Microsoft Office Word</Application>
  <DocSecurity>0</DocSecurity>
  <Lines>63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to Elevate Security</vt:lpstr>
    </vt:vector>
  </TitlesOfParts>
  <Manager/>
  <Company/>
  <LinksUpToDate>false</LinksUpToDate>
  <CharactersWithSpaces>3177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to Elevate Security</dc:title>
  <dc:subject/>
  <dc:creator/>
  <cp:keywords/>
  <dc:description/>
  <cp:lastModifiedBy/>
  <cp:revision>1</cp:revision>
  <dcterms:created xsi:type="dcterms:W3CDTF">2023-11-22T22:04:00Z</dcterms:created>
  <dcterms:modified xsi:type="dcterms:W3CDTF">2023-11-22T22:04:00Z</dcterms:modified>
  <cp:category/>
</cp:coreProperties>
</file>