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0"/>
        </w:rPr>
        <w:t>Lemnisca Scale-Up Risk Predictor — Mathematical Reference</w:t>
      </w:r>
    </w:p>
    <w:p>
      <w:pPr>
        <w:spacing w:after="200"/>
        <w:jc w:val="center"/>
      </w:pPr>
      <w:r>
        <w:rPr>
          <w:i/>
          <w:color w:val="555555"/>
          <w:sz w:val="18"/>
        </w:rPr>
        <w:t>All derivations, correlations, constants, and thresholds in the active calculation engine. Red boxes flag assumptions or values that should be reviewed.</w:t>
      </w:r>
    </w:p>
    <w:p>
      <w:pPr>
        <w:spacing w:before="200" w:after="60"/>
      </w:pPr>
      <w:r>
        <w:rPr>
          <w:b/>
          <w:color w:val="003366"/>
          <w:sz w:val="24"/>
        </w:rPr>
        <w:t>0. Pipeline overview</w:t>
      </w:r>
    </w:p>
    <w:p>
      <w:pPr>
        <w:spacing w:after="60"/>
      </w:pPr>
      <w:r>
        <w:t>The application executes the following sequence on every assessment:</w:t>
      </w:r>
    </w:p>
    <w:p>
      <w:pPr>
        <w:pStyle w:val="ListBullet"/>
        <w:spacing w:after="40"/>
        <w:ind w:left="340"/>
      </w:pPr>
      <w:r>
        <w:t>InputForm collects ProcessInputs with field-level validation and warnings.</w:t>
      </w:r>
    </w:p>
    <w:p>
      <w:pPr>
        <w:pStyle w:val="ListBullet"/>
        <w:spacing w:after="40"/>
        <w:ind w:left="340"/>
      </w:pPr>
      <w:r>
        <w:t>runAllDerivations(inputs) computes D1–D7 derived parameters.</w:t>
      </w:r>
    </w:p>
    <w:p>
      <w:pPr>
        <w:pStyle w:val="ListBullet"/>
        <w:spacing w:after="40"/>
        <w:ind w:left="340"/>
      </w:pPr>
      <w:r>
        <w:t>buildReactorScaleConfigs(inputs, {method}) applies the chosen scale-up criterion and builds ReactorScaleConfig objects for lab and target. kLa, gassed power, and tip speed are computed here, not as separate derivation steps.</w:t>
      </w:r>
    </w:p>
    <w:p>
      <w:pPr>
        <w:pStyle w:val="ListBullet"/>
        <w:spacing w:after="40"/>
        <w:ind w:left="340"/>
      </w:pPr>
      <w:r>
        <w:t>Risk modules R1–R5 run in fixed order: OTR → Mixing → Shear → CO₂ → Heat. Each consumes derived parameters and both reactor configs.</w:t>
      </w:r>
    </w:p>
    <w:p>
      <w:pPr>
        <w:pStyle w:val="ListBullet"/>
        <w:spacing w:after="40"/>
        <w:ind w:left="340"/>
      </w:pPr>
      <w:r>
        <w:t>determinePrimaryBottleneck picks the highest severity domain; ties broken by a normalised "risk pressure" metric.</w:t>
      </w:r>
    </w:p>
    <w:p>
      <w:pPr>
        <w:pStyle w:val="ListBullet"/>
        <w:spacing w:after="40"/>
        <w:ind w:left="340"/>
      </w:pPr>
      <w:r>
        <w:t>What-if analysis modifies ProcessInputs (impeller, RPM, VVM, O₂, dt_ratio_target, or target_rpm_override) and re-runs runAssessment.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Lab power and lab kLa are derived twice — once in D3 (derivePowerInput) and again inside buildReactorScaleConfigs. Risk modules consume the reactor-config values; the D3 outputs are used only for surfacing validation flags.</w:t>
      </w:r>
    </w:p>
    <w:p>
      <w:pPr>
        <w:spacing w:before="200" w:after="60"/>
      </w:pPr>
      <w:r>
        <w:rPr>
          <w:b/>
          <w:color w:val="003366"/>
          <w:sz w:val="24"/>
        </w:rPr>
        <w:t>1. Input form and guardrails</w:t>
      </w:r>
    </w:p>
    <w:p>
      <w:pPr>
        <w:spacing w:after="60"/>
      </w:pPr>
      <w:r>
        <w:t>Input form enforces field-by-field ranges. Representative bounds:</w:t>
      </w:r>
    </w:p>
    <w:p>
      <w:pPr>
        <w:pStyle w:val="ListBullet"/>
        <w:spacing w:after="40"/>
        <w:ind w:left="340"/>
      </w:pPr>
      <w:r>
        <w:t>Lab volume V_lab: &gt; 0, ≤ 1000 L. Target volume V_target: &gt; V_lab.</w:t>
      </w:r>
    </w:p>
    <w:p>
      <w:pPr>
        <w:pStyle w:val="ListBullet"/>
        <w:spacing w:after="40"/>
        <w:ind w:left="340"/>
      </w:pPr>
      <w:r>
        <w:t>H/D ratio: 0.5–4.0. Default 1.2.</w:t>
      </w:r>
    </w:p>
    <w:p>
      <w:pPr>
        <w:pStyle w:val="ListBullet"/>
        <w:spacing w:after="40"/>
        <w:ind w:left="340"/>
      </w:pPr>
      <w:r>
        <w:t>RPM: &gt; 0, ≤ 3000. VVM: 0.1–5.0 (default 1.0).</w:t>
      </w:r>
    </w:p>
    <w:p>
      <w:pPr>
        <w:pStyle w:val="ListBullet"/>
        <w:spacing w:after="40"/>
        <w:ind w:left="340"/>
      </w:pPr>
      <w:r>
        <w:t>Biomass: &gt; 0, ≤ 200 g/L CDW (or ≤ 100 OD600 with organism-dependent conversion).</w:t>
      </w:r>
    </w:p>
    <w:p>
      <w:pPr>
        <w:pStyle w:val="ListBullet"/>
        <w:spacing w:after="40"/>
        <w:ind w:left="340"/>
      </w:pPr>
      <w:r>
        <w:t>Temperature: clamped to viscosity / C* table range (20–42 °C).</w:t>
      </w:r>
    </w:p>
    <w:p>
      <w:pPr>
        <w:pStyle w:val="ListBullet"/>
        <w:spacing w:after="40"/>
        <w:ind w:left="340"/>
      </w:pPr>
      <w:r>
        <w:t>DO setpoint: percent saturation (0–100).</w:t>
      </w:r>
    </w:p>
    <w:p>
      <w:pPr>
        <w:pStyle w:val="ListBullet"/>
        <w:spacing w:after="40"/>
        <w:ind w:left="340"/>
      </w:pPr>
      <w:r>
        <w:t>VVM outside 0.5–2.0 raises a power-correlation uncertainty flag (derivePowerFlags).</w:t>
      </w:r>
    </w:p>
    <w:p>
      <w:pPr>
        <w:pStyle w:val="ListBullet"/>
        <w:spacing w:after="40"/>
        <w:ind w:left="340"/>
      </w:pPr>
      <w:r>
        <w:t>Computed lab P/V outside 500–8000 W/m³ across all three what-if scenarios raises an atypical-envelope flag.</w:t>
      </w:r>
    </w:p>
    <w:p>
      <w:pPr>
        <w:spacing w:before="200" w:after="60"/>
      </w:pPr>
      <w:r>
        <w:rPr>
          <w:b/>
          <w:color w:val="003366"/>
          <w:sz w:val="24"/>
        </w:rPr>
        <w:t>2. Derivations D1–D7</w:t>
      </w:r>
    </w:p>
    <w:p>
      <w:pPr>
        <w:spacing w:before="120" w:after="40"/>
      </w:pPr>
      <w:r>
        <w:rPr>
          <w:b/>
          <w:sz w:val="21"/>
        </w:rPr>
        <w:t>D7 — Biomass CDW conversion (runs first, feeds D1)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CDW = OD600 × f_organism       if input unit is OD600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CDW = biomass                  if input unit is g/L</w:t>
      </w:r>
    </w:p>
    <w:p>
      <w:pPr>
        <w:spacing w:after="60"/>
      </w:pPr>
      <w:r>
        <w:t>OD-to-CDW conversion factors (g/L per OD unit) per organism: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E. coli 0.37 · B. subtilis 0.36 · S. cerevisiae 0.40 · P. pastoris 0.38 · generic 0.38</w:t>
      </w:r>
    </w:p>
    <w:p>
      <w:pPr>
        <w:spacing w:after="60"/>
        <w:ind w:left="397"/>
      </w:pPr>
      <w:r>
        <w:rPr>
          <w:i/>
          <w:color w:val="555555"/>
          <w:sz w:val="18"/>
        </w:rPr>
        <w:t>Ref: Standard textbook conversions; see Doran (2013) Bioprocess Engineering Principles, 2nd ed., Ch. 8.</w:t>
      </w:r>
    </w:p>
    <w:p>
      <w:pPr>
        <w:spacing w:before="120" w:after="40"/>
      </w:pPr>
      <w:r>
        <w:rPr>
          <w:b/>
          <w:sz w:val="21"/>
        </w:rPr>
        <w:t>D1 — Oxygen uptake rate (OUR)</w:t>
      </w:r>
    </w:p>
    <w:p>
      <w:pPr>
        <w:spacing w:after="60"/>
      </w:pPr>
      <w:r>
        <w:t>OUR is either user-measured or estimated from organism-specific peak bounds keyed on a low-density / high-density biomass category.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OUR_peak = upper_bound   if biomass_density_category = high_density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OUR_peak = lower_bound   otherwise</w:t>
      </w:r>
    </w:p>
    <w:p>
      <w:pPr>
        <w:spacing w:after="60"/>
      </w:pPr>
      <w:r>
        <w:t>Bounds (mmol O₂ / L / h):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E. coli 70–150  ·  B. subtilis 35–80  ·  S. cerevisiae 20–55  ·  P. pastoris 25–160</w:t>
      </w:r>
    </w:p>
    <w:p>
      <w:pPr>
        <w:spacing w:after="60"/>
      </w:pPr>
      <w:r>
        <w:t>High-density threshold: CDW ≥ 60 g/L. Representative CDW for each category: 20 g/L (low-density), 100 g/L (high-density).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Bounds compiled from species reviews: Shiloach &amp; Fass (2005) Biotechnol Adv 23:345; Looser et al. (2015) Biotechnol Adv 33:1177 (P. pastoris); Sonnleitner &amp; Käppeli (1986) Biotechnol Bioeng 28:927 (S. cerevisiae).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The estimation collapses peak OUR to a binary low/high based on a 60 g/L threshold. Real OUR varies continuously with biomass, nutrient profile, and feeding strategy. Encourage users to provide measured OUR whenever available.</w:t>
      </w:r>
    </w:p>
    <w:p>
      <w:pPr>
        <w:spacing w:before="120" w:after="40"/>
      </w:pPr>
      <w:r>
        <w:rPr>
          <w:b/>
          <w:sz w:val="21"/>
        </w:rPr>
        <w:t>D2 — Vessel geometry (lab and target)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V (m³)      = V_litres / 1000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T (tank D)  = ((4·V) / (π·H/D))^(1/3)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H_L         = (H/D) · T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d_imp       = (d/T)_input · T            d/T default per impeller: see §6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A_cross     = π · T² / 4</w:t>
      </w:r>
    </w:p>
    <w:p>
      <w:pPr>
        <w:spacing w:before="120" w:after="40"/>
      </w:pPr>
      <w:r>
        <w:rPr>
          <w:b/>
          <w:sz w:val="21"/>
        </w:rPr>
        <w:t>D3 — Power input (single + total, gassed)</w:t>
      </w:r>
    </w:p>
    <w:p>
      <w:pPr>
        <w:spacing w:after="60"/>
      </w:pPr>
      <w:r>
        <w:t>Ungassed power for one impeller: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P₀ = N_p · ρ · N³ · d_imp⁵         (W)</w:t>
      </w:r>
    </w:p>
    <w:p>
      <w:pPr>
        <w:spacing w:after="60"/>
      </w:pPr>
      <w:r>
        <w:t>Power numbers (N_p): Rushton 5.0 · Pitched-blade 1.5 · Marine 0.35 · Unknown 5.0.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Bates, Fondy &amp; Corpstein (1963); Nienow (1990) Mixing in the Process Industries.</w:t>
      </w:r>
    </w:p>
    <w:p>
      <w:pPr>
        <w:spacing w:after="60"/>
      </w:pPr>
      <w:r>
        <w:t>Gassed power via correlation by impeller type: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Rushton/Smith:    Pg = 0.706 · (P₀² · N · d_imp³ / Q_g^0.56)^0.45   [Michel &amp; Miller 1962]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Pitched-blade:    Pg = 0.648 · (P₀² · N · d_imp³ / Q_g^0.56)^0.45   [Cui et al. 1996]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Hydrofoil/marine: Pg/P₀ = clamp(1 − 12·Fl, 0.30, 1.00),  Fl = Q_g/(N·d_imp³)</w:t>
      </w:r>
    </w:p>
    <w:p>
      <w:pPr>
        <w:spacing w:after="60"/>
      </w:pPr>
      <w:r>
        <w:t>For multi-impeller systems: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Pg_total = n_imp · Pg_single · interaction_factor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interaction_factor = min(1.0, 0.85 + 0.15 · spacing_ratio)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Bug in correlations/gassed_power.ts (line 61): spacing_ratio is hard-coded as D_T/D_T = 1.0, so the interaction factor is always 1.0. Multi-impeller power is linearly scaled by n_imp with no real penalty for closely spaced impellers. Real systems lose 10–20% per additional impeller for spacing &lt; 1·D.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Michel &amp; Miller (1962) AIChE J 8:262; Cui et al. (1996) Biotechnol Bioeng 49:456; Nienow (2006) Chem Eng Sci 61:2925.</w:t>
      </w:r>
    </w:p>
    <w:p>
      <w:pPr>
        <w:spacing w:before="120" w:after="40"/>
      </w:pPr>
      <w:r>
        <w:rPr>
          <w:b/>
          <w:sz w:val="21"/>
        </w:rPr>
        <w:t>D-Viscosity — broth viscosity from temperature</w:t>
      </w:r>
    </w:p>
    <w:p>
      <w:pPr>
        <w:spacing w:after="60"/>
      </w:pPr>
      <w:r>
        <w:t>Linearly interpolated from a water-like table (Pa·s):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20 °C 1.00e-3  ·  25 °C 8.9e-4  ·  30 °C 8.0e-4  ·  37 °C 6.9e-4  ·  42 °C 6.2e-4</w:t>
      </w:r>
    </w:p>
    <w:p>
      <w:pPr>
        <w:spacing w:after="60"/>
      </w:pPr>
      <w:r>
        <w:t>For broths above the non-Newtonian biomass threshold (CDW &gt; 60 g/L) the apparent viscosity (cP) is computed from a quadratic in (CDW − 60):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μ_app (cP) = 1.25e-3 · ΔX² + 0.175 · ΔX + 1     ΔX = max(0, CDW − 60)</w:t>
      </w:r>
    </w:p>
    <w:p>
      <w:pPr>
        <w:spacing w:after="60"/>
      </w:pPr>
      <w:r>
        <w:t>Calibrated to: 1 cP at 60 g/L, 10 cP at 100 g/L, 50 cP at 200 g/L.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The non-Newtonian viscosity model is an empirical quadratic calibrated to three points. It is not a literature correlation. Real broth rheology varies by an order of magnitude between bacterial, yeast, and filamentous-fungus morphologies and between vegetative and stationary phase. Treat μ_app outputs as order-of-magnitude.</w:t>
      </w:r>
    </w:p>
    <w:p>
      <w:pPr>
        <w:spacing w:before="120" w:after="40"/>
      </w:pPr>
      <w:r>
        <w:rPr>
          <w:b/>
          <w:sz w:val="21"/>
        </w:rPr>
        <w:t>D4 — Impeller Reynolds number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Re_imp = ρ · N · d_imp² / μ</w:t>
      </w:r>
    </w:p>
    <w:p>
      <w:pPr>
        <w:spacing w:after="60"/>
      </w:pPr>
      <w:r>
        <w:t>Regime split: turbulent if Re &gt; 10⁴; transitional if 10³ ≤ Re ≤ 10⁴; laminar otherwise. Transitional regime raises a flag ("power number assumption may not hold"); laminar raises a hard warning.</w:t>
      </w:r>
    </w:p>
    <w:p>
      <w:pPr>
        <w:spacing w:before="120" w:after="40"/>
      </w:pPr>
      <w:r>
        <w:rPr>
          <w:b/>
          <w:sz w:val="21"/>
        </w:rPr>
        <w:t>D5 — Superficial gas velocity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Q_gas (m³/s) = VVM · V_litres / (1000 · 60)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v_s (m/s)    = Q_gas / A_cross</w:t>
      </w:r>
    </w:p>
    <w:p>
      <w:pPr>
        <w:spacing w:before="120" w:after="40"/>
      </w:pPr>
      <w:r>
        <w:rPr>
          <w:b/>
          <w:sz w:val="21"/>
        </w:rPr>
        <w:t>D6 — Oxygen solubility and driving force (lab + target)</w:t>
      </w:r>
    </w:p>
    <w:p>
      <w:pPr>
        <w:spacing w:after="60"/>
      </w:pPr>
      <w:r>
        <w:t>Saturation C* is interpolated linearly from a temperature table (mmol/L at 1 atm air):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20 °C 0.276 · 25 °C 0.258 · 30 °C 0.237 · 35 °C 0.213 · 37 °C 0.204 · 42 °C 0.186</w:t>
      </w:r>
    </w:p>
    <w:p>
      <w:pPr>
        <w:spacing w:after="60"/>
      </w:pPr>
      <w:r>
        <w:t>Pressure and inlet-O₂ corrections at lab and target: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P_top = P_atm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P_bot = P_atm + ρ · g · H_L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y_scale = (O₂_inlet / 100) / 0.209          0.209 = O₂ in dry air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C*_bot = C*_table · (P_bot/P_atm) · y_scale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C*_top = C*_table · (P_top/P_atm) · y_scale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C_L     = (DO_setpoint / 100) · (C*_bot + C*_top)/2</w:t>
      </w:r>
    </w:p>
    <w:p>
      <w:pPr>
        <w:spacing w:after="60"/>
      </w:pPr>
      <w:r>
        <w:t>Log-mean driving force across vessel height (falls back to arithmetic mean when the two end values nearly coincide, and to bot-only when the top can't transfer):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ΔC_lm = (ΔC_bot − ΔC_top) / ln(ΔC_bot / ΔC_top)</w:t>
      </w:r>
    </w:p>
    <w:p>
      <w:pPr>
        <w:spacing w:after="60"/>
        <w:ind w:left="397"/>
      </w:pPr>
      <w:r>
        <w:rPr>
          <w:i/>
          <w:color w:val="555555"/>
          <w:sz w:val="18"/>
        </w:rPr>
        <w:t>Ref: Solubility table from Geankoplis (2003) Transport Processes and Separation Process Principles, 4th ed., Table A.3-18. Hydrostatic pressure correction follows Doran (2013) §10.7.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Bubble-side O₂ depletion is ignored — the model assumes the inlet O₂ fraction persists from sparger to surface. This overestimates kLa-effective driving force by ~10–15% in high-density runs (Tier-3 correction not implemented per design decision).</w:t>
      </w:r>
    </w:p>
    <w:p>
      <w:pPr>
        <w:spacing w:before="200" w:after="60"/>
      </w:pPr>
      <w:r>
        <w:rPr>
          <w:b/>
          <w:color w:val="003366"/>
          <w:sz w:val="24"/>
        </w:rPr>
        <w:t>3. Scale-up criteria</w:t>
      </w:r>
    </w:p>
    <w:p>
      <w:pPr>
        <w:spacing w:after="60"/>
      </w:pPr>
      <w:r>
        <w:t>A scale-up criterion fixes one operating variable as identical between lab and target, and solves for the target RPM (and sometimes VVM) by bisection on the gassed-power expression in §2 D3.</w:t>
      </w:r>
    </w:p>
    <w:p>
      <w:pPr>
        <w:spacing w:before="120" w:after="40"/>
      </w:pPr>
      <w:r>
        <w:rPr>
          <w:b/>
          <w:sz w:val="21"/>
        </w:rPr>
        <w:t>3.1 Constant P/V (default)</w:t>
      </w:r>
    </w:p>
    <w:p>
      <w:pPr>
        <w:spacing w:after="60"/>
      </w:pPr>
      <w:r>
        <w:t>Holds gassed power per volume Pg/V constant.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(Pg/V)_target = (Pg/V)_lab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Solve for N_target such that gassedPower(geom_target, N_target, VVM_lab) / V_target = (Pg/V)_lab</w:t>
      </w:r>
    </w:p>
    <w:p>
      <w:pPr>
        <w:spacing w:after="60"/>
      </w:pPr>
      <w:r>
        <w:t>Bisection uses 80 iterations, doubling the upper bracket until the target power is achievable. The result is clamped to a scale-dependent max RPM and max P/V (see §4); when clamped, a flag is raised and the criterion is reported as "not fully matched".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Constant P/V is the historical Merck/Pfizer default; Junker (2004) J Biosci Bioeng 97:347.</w:t>
      </w:r>
    </w:p>
    <w:p>
      <w:pPr>
        <w:spacing w:before="120" w:after="40"/>
      </w:pPr>
      <w:r>
        <w:rPr>
          <w:b/>
          <w:sz w:val="21"/>
        </w:rPr>
        <w:t>3.2 Constant kLa</w:t>
      </w:r>
    </w:p>
    <w:p>
      <w:pPr>
        <w:spacing w:after="60"/>
      </w:pPr>
      <w:r>
        <w:t>Holds the kLa ensemble mean constant. VVM at target is set to the scale's maximum VVM (more aeration is favoured at large scale because P/V tends to drop).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kLa_target = kLa_lab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Solve N_target such that computeKlaEnsemble(...).mean = kLa_lab</w:t>
      </w:r>
    </w:p>
    <w:p>
      <w:pPr>
        <w:spacing w:after="60"/>
      </w:pPr>
      <w:r>
        <w:t>Used when oxygen transfer is the governing constraint and P/V is a poor proxy across geometries.</w:t>
      </w:r>
    </w:p>
    <w:p>
      <w:pPr>
        <w:spacing w:before="120" w:after="40"/>
      </w:pPr>
      <w:r>
        <w:rPr>
          <w:b/>
          <w:sz w:val="21"/>
        </w:rPr>
        <w:t>3.3 Constant tip speed (shear-preserving)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v_tip = π · N · d_imp = constant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N_target = (v_tip_lab) / (π · d_imp_target) · 60     (RPM)</w:t>
      </w:r>
    </w:p>
    <w:p>
      <w:pPr>
        <w:spacing w:after="60"/>
      </w:pPr>
      <w:r>
        <w:t>Used for shear-sensitive organisms (filamentous fungi, mammalian cells, fragile morphologies). Trades off mixing intensity and oxygen transfer to limit cell damage.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Tip-speed-based scaling: Oldshue (1966) Biotechnol Bioeng 8:3; Marks (2003) Cytotechnology 42:21.</w:t>
      </w:r>
    </w:p>
    <w:p>
      <w:pPr>
        <w:spacing w:before="200" w:after="60"/>
      </w:pPr>
      <w:r>
        <w:rPr>
          <w:b/>
          <w:color w:val="003366"/>
          <w:sz w:val="24"/>
        </w:rPr>
        <w:t>4. Scale-dependent operating envelopes</w:t>
      </w:r>
    </w:p>
    <w:p>
      <w:pPr>
        <w:spacing w:after="60"/>
      </w:pPr>
      <w:r>
        <w:t>Before the criterion result is reported, target RPM, P/V, and VVM are clamped to literature-supported ranges by volume bin (Math.sqrt-of-decade boundaries):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1 L    : P/V 3000–8000 W/m³ · RPM 800–1500 · VVM 1.0–2.0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10 L   : P/V 2500–6000 W/m³ · RPM 400–900  · VVM 0.8–1.5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100 L  : P/V 1500–4000 W/m³ · RPM 200–500  · VVM 0.6–1.2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1000 L : P/V 800–3000 W/m³  · RPM 100–250  · VVM 0.5–1.0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10000+L: P/V 500–2000 W/m³  · RPM 50–150   · VVM 0.3–1.0</w:t>
      </w:r>
    </w:p>
    <w:p>
      <w:pPr>
        <w:spacing w:after="60"/>
        <w:ind w:left="397"/>
      </w:pPr>
      <w:r>
        <w:rPr>
          <w:i/>
          <w:color w:val="555555"/>
          <w:sz w:val="18"/>
        </w:rPr>
        <w:t>Ref: Envelopes per user-provided engineering ranges (2026-05-07); broadly consistent with Junker (2004) and Doran (2013) Table 10.4.</w:t>
      </w:r>
    </w:p>
    <w:p>
      <w:pPr>
        <w:spacing w:before="200" w:after="60"/>
      </w:pPr>
      <w:r>
        <w:rPr>
          <w:b/>
          <w:color w:val="003366"/>
          <w:sz w:val="24"/>
        </w:rPr>
        <w:t>5. kLa correlation ensemble</w:t>
      </w:r>
    </w:p>
    <w:p>
      <w:pPr>
        <w:spacing w:after="60"/>
      </w:pPr>
      <w:r>
        <w:t>computeKlaEnsemble selects 2 correlations based on broth rheology: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Newtonian       (CDW ≤ 60 g/L): linek_2004,         vant_riet_non_coalescing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Non-Newtonian   (CDW &gt; 60 g/L): garcia_ochoa_2004,  vant_riet_non_coalescing</w:t>
      </w:r>
    </w:p>
    <w:p>
      <w:pPr>
        <w:spacing w:after="60"/>
      </w:pPr>
      <w:r>
        <w:t>The reported kLa is the arithmetic mean of the two correlations; std, min, max are also exposed for confidence-band display. All correlations take Pg in W and return kLa in s⁻¹ (converted ×3600 to h⁻¹ for display).</w:t>
      </w:r>
    </w:p>
    <w:p>
      <w:pPr>
        <w:spacing w:before="120" w:after="40"/>
      </w:pPr>
      <w:r>
        <w:rPr>
          <w:b/>
          <w:sz w:val="21"/>
        </w:rPr>
        <w:t>Active correlations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van't Riet non-coalescing : kLa = 0.002  · (Pg/V)^0.7  · v_s^0.2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Linek (2004) Rushton      : kLa = 0.0083 · (Pg/V)^0.62 · v_s^0.49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Linek (2004) Pitched-blade: kLa = 0.0063 · (Pg/V)^0.63 · v_s^0.58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Linek (2004) hydrofoil/other: kLa = 0.0057 · (Pg/V)^0.67 · v_s^0.56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Garcia-Ochoa &amp; Gomez 2004 : kLa = 0.015  · (Pg/V)^0.6  · v_s^0.6  · (μ_w/μ_eff)^0.5</w:t>
      </w:r>
    </w:p>
    <w:p>
      <w:pPr>
        <w:spacing w:after="60"/>
        <w:ind w:left="397"/>
      </w:pPr>
      <w:r>
        <w:rPr>
          <w:i/>
          <w:color w:val="555555"/>
          <w:sz w:val="18"/>
        </w:rPr>
        <w:t>Ref: van't Riet (1979) Ind Eng Chem Process Des Dev 18:357; Linek et al. (2004) Chem Eng Sci 59:5145; Garcia-Ochoa &amp; Gomez (2004) Biotechnol Adv 22:495.</w:t>
      </w:r>
    </w:p>
    <w:p>
      <w:pPr>
        <w:spacing w:before="120" w:after="40"/>
      </w:pPr>
      <w:r>
        <w:rPr>
          <w:b/>
          <w:sz w:val="21"/>
        </w:rPr>
        <w:t>Inactive correlations (in registry, never selected)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van't Riet coalescing · Linek 1987 · Moucha 2003 · Zhu 2001 (non-Newtonian)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The Zhu (2001) and Moucha (2003) correlations are defined but never selected by selectKlaEnsemble. For genuinely non-Newtonian broths (CMC, pellet morphology) Zhu's μ_app^(-0.84) dependence would be more appropriate than Garcia-Ochoa's μ^(-0.5).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Multi-impeller systems use single-impeller kLa correlations on the total Pg/V. This is intentional per the selection logic comment, but Moucha (2003) gives n-impeller-specific coefficients that would be more accurate for n_imp ≥ 2.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Linek 2004 coefficients for hydrofoil/marine impellers (0.0057, 0.67, 0.56) are the paper's hydrofoil values; the original measurement set is small and extrapolation to generic "marine" or "unknown" impellers is approximate.</w:t>
      </w:r>
    </w:p>
    <w:p>
      <w:pPr>
        <w:spacing w:before="200" w:after="60"/>
      </w:pPr>
      <w:r>
        <w:rPr>
          <w:b/>
          <w:color w:val="003366"/>
          <w:sz w:val="24"/>
        </w:rPr>
        <w:t>6. R1 — Oxygen transfer risk</w:t>
      </w:r>
    </w:p>
    <w:p>
      <w:pPr>
        <w:spacing w:after="60"/>
      </w:pPr>
      <w:r>
        <w:t>Compares achievable OTR against required OUR.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OTR_capacity = kLa · ΔC_lm        (mmol/L/h)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ratio        = OTR_capacity / OUR_peak</w:t>
      </w:r>
    </w:p>
    <w:p>
      <w:pPr>
        <w:spacing w:after="60"/>
      </w:pPr>
      <w:r>
        <w:t>Score thresholds on the ratio: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low &gt; 1.5  ·  moderate &gt; 1.0  ·  high &gt; 0.7  ·  critical otherwise</w:t>
      </w:r>
    </w:p>
    <w:p>
      <w:pPr>
        <w:spacing w:after="60"/>
      </w:pPr>
      <w:r>
        <w:t>Per-scale evaluation: lab uses inputs.rpm / inputs.vvm directly; target uses criterion-derived RPM/VVM. Conservative/moderate/aggressive scenarios scale target Pg by 0.5×/1.0×/2.0× to show robustness to operating-point uncertainty.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Bands chosen to align with Doran (2013) §10.10: ratio&lt;1 → guaranteed limitation; ratio 1.0–1.5 → marginal; ratio&gt;1.5 → adequate buffer for non-idealities.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Score is taken from the moderate scenario (1.0× Pg) only. The conservative and aggressive numbers are shown but do not affect the headline score.</w:t>
      </w:r>
    </w:p>
    <w:p>
      <w:pPr>
        <w:spacing w:before="200" w:after="60"/>
      </w:pPr>
      <w:r>
        <w:rPr>
          <w:b/>
          <w:color w:val="003366"/>
          <w:sz w:val="24"/>
        </w:rPr>
        <w:t>7. R2 — Mixing risk</w:t>
      </w:r>
    </w:p>
    <w:p>
      <w:pPr>
        <w:spacing w:after="60"/>
      </w:pPr>
      <w:r>
        <w:t>Compares the time the dissolved-O₂ reservoir at C_L can sustain local OUR against the time to circulate the vessel.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θ_mix = 5.9 · T² / (ε^(1/3) · d_imp^(4/3))       (Ruszkowski 1994)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ε     = Pg/V / ρ          (specific energy dissipation, W/kg)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t_O2  = 3600 · C_L / OUR_peak                    (s)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margin = t_O2 / θ_mix</w:t>
      </w:r>
    </w:p>
    <w:p>
      <w:pPr>
        <w:spacing w:after="60"/>
      </w:pPr>
      <w:r>
        <w:t>Score thresholds: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low &gt; 10  ·  moderate &gt; 1.0  ·  high &gt; 0.1  ·  critical otherwise</w:t>
      </w:r>
    </w:p>
    <w:p>
      <w:pPr>
        <w:spacing w:after="60"/>
      </w:pPr>
      <w:r>
        <w:t>Bands reflect that gradients dissipate before they form when t_O2 &gt;&gt; θ_mix, while t_O2 &lt; θ_mix means a circulating fluid packet depletes its dissolved O₂ before the next encounter with the impeller — leading to oscillating DO and overflow metabolism.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Ruszkowski (1994) 8th Eur Conf Mixing: θ_mix correlation for turbulent single-phase stirred tanks. Bands consistent with Larsson &amp; Enfors (1996) Biotechnol Bioeng 51:42 and Bylund et al. (1998) Biotechnol Bioeng 60:589 (E. coli scale-down studies).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Ruszkowski is validated for H/D 0.8–1.5 and single-impeller systems. For H/D &gt; 1.5 a flag is raised; multi-impeller circulation patterns can shorten θ_mix by 30–50%.</w:t>
      </w:r>
    </w:p>
    <w:p>
      <w:pPr>
        <w:spacing w:before="200" w:after="60"/>
      </w:pPr>
      <w:r>
        <w:rPr>
          <w:b/>
          <w:color w:val="003366"/>
          <w:sz w:val="24"/>
        </w:rPr>
        <w:t>8. R3 — Shear stress risk</w:t>
      </w:r>
    </w:p>
    <w:p>
      <w:pPr>
        <w:spacing w:after="60"/>
      </w:pPr>
      <w:r>
        <w:t>Tip speed measured against an organism-specific tolerance.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v_tip = π · N · d_imp        (m/s)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ratio = v_tip / v_threshold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margin = v_threshold / v_tip</w:t>
      </w:r>
    </w:p>
    <w:p>
      <w:pPr>
        <w:spacing w:after="60"/>
      </w:pPr>
      <w:r>
        <w:t>Organism tolerances (m/s):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E. coli 8.0 · B. subtilis 7.0 · S. cerevisiae 5.0 · P. pastoris 4.0 · generic bacteria 7.0 · generic yeast 5.0</w:t>
      </w:r>
    </w:p>
    <w:p>
      <w:pPr>
        <w:spacing w:after="60"/>
      </w:pPr>
      <w:r>
        <w:t>Score thresholds on the ratio (note: higher ratio = more shear = worse):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low &lt; 0.7  ·  moderate &lt; 1.0  ·  high &lt; 1.3  ·  critical otherwise</w:t>
      </w:r>
    </w:p>
    <w:p>
      <w:pPr>
        <w:spacing w:after="60"/>
      </w:pPr>
      <w:r>
        <w:t>Tip speed is the controlling variable because Kolmogorov microscale at typical industrial dissipation is set by conditions in the impeller swept zone, where v_tip is the dominant velocity scale.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Tolerance values are mid-range engineering practice; primary literature varies widely. E. coli: Hewitt et al. (1998) Biotechnol Bioeng 60:744 reports tolerance to v_tip &gt; 10 m/s. Yeast: Bagshaw (1992) Biotechnol Bioeng 39:1.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Tip-speed thresholds are indicative ranges, not hard physiological limits. E. coli can routinely tolerate 10–12 m/s under good DO control. Conservative values are used here to flag risk early.</w:t>
      </w:r>
    </w:p>
    <w:p>
      <w:pPr>
        <w:spacing w:before="200" w:after="60"/>
      </w:pPr>
      <w:r>
        <w:rPr>
          <w:b/>
          <w:color w:val="003366"/>
          <w:sz w:val="24"/>
        </w:rPr>
        <w:t>9. R4 — CO₂ accumulation risk</w:t>
      </w:r>
    </w:p>
    <w:p>
      <w:pPr>
        <w:spacing w:after="60"/>
      </w:pPr>
      <w:r>
        <w:t>Activated when CDW &gt; 20 g/L or OUR &gt; 30 mmol/L/h; otherwise score is forced to low.</w:t>
      </w:r>
    </w:p>
    <w:p>
      <w:pPr>
        <w:spacing w:after="60"/>
      </w:pPr>
      <w:r>
        <w:t>Carbon dioxide evolution rate: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CER = RQ · OUR_peak           (mmol CO₂ / L / h)</w:t>
      </w:r>
    </w:p>
    <w:p>
      <w:pPr>
        <w:spacing w:after="60"/>
      </w:pPr>
      <w:r>
        <w:t>RQ defaults: bacteria &amp; S. cerevisiae 1.00 · P. pastoris (methanol) 0.67.</w:t>
      </w:r>
    </w:p>
    <w:p>
      <w:pPr>
        <w:spacing w:after="60"/>
      </w:pPr>
      <w:r>
        <w:t>Outlet gas mole fraction (capped at 0.20 for numerical sanity):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ṅ_gas = Q_gas (NL/h) / 22.4 (L/mol)                   (mol/h)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y_CO2_out = min(4e-4 + (CER · V_L) / ṅ_gas , 0.20)</w:t>
      </w:r>
    </w:p>
    <w:p>
      <w:pPr>
        <w:spacing w:after="60"/>
      </w:pPr>
      <w:r>
        <w:t>Log-mean gas-phase pCO₂ (inlet 4×10⁻⁴ × 1.01325 bar, outlet × mid-column pressure):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P_mid_bar  = (P_atm + ρ·g·H_L/2) / 1e5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pCO₂_gas_out = y_CO2_out · P_mid_bar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pCO₂_gas_avg = logMean(pCO₂_gas_out, pCO₂_gas_in)</w:t>
      </w:r>
    </w:p>
    <w:p>
      <w:pPr>
        <w:spacing w:after="60"/>
      </w:pPr>
      <w:r>
        <w:t>Bulk dissolved pCO₂ adds Henry's-law driving force needed to strip CER: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pCO₂_bulk_atm = pCO₂_gas_avg/1.01325 + (CER/1000) / (kLa_CO2 · H_CO2)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kLa_CO2       = 0.9 · kLa_O2          H_CO2 = 0.034 mol/L/atm at ~30 °C</w:t>
      </w:r>
    </w:p>
    <w:p>
      <w:pPr>
        <w:spacing w:after="60"/>
      </w:pPr>
      <w:r>
        <w:t>Hydrostatic correction (worst case at vessel bottom):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pCO₂_bottom = pCO₂_bulk · (P_atm + ρ·g·H_L) / P_atm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margin      = pCO₂_critical / pCO₂_bottom</w:t>
      </w:r>
    </w:p>
    <w:p>
      <w:pPr>
        <w:spacing w:after="60"/>
      </w:pPr>
      <w:r>
        <w:t>Critical pCO₂ per organism (bar):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E. coli 0.20 · B. subtilis 0.15 · S. cerevisiae 0.10 · P. pastoris 0.15 · generic bacteria 0.15 · generic yeast 0.10</w:t>
      </w:r>
    </w:p>
    <w:p>
      <w:pPr>
        <w:spacing w:after="60"/>
      </w:pPr>
      <w:r>
        <w:t>Score thresholds on the margin: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low &gt; 1.5 · moderate &gt; 1.0 · high &gt; 0.75 · critical otherwise</w:t>
      </w:r>
    </w:p>
    <w:p>
      <w:pPr>
        <w:spacing w:after="60"/>
        <w:ind w:left="397"/>
      </w:pPr>
      <w:r>
        <w:rPr>
          <w:i/>
          <w:color w:val="555555"/>
          <w:sz w:val="18"/>
        </w:rPr>
        <w:t>Ref: CO₂ mass balance: Royce &amp; Thornhill (1991) AIChE J 37:1680. Critical pCO₂ thresholds: Mostafa &amp; Gu (2003) Biotechnol Prog 19:45; Doran (2013) §10.11. kLa_CO2/kLa_O2 ratio: Royce (1992) Biotechnol Bioeng 40:1129.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kLa_CO2 / kLa_O2 = 0.9 is a fixed empirical constant in correlations.ts. The UI calculation breakdown labels it as √(D_CO2/D_O2), which would give ~0.957 from diffusivities — not 0.9. The 0.9 value is a coarser empirical observation incorporating effects beyond diffusion (e.g., reaction-enhanced absorption); the label and constant should agree.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CO₂ score is forced to "low" when CDW &lt; 20 g/L AND OUR &lt; 30 mmol/L/h. The activation gate prevents reporting noisy results at low cell density, but a smoother fade-in or always-on calculation would be more defensible. Some low-density high-OUR scenarios may genuinely have non-negligible pCO₂.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P. pastoris always uses methanol RQ = 0.67 in resolveRq, regardless of the actual growth phase. The kinetic params in the same engine are for the glycerol batch phase (qO2 5 mmol/g/h, RQ ≈ 1.0). For glycerol-phase assessments, CER is under-estimated by ~33%.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Hydrostatic re-scaling: pCO₂_bulk uses an average column pressure, then pCO₂_bottom multiplies by the bottom-vs-atm pressure ratio. This double-counts a fraction of the pressure dependence. The correct chain is: equilibrium dissolved concentration scales with local gas-phase pressure, evaluated at the bottom. Effect is modest (~5–10% for typical H_L) but the model is internally inconsistent.</w:t>
      </w:r>
    </w:p>
    <w:p>
      <w:pPr>
        <w:spacing w:before="200" w:after="60"/>
      </w:pPr>
      <w:r>
        <w:rPr>
          <w:b/>
          <w:color w:val="003366"/>
          <w:sz w:val="24"/>
        </w:rPr>
        <w:t>10. R5 — Heat removal risk</w:t>
      </w:r>
    </w:p>
    <w:p>
      <w:pPr>
        <w:spacing w:after="60"/>
      </w:pPr>
      <w:r>
        <w:t>Margin = jacket cooling capacity / metabolic heat. Margin &lt; 1 → cooling insufficient.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Q_metabolic [kW] = coeff · OUR · V_L / 3600</w:t>
      </w:r>
    </w:p>
    <w:p>
      <w:pPr>
        <w:spacing w:after="60"/>
      </w:pPr>
      <w:r>
        <w:t>Metabolic heat coefficient (kJ / mmol O₂): bacteria &amp; yeast 0.46; P. pastoris 0.52.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Cooney, Wang &amp; Mateles (1968) Biotechnol Bioeng 11:269. P. pastoris methanol value from Roels (1983) Energetics and Kinetics in Biotechnology.</w:t>
      </w:r>
    </w:p>
    <w:p>
      <w:pPr>
        <w:spacing w:after="60"/>
      </w:pPr>
      <w:r>
        <w:t>Cooling-water outlet temperature (jacket-side energy balance):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ṁ_cw  = (flow_lpm / 60) · 999 / 1000        (kg/s)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ΔT_cw = Q · 1000 / (ṁ_cw · 4184)            (K)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T_cw_out = T_cw_in + ΔT_cw</w:t>
      </w:r>
    </w:p>
    <w:p>
      <w:pPr>
        <w:spacing w:after="60"/>
      </w:pPr>
      <w:r>
        <w:t>Log-mean ΔT across jacket (broth at uniform T_proc):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ΔT_1 = T_proc − T_cw_in     ΔT_2 = T_proc − T_cw_out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LMTD = (ΔT_1 − ΔT_2) / ln(ΔT_1 / ΔT_2)</w:t>
      </w:r>
    </w:p>
    <w:p>
      <w:pPr>
        <w:spacing w:after="60"/>
      </w:pPr>
      <w:r>
        <w:t>Broth-side film coefficient (Chilton-Drew with viscosity correction set to 1):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Re_imp = ρ · N · d_imp² / μ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Pr     = Cp_broth · μ / k_broth        Cp_broth 4180 J/kg·K · k_broth 0.600 W/m·K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Nu     = C · Re_imp^(2/3) · Pr^(1/3)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h_i    = Nu · k_broth / T</w:t>
      </w:r>
    </w:p>
    <w:p>
      <w:pPr>
        <w:spacing w:after="60"/>
      </w:pPr>
      <w:r>
        <w:t>Chilton-Drew constant C: Rushton 0.74 · Pitched-blade 0.55 · Marine 0.54 · Unknown 0.74.</w:t>
      </w:r>
    </w:p>
    <w:p>
      <w:pPr>
        <w:spacing w:after="60"/>
        <w:ind w:left="397"/>
      </w:pPr>
      <w:r>
        <w:rPr>
          <w:i/>
          <w:color w:val="555555"/>
          <w:sz w:val="18"/>
        </w:rPr>
        <w:t>Ref: Chilton &amp; Drew (1944) Trans AIChE 40:155; Bondy &amp; Lippa (1983) for PBT/marine.</w:t>
      </w:r>
    </w:p>
    <w:p>
      <w:pPr>
        <w:spacing w:after="60"/>
      </w:pPr>
      <w:r>
        <w:t>Jacket-side film coefficient (Dittus-Boelter, water heated by warm broth):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gap   = clamp(0.015 · D_T, 5 mm, 25 mm)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D_h   = 2 · gap          A_c = 0.8 · π · gap · (D_T + gap)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u_jkt = F / A_c          Re_j = ρ_w · u_jkt · D_h / μ_w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Nu    = 0.023 · Re_j^0.8 · Pr_w^0.4         Re_j ≥ 10000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Nu    = transitional or 3.66 floor          otherwise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h_o   = Nu · k_w / D_h     (with hard floor 75 W/m²·K)</w:t>
      </w:r>
    </w:p>
    <w:p>
      <w:pPr>
        <w:spacing w:after="60"/>
        <w:ind w:left="397"/>
      </w:pPr>
      <w:r>
        <w:rPr>
          <w:i/>
          <w:color w:val="555555"/>
          <w:sz w:val="18"/>
        </w:rPr>
        <w:t>Ref: Dittus &amp; Boelter (1930) Univ Calif Publ Eng 2:443; Incropera &amp; DeWitt (2007) Fundamentals of Heat and Mass Transfer.</w:t>
      </w:r>
    </w:p>
    <w:p>
      <w:pPr>
        <w:spacing w:after="60"/>
      </w:pPr>
      <w:r>
        <w:t>Overall U via series resistances (broth + fouling + wall + fouling + jacket):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1/U = 1/h_i + R_f_broth + δ_wall/k_wall + R_f_jacket + 1/h_o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R_f_broth = 3e-4 m²·K/W      R_f_jacket = 2e-4 m²·K/W</w:t>
      </w:r>
    </w:p>
    <w:p>
      <w:pPr>
        <w:spacing w:after="60"/>
      </w:pPr>
      <w:r>
        <w:t>Wall: glass 1.1 W/m·K × 6 mm for V ≤ 10 L; SS316 16.0 W/m·K × 5 mm otherwise. U is clamped to [100, 180 W/m²·K] for glass and [100, 400 W/m²·K] for SS316.</w:t>
      </w:r>
    </w:p>
    <w:p>
      <w:pPr>
        <w:spacing w:after="60"/>
      </w:pPr>
      <w:r>
        <w:t>Jacket area (cylindrical side + bottom disc):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A_total = π·D_T·H_L + π·D_T²/4</w:t>
      </w:r>
    </w:p>
    <w:p>
      <w:pPr>
        <w:spacing w:after="60"/>
      </w:pPr>
      <w:r>
        <w:t>Cooling capacity and margin: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Q_cool_max = U · A_total · LMTD / 1000      (kW)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margin     = Q_cool_max / Q_metabolic</w:t>
      </w:r>
    </w:p>
    <w:p>
      <w:pPr>
        <w:spacing w:after="60"/>
      </w:pPr>
      <w:r>
        <w:t>Score thresholds on the margin: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low &gt; 1/0.60 ≈ 1.67 · moderate &gt; 1/0.85 ≈ 1.18 · high &gt; 1.0 · critical otherwise</w:t>
      </w:r>
    </w:p>
    <w:p>
      <w:pPr>
        <w:spacing w:after="60"/>
        <w:ind w:left="397"/>
      </w:pPr>
      <w:r>
        <w:rPr>
          <w:i/>
          <w:color w:val="555555"/>
          <w:sz w:val="18"/>
        </w:rPr>
        <w:t>Ref: Margin bands implied by HEAT_THRESHOLDS = {0.60, 0.85, 1.0} on Q_met/Q_cool form.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The viscosity correction (μ_broth / μ_wall)^0.14 in Chilton-Drew is set to 1.0 in deriveBrothFilmCoeff because wall temperature is unknown without iteration. This biases h_i in either direction depending on whether the wall is hotter or colder than the bulk; effect is typically ±10–15%.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JACKET_EFFECTIVE_AREA_FRACTION = 0.80 is an engineering approximation, not a universal constant. Vessels with half-pipe or dimple jackets have different effective flow areas. The constant directly scales u_jkt and Re_j.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U is clamped to [100, 400 W/m²·K] (SS316) regardless of the correlation result. This prevents idealised film + clean-wall calculations from overpredicting U, but also hides legitimate variation. Glass cap at 180 W/m²·K reflects wall-limited heat transfer.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Bottom disc area is added to the side-wall area as if it were jacketed. Many small-scale bioreactors are not jacketed on the bottom (dished head with no jacket). This can overestimate A_total by 15–30% at small scale.</w:t>
      </w:r>
    </w:p>
    <w:p>
      <w:pPr>
        <w:spacing w:before="200" w:after="60"/>
      </w:pPr>
      <w:r>
        <w:rPr>
          <w:b/>
          <w:color w:val="003366"/>
          <w:sz w:val="24"/>
        </w:rPr>
        <w:t>11. Primary bottleneck selection</w:t>
      </w:r>
    </w:p>
    <w:p>
      <w:pPr>
        <w:spacing w:after="60"/>
      </w:pPr>
      <w:r>
        <w:t>Primary bottleneck is the domain with the worst score. Ties between domains at the same severity are broken by normalised "risk pressure":</w:t>
      </w:r>
    </w:p>
    <w:p>
      <w:pPr>
        <w:pStyle w:val="ListBullet"/>
        <w:spacing w:after="40"/>
        <w:ind w:left="340"/>
      </w:pPr>
      <w:r>
        <w:t>OTR    : pressure = band_lower_bound / ratio</w:t>
      </w:r>
    </w:p>
    <w:p>
      <w:pPr>
        <w:pStyle w:val="ListBullet"/>
        <w:spacing w:after="40"/>
        <w:ind w:left="340"/>
      </w:pPr>
      <w:r>
        <w:t>Mixing : pressure = band_lower_bound / ratio</w:t>
      </w:r>
    </w:p>
    <w:p>
      <w:pPr>
        <w:pStyle w:val="ListBullet"/>
        <w:spacing w:after="40"/>
        <w:ind w:left="340"/>
      </w:pPr>
      <w:r>
        <w:t>Shear  : pressure = ratio / band_upper_bound</w:t>
      </w:r>
    </w:p>
    <w:p>
      <w:pPr>
        <w:pStyle w:val="ListBullet"/>
        <w:spacing w:after="40"/>
        <w:ind w:left="340"/>
      </w:pPr>
      <w:r>
        <w:t>CO₂    : pressure = pCO2_bottom / pCO2_critical  (raw, not band-normalised)</w:t>
      </w:r>
    </w:p>
    <w:p>
      <w:pPr>
        <w:pStyle w:val="ListBullet"/>
        <w:spacing w:after="40"/>
        <w:ind w:left="340"/>
      </w:pPr>
      <w:r>
        <w:t>Heat   : pressure = (1/band_threshold) / margin</w:t>
      </w:r>
    </w:p>
    <w:p>
      <w:pPr>
        <w:spacing w:after="60"/>
      </w:pPr>
      <w:r>
        <w:t>All low → no bottleneck.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CO₂ normalisation uses the raw bottom/critical ratio rather than dividing by the band boundary the way the other domains do. This makes CO₂ tie-break behaviour inconsistent with OTR / mixing / shear / heat. In practice CO₂ rarely ties at critical, so the impact is small.</w:t>
      </w:r>
    </w:p>
    <w:p>
      <w:pPr>
        <w:spacing w:before="200" w:after="60"/>
      </w:pPr>
      <w:r>
        <w:rPr>
          <w:b/>
          <w:color w:val="003366"/>
          <w:sz w:val="24"/>
        </w:rPr>
        <w:t>12. What-if analysis</w:t>
      </w:r>
    </w:p>
    <w:p>
      <w:pPr>
        <w:spacing w:after="60"/>
      </w:pPr>
      <w:r>
        <w:t>The user can toggle modifications (operational and design); the active set is applied to a copy of ProcessInputs and runAssessment is re-run. Modifications:</w:t>
      </w:r>
    </w:p>
    <w:p>
      <w:pPr>
        <w:pStyle w:val="ListBullet"/>
        <w:spacing w:after="40"/>
        <w:ind w:left="340"/>
      </w:pPr>
      <w:r>
        <w:t>Switch impeller (Rushton / Pitched-blade).</w:t>
      </w:r>
    </w:p>
    <w:p>
      <w:pPr>
        <w:pStyle w:val="ListBullet"/>
        <w:spacing w:after="40"/>
        <w:ind w:left="340"/>
      </w:pPr>
      <w:r>
        <w:t>Increase RPM → clamp at scale max.</w:t>
      </w:r>
    </w:p>
    <w:p>
      <w:pPr>
        <w:pStyle w:val="ListBullet"/>
        <w:spacing w:after="40"/>
        <w:ind w:left="340"/>
      </w:pPr>
      <w:r>
        <w:t>Decrease RPM → bisection until target RPM drops by 50, clamped at scale min.</w:t>
      </w:r>
    </w:p>
    <w:p>
      <w:pPr>
        <w:pStyle w:val="ListBullet"/>
        <w:spacing w:after="40"/>
        <w:ind w:left="340"/>
      </w:pPr>
      <w:r>
        <w:t>Increase aeration → VVM clamp at scale max.</w:t>
      </w:r>
    </w:p>
    <w:p>
      <w:pPr>
        <w:pStyle w:val="ListBullet"/>
        <w:spacing w:after="40"/>
        <w:ind w:left="340"/>
      </w:pPr>
      <w:r>
        <w:t>Increase oxygen saturation → sets o2_inlet from a slider.</w:t>
      </w:r>
    </w:p>
    <w:p>
      <w:pPr>
        <w:pStyle w:val="ListBullet"/>
        <w:spacing w:after="40"/>
        <w:ind w:left="340"/>
      </w:pPr>
      <w:r>
        <w:t>Increase impeller diameter → d/T_target += 0.1 (cap 0.8). Sets target_rpm_override to the baseline target RPM, so the larger impeller spins at the same RPM and delivers higher Pg/V and kLa.</w:t>
      </w:r>
    </w:p>
    <w:p>
      <w:pPr>
        <w:pStyle w:val="ListBullet"/>
        <w:spacing w:after="40"/>
        <w:ind w:left="340"/>
      </w:pPr>
      <w:r>
        <w:t>Decrease impeller diameter → d/T_target −= 0.1 (floor 0.1). No RPM override, so the criterion solver compensates with higher RPM, increasing tip speed.</w:t>
      </w:r>
    </w:p>
    <w:p>
      <w:pPr>
        <w:pStyle w:val="ListBullet"/>
        <w:spacing w:after="40"/>
        <w:ind w:left="340"/>
      </w:pPr>
      <w:r>
        <w:t>Add internal cooling coils → Q_cool_max × 1.5 (post-hoc patch).</w:t>
      </w:r>
    </w:p>
    <w:p>
      <w:pPr>
        <w:spacing w:after="60"/>
      </w:pPr>
      <w:r>
        <w:t>The Conflicts table prevents mutually inconsistent toggles (e.g., increase + decrease RPM).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Without the target_rpm_override path added for "Increase impeller diameter", the scale-up criterion solver would have absorbed the geometry change by lowering RPM, leaving kLa unchanged. This was fixed; the patch is in lib/engine/reactor_configs.ts (see also lib/types/index.ts: target_rpm_override).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"Add internal cooling coils" multiplies Q_cool_max by a fixed 1.5×. This is a single empirical bump rather than a recalculation based on coil geometry and additional area. The number is plausible but not derived.</w:t>
      </w:r>
    </w:p>
    <w:p>
      <w:pPr>
        <w:spacing w:before="200" w:after="60"/>
      </w:pPr>
      <w:r>
        <w:rPr>
          <w:b/>
          <w:color w:val="003366"/>
          <w:sz w:val="24"/>
        </w:rPr>
        <w:t>13. Reference: physical and equipment constants</w:t>
      </w:r>
    </w:p>
    <w:p>
      <w:pPr>
        <w:spacing w:after="60"/>
      </w:pPr>
      <w:r>
        <w:t>Physical: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ρ (broth)             = 1000 kg/m³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g                     = 9.81 m/s²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P_atm                 = 101325 Pa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H_CO2 (Henry, ~30 °C) = 0.034 mol/L/atm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O₂ ref mole fraction  = 0.209  (dry air)</w:t>
      </w:r>
    </w:p>
    <w:p>
      <w:pPr>
        <w:spacing w:after="60"/>
      </w:pPr>
      <w:r>
        <w:t>Correlation constants: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VANT_RIET coalescing   : (0.026, 0.4, 0.5)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VANT_RIET non-coalesc. : (0.002, 0.7, 0.2)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RUSZKOWSKI_CONSTANT    : 5.9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KLA_CO2_O2_RATIO       : 0.9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METABOLIC_HEAT_FACTOR  : 0.46 kJ / mmol O₂  (default)</w:t>
      </w:r>
    </w:p>
    <w:p>
      <w:pPr>
        <w:spacing w:after="60"/>
      </w:pPr>
      <w:r>
        <w:t>Equipment (impeller):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Rushton       : Np 5.0 ,  Pg/P 0.60 , d/T 0.33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Pitched-blade : Np 1.5 ,  Pg/P 0.80 , d/T 0.33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Marine        : Np 0.35,  Pg/P 0.85 , d/T 0.40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Unknown       : Np 5.0 ,  Pg/P 0.60 , d/T 0.33      (mapped to Rushton)</w:t>
      </w:r>
    </w:p>
    <w:p>
      <w:pPr>
        <w:spacing w:after="60"/>
      </w:pPr>
      <w:r>
        <w:t>Validity flags: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VVM valid 0.3–2.0       (Pg/P correlation)</w:t>
      </w:r>
    </w:p>
    <w:p>
      <w:pPr>
        <w:spacing w:after="40"/>
        <w:ind w:left="397"/>
      </w:pPr>
      <w:r>
        <w:rPr>
          <w:rFonts w:ascii="Consolas" w:hAnsi="Consolas"/>
          <w:color w:val="003366"/>
          <w:sz w:val="19"/>
        </w:rPr>
        <w:t>P/V sanity 500–8000 W/m³ (D3 flag)</w:t>
      </w:r>
    </w:p>
    <w:p>
      <w:pPr>
        <w:spacing w:before="200" w:after="60"/>
      </w:pPr>
      <w:r>
        <w:rPr>
          <w:b/>
          <w:color w:val="003366"/>
          <w:sz w:val="24"/>
        </w:rPr>
        <w:t>14. Confidence reporting</w:t>
      </w:r>
    </w:p>
    <w:p>
      <w:pPr>
        <w:spacing w:after="60"/>
      </w:pPr>
      <w:r>
        <w:t>Each risk reports a confidence level depending on whether OUR is measured:</w:t>
      </w:r>
    </w:p>
    <w:p>
      <w:pPr>
        <w:pStyle w:val="ListBullet"/>
        <w:spacing w:after="40"/>
        <w:ind w:left="340"/>
      </w:pPr>
      <w:r>
        <w:t>OTR: high_confidence with measured OUR, directional otherwise.</w:t>
      </w:r>
    </w:p>
    <w:p>
      <w:pPr>
        <w:pStyle w:val="ListBullet"/>
        <w:spacing w:after="40"/>
        <w:ind w:left="340"/>
      </w:pPr>
      <w:r>
        <w:t>Mixing: reliable with measured OUR, directional otherwise.</w:t>
      </w:r>
    </w:p>
    <w:p>
      <w:pPr>
        <w:pStyle w:val="ListBullet"/>
        <w:spacing w:after="40"/>
        <w:ind w:left="340"/>
      </w:pPr>
      <w:r>
        <w:t>Shear: always reliable (no OUR dependence).</w:t>
      </w:r>
    </w:p>
    <w:p>
      <w:pPr>
        <w:pStyle w:val="ListBullet"/>
        <w:spacing w:after="40"/>
        <w:ind w:left="340"/>
      </w:pPr>
      <w:r>
        <w:t>CO₂: reliable with measured OUR; explicitly labelled "widest confidence interval of the five domains" in either case.</w:t>
      </w:r>
    </w:p>
    <w:p>
      <w:pPr>
        <w:pStyle w:val="ListBullet"/>
        <w:spacing w:after="40"/>
        <w:ind w:left="340"/>
      </w:pPr>
      <w:r>
        <w:t>Heat: reliable with measured OUR, directional otherwise.</w:t>
      </w:r>
    </w:p>
    <w:p>
      <w:pPr>
        <w:spacing w:before="200" w:after="60"/>
      </w:pPr>
      <w:r>
        <w:rPr>
          <w:b/>
          <w:color w:val="003366"/>
          <w:sz w:val="24"/>
        </w:rPr>
        <w:t>Notes for review</w:t>
      </w:r>
    </w:p>
    <w:p>
      <w:pPr>
        <w:spacing w:before="40" w:after="80"/>
        <w:ind w:left="170" w:right="170"/>
        <w:shd w:val="clear" w:color="auto" w:fill="FFF2F2"/>
      </w:pPr>
      <w:r>
        <w:rPr>
          <w:color w:val="B01010"/>
          <w:sz w:val="19"/>
        </w:rPr>
        <w:t>⚠  Items flagged in red across this document should be reviewed against the dev spec (/docs/lemnisca_dev_spec.md). The most consequential are: (a) the multi-impeller spacing bug in gassed_power.ts, (b) the P. pastoris RQ inconsistency in co2_risk.ts, (c) the kLa_CO2 constant vs labelled formula mismatch, (d) the CO₂ hydrostatic double-correction, and (e) the score-from-moderate-scenario-only behaviour in OTR.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