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Methodology — Fermentation Scale-Up Risk Predictor</w:t>
      </w:r>
    </w:p>
    <w:p>
      <w:pPr>
        <w:spacing w:after="160"/>
        <w:jc w:val="center"/>
      </w:pPr>
      <w:r>
        <w:rPr>
          <w:i/>
          <w:color w:val="555555"/>
          <w:sz w:val="18"/>
        </w:rPr>
        <w:t>How the application projects lab-scale operation to target scale and grades engineering risk</w:t>
      </w:r>
    </w:p>
    <w:p>
      <w:pPr>
        <w:spacing w:after="60"/>
      </w:pPr>
      <w:r>
        <w:t>The application takes lab-scale fermentation data and projects the target-vessel operating point (RPM, VVM, P/V, kLa, tip speed) under one of three classical scale-up criteria. It then evaluates five engineering risk domains using literature correlations and organism-specific thresholds. Inputs are clamped against scale-dependent equipment envelopes (1 L to ≥10,000 L) before any risk is reported.</w:t>
      </w:r>
    </w:p>
    <w:p>
      <w:pPr>
        <w:spacing w:before="120" w:after="40"/>
      </w:pPr>
      <w:r>
        <w:rPr>
          <w:b/>
          <w:sz w:val="22"/>
        </w:rPr>
        <w:t>Scale-up criteria — what is held constant from lab to target</w:t>
      </w:r>
    </w:p>
    <w:p>
      <w:pPr>
        <w:pStyle w:val="ListBullet"/>
        <w:spacing w:after="40"/>
        <w:ind w:left="283"/>
      </w:pPr>
      <w:r>
        <w:rPr>
          <w:b/>
        </w:rPr>
        <w:t xml:space="preserve">Constant P/V (default). </w:t>
      </w:r>
      <w:r>
        <w:t>Holds gassed power per volume Pg/V constant. The target RPM is found by bisection until gassed power on the larger geometry yields the same Pg/V as the lab. Preserves average specific energy dissipation, which sets kLa for a given broth and aeration. Standard choice for aerobic microbial fermentations.</w:t>
      </w:r>
    </w:p>
    <w:p>
      <w:pPr>
        <w:pStyle w:val="ListBullet"/>
        <w:spacing w:after="40"/>
        <w:ind w:left="283"/>
      </w:pPr>
      <w:r>
        <w:rPr>
          <w:b/>
        </w:rPr>
        <w:t xml:space="preserve">Constant kLa. </w:t>
      </w:r>
      <w:r>
        <w:t>Solves target RPM so the achievable kLa at the target scale matches the lab kLa. Used when oxygen transfer is the governing constraint and Pg/V is a poor proxy for kLa across geometry changes.</w:t>
      </w:r>
    </w:p>
    <w:p>
      <w:pPr>
        <w:pStyle w:val="ListBullet"/>
        <w:spacing w:after="40"/>
        <w:ind w:left="283"/>
      </w:pPr>
      <w:r>
        <w:rPr>
          <w:b/>
        </w:rPr>
        <w:t xml:space="preserve">Constant tip speed (π·N·d_imp). </w:t>
      </w:r>
      <w:r>
        <w:t>Preserves maximum mechanical shear in the impeller swept zone. Appropriate for shear-sensitive systems (filamentous fungi, mammalian cells, fragile morphologies). Trades mixing intensity and OTR for cell integrity.</w:t>
      </w:r>
    </w:p>
    <w:p>
      <w:pPr>
        <w:spacing w:before="120" w:after="40"/>
      </w:pPr>
      <w:r>
        <w:rPr>
          <w:b/>
          <w:sz w:val="22"/>
        </w:rPr>
        <w:t>Risk domains — metric, justification, correlations, thresholds</w:t>
      </w:r>
    </w:p>
    <w:p>
      <w:pPr>
        <w:spacing w:after="60"/>
      </w:pPr>
      <w:r>
        <w:rPr>
          <w:b/>
        </w:rPr>
        <w:t xml:space="preserve">OTR (oxygen transfer). </w:t>
      </w:r>
      <w:r>
        <w:t xml:space="preserve">Metric: kLa ratio = achievable / required, where required = OUR / (C* − C_L). Compares supply against demand at peak metabolic rate. kLa is computed as an </w:t>
      </w:r>
      <w:r>
        <w:rPr>
          <w:i/>
        </w:rPr>
        <w:t>ensemble</w:t>
      </w:r>
      <w:r>
        <w:t xml:space="preserve"> of correlations selected by impeller count and broth rheology — van't Riet (1979), Linek (1987, 2004), Moucha (2003) for multi-impeller, Garcia-Ochoa &amp; Gomez (2004) viscosity-corrected, Zhu (2001) for non-Newtonian broth — using gassed power from Michel-Miller (1962, Rushton/Smith) or Cui (1996, pitched-blade). Driving force C* − C_L follows Henry's law with hydrostatic head correction. Thresholds: 1.5 / 1.0 / 0.7 → low / moderate / high.</w:t>
      </w:r>
    </w:p>
    <w:p>
      <w:pPr>
        <w:spacing w:after="60"/>
      </w:pPr>
      <w:r>
        <w:rPr>
          <w:b/>
        </w:rPr>
        <w:t xml:space="preserve">Mixing. </w:t>
      </w:r>
      <w:r>
        <w:t>Metric: t_O2 / θ_mix, the ratio of how long the dissolved-oxygen reservoir at C_L can sustain the local OUR to how long it takes for the impeller to circulate the vessel. A ratio above 10 means gradients dissipate before they form; below 1 indicates DO-depleted zones with overflow metabolism. θ_mix uses the Ruszkowski (1994) correlation, θ ∝ T² / (ε^(1/3)·d_imp^(4/3)), validated for H/D ∈ [0.8, 1.5]. Thresholds: 10 / 1 / 0.1.</w:t>
      </w:r>
    </w:p>
    <w:p>
      <w:pPr>
        <w:spacing w:after="60"/>
      </w:pPr>
      <w:r>
        <w:rPr>
          <w:b/>
        </w:rPr>
        <w:t xml:space="preserve">Shear. </w:t>
      </w:r>
      <w:r>
        <w:t>Metric: tip speed ratio v_tip / v_threshold. v_tip = π·N·d_imp is the controlling variable for the Kolmogorov microscale at typical industrial energy dissipation, which is set by conditions in the swept zone. Thresholds (per organism): 8 m/s E. coli, 7 m/s B. subtilis, 5 m/s S. cerevisiae, 4 m/s P. pastoris. Score boundaries on the ratio: 0.7 / 1.0 / 1.3.</w:t>
      </w:r>
    </w:p>
    <w:p>
      <w:pPr>
        <w:spacing w:after="60"/>
      </w:pPr>
      <w:r>
        <w:rPr>
          <w:b/>
        </w:rPr>
        <w:t xml:space="preserve">CO₂ accumulation. </w:t>
      </w:r>
      <w:r>
        <w:t>Metric: pCO₂_critical / pCO₂_bottom (worst case is the vessel bottom, where hydrostatic pressure raises partial pressure). pCO₂ comes from a steady-state gas-phase mass balance with stripping rate kLa_CO2 = 0.9·kLa_O2 and Henry's coefficient for CO₂ in water at process temperature. Critical pCO₂ per organism is from Mostafa &amp; Gu (2003) and Doran (2013): 0.10 bar (yeast), 0.15 bar (B. subtilis, P. pastoris), 0.20 bar (E. coli). Thresholds on the margin: 1.5 / 1.0 / 0.75.</w:t>
      </w:r>
    </w:p>
    <w:p>
      <w:pPr>
        <w:spacing w:after="60"/>
      </w:pPr>
      <w:r>
        <w:rPr>
          <w:b/>
        </w:rPr>
        <w:t xml:space="preserve">Heat removal. </w:t>
      </w:r>
      <w:r>
        <w:t>Metric: Q_cool_max / Q_metabolic. Metabolic heat = OUR × 0.46 kJ/mmol O₂. Cooling capacity is computed from the jacketed-vessel heat-transfer chain: broth-side coefficient h_i from Chilton-Drew (Nu = C·Re_imp^(2/3)·Pr^(1/3)); jacket-side h_j from Dittus-Boelter; LMTD from inlet/outlet jacket temperatures; overall U combines both films plus wall conduction and fouling resistances. Thresholds on the margin: 1/0.60 / 1/0.85 / 1/1.0.</w:t>
      </w:r>
    </w:p>
    <w:p>
      <w:pPr>
        <w:spacing w:before="120" w:after="40"/>
      </w:pPr>
      <w:r>
        <w:rPr>
          <w:b/>
          <w:sz w:val="22"/>
        </w:rPr>
        <w:t>Confidence and limits</w:t>
      </w:r>
    </w:p>
    <w:p>
      <w:pPr>
        <w:spacing w:after="60"/>
      </w:pPr>
      <w:r>
        <w:t>Each domain reports a confidence level. When OUR is user-measured rather than estimated from organism kinetics literature, OTR, mixing, and heat upgrade to high-confidence; CO₂ remains directional even with measured OUR because its gas-phase model is a simplified plug-flow approximation. The Ruszkowski mixing correlation is flagged as carrying additional uncertainty for H/D &gt; 1.5. All hardcoded constants and threshold bands are drawn from the development specification and the cited primary literature.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