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E74B5"/>
          <w:sz w:val="20"/>
        </w:rPr>
        <w:t>DOCUMENT DE CADRAGE</w:t>
      </w:r>
    </w:p>
    <w:p>
      <w:pPr>
        <w:spacing w:after="160"/>
        <w:jc w:val="center"/>
      </w:pPr>
      <w:r>
        <w:rPr>
          <w:b/>
          <w:color w:val="0B2545"/>
          <w:sz w:val="56"/>
        </w:rPr>
        <w:t>LotSizingDataModel.Benchmarks - Backlog v2.0</w:t>
      </w:r>
    </w:p>
    <w:p>
      <w:pPr>
        <w:spacing w:after="600"/>
        <w:jc w:val="center"/>
      </w:pPr>
      <w:r>
        <w:rPr>
          <w:color w:val="5A6470"/>
          <w:sz w:val="28"/>
        </w:rPr>
        <w:t>Instances manquantes, extensions du modèle, preuves, provenance et critères d admission</w:t>
      </w:r>
    </w:p>
    <w:p>
      <w:pPr>
        <w:jc w:val="center"/>
      </w:pPr>
      <w:r>
        <w:rPr>
          <w:b/>
          <w:color w:val="0B2545"/>
          <w:sz w:val="22"/>
        </w:rPr>
        <w:t>Finalisation v1.0.0 - 3 septembre 2026</w:t>
      </w:r>
    </w:p>
    <w:p>
      <w:r>
        <w:br w:type="page"/>
      </w:r>
    </w:p>
    <w:p>
      <w:pPr>
        <w:pStyle w:val="Heading1"/>
      </w:pPr>
      <w:r>
        <w:t>1. Point de départ officiellement figé</w:t>
      </w:r>
    </w:p>
    <w:p>
      <w:r>
        <w:t>La version 1.0.0 clôt une première édition scientifique exploitable du corpus sans modifier LotSizingDataModel. Elle contient 7 905 instances canoniques réparties entre sept familles. Les éléments non intégrables avec le modèle courant restent explicitement différés : ils ne sont ni perdus, ni présentés comme admis.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00"/>
            <w:shd w:fill="E8EEF5"/>
            <w:vAlign w:val="center"/>
          </w:tcPr>
          <w:p>
            <w:r>
              <w:rPr>
                <w:b/>
                <w:sz w:val="18"/>
              </w:rPr>
              <w:t>Indicateur</w:t>
            </w:r>
          </w:p>
        </w:tc>
        <w:tc>
          <w:tcPr>
            <w:tcW w:type="dxa" w:w="6660"/>
            <w:shd w:fill="E8EEF5"/>
            <w:vAlign w:val="center"/>
          </w:tcPr>
          <w:p>
            <w:r>
              <w:rPr>
                <w:b/>
                <w:sz w:val="18"/>
              </w:rPr>
              <w:t>Valeur v1.0.0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sz w:val="17"/>
              </w:rPr>
              <w:t>Instances canoniques</w:t>
            </w:r>
          </w:p>
        </w:tc>
        <w:tc>
          <w:tcPr>
            <w:tcW w:type="dxa" w:w="6660"/>
            <w:vAlign w:val="top"/>
          </w:tcPr>
          <w:p>
            <w:pPr>
              <w:spacing w:after="40"/>
            </w:pPr>
            <w:r>
              <w:rPr>
                <w:sz w:val="17"/>
              </w:rPr>
              <w:t>7 905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Familles canoniques</w:t>
            </w:r>
          </w:p>
        </w:tc>
        <w:tc>
          <w:tcPr>
            <w:tcW w:type="dxa" w:w="6660"/>
            <w:vAlign w:val="top"/>
          </w:tcPr>
          <w:p>
            <w:pPr>
              <w:spacing w:after="40"/>
            </w:pPr>
            <w:r>
              <w:rPr>
                <w:sz w:val="17"/>
              </w:rPr>
              <w:t>7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sz w:val="17"/>
              </w:rPr>
              <w:t>Identifiants globaux</w:t>
            </w:r>
          </w:p>
        </w:tc>
        <w:tc>
          <w:tcPr>
            <w:tcW w:type="dxa" w:w="6660"/>
            <w:vAlign w:val="top"/>
          </w:tcPr>
          <w:p>
            <w:pPr>
              <w:spacing w:after="40"/>
            </w:pPr>
            <w:r>
              <w:rPr>
                <w:sz w:val="17"/>
              </w:rPr>
              <w:t>Uniques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sz w:val="17"/>
              </w:rPr>
              <w:t>Doublons exacts / liens de filiation</w:t>
            </w:r>
          </w:p>
        </w:tc>
        <w:tc>
          <w:tcPr>
            <w:tcW w:type="dxa" w:w="6660"/>
            <w:vAlign w:val="top"/>
          </w:tcPr>
          <w:p>
            <w:pPr>
              <w:spacing w:after="40"/>
            </w:pPr>
            <w:r>
              <w:rPr>
                <w:sz w:val="17"/>
              </w:rPr>
              <w:t>0 / 0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sz w:val="17"/>
              </w:rPr>
              <w:t>Challenges actionnables</w:t>
            </w:r>
          </w:p>
        </w:tc>
        <w:tc>
          <w:tcPr>
            <w:tcW w:type="dxa" w:w="6660"/>
            <w:vAlign w:val="top"/>
          </w:tcPr>
          <w:p>
            <w:pPr>
              <w:spacing w:after="40"/>
            </w:pPr>
            <w:r>
              <w:rPr>
                <w:sz w:val="17"/>
              </w:rPr>
              <w:t>125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sz w:val="17"/>
              </w:rPr>
              <w:t>MULTILSB</w:t>
            </w:r>
          </w:p>
        </w:tc>
        <w:tc>
          <w:tcPr>
            <w:tcW w:type="dxa" w:w="6660"/>
            <w:vAlign w:val="top"/>
          </w:tcPr>
          <w:p>
            <w:pPr>
              <w:spacing w:after="40"/>
            </w:pPr>
            <w:r>
              <w:rPr>
                <w:sz w:val="17"/>
              </w:rPr>
              <w:t>120 normalisées, admission canonique différée</w:t>
            </w:r>
          </w:p>
        </w:tc>
      </w:tr>
      <w:tr>
        <w:tc>
          <w:tcPr>
            <w:tcW w:type="dxa" w:w="2700"/>
            <w:vAlign w:val="top"/>
          </w:tcPr>
          <w:p>
            <w:pPr>
              <w:spacing w:after="40"/>
            </w:pPr>
            <w:r>
              <w:rPr>
                <w:sz w:val="17"/>
              </w:rPr>
              <w:t>LotSizingDataModel</w:t>
            </w:r>
          </w:p>
        </w:tc>
        <w:tc>
          <w:tcPr>
            <w:tcW w:type="dxa" w:w="6660"/>
            <w:vAlign w:val="top"/>
          </w:tcPr>
          <w:p>
            <w:pPr>
              <w:spacing w:after="40"/>
            </w:pPr>
            <w:r>
              <w:rPr>
                <w:sz w:val="17"/>
              </w:rPr>
              <w:t>Aucune modification</w:t>
            </w:r>
          </w:p>
        </w:tc>
      </w:tr>
    </w:tbl>
    <w:p>
      <w:pPr>
        <w:pStyle w:val="Heading1"/>
      </w:pPr>
      <w:r>
        <w:t>2. Principes de gouvernance de la v2.0</w:t>
      </w:r>
    </w:p>
    <w:p>
      <w:pPr>
        <w:pStyle w:val="ListBullet"/>
        <w:spacing w:after="80"/>
      </w:pPr>
      <w:r>
        <w:t>Aucune extension du modèle ne doit être ajoutée sans spécification, exemples minimaux, compatibilité descendante et tests de round-trip.</w:t>
      </w:r>
    </w:p>
    <w:p>
      <w:pPr>
        <w:pStyle w:val="ListBullet"/>
        <w:spacing w:after="80"/>
      </w:pPr>
      <w:r>
        <w:t>Aucune promotion de confiance ne doit être déduite d une valeur objective seule : une solution complète, un contrôle et, pour l optimalité, une preuve sont requis.</w:t>
      </w:r>
    </w:p>
    <w:p>
      <w:pPr>
        <w:pStyle w:val="ListBullet"/>
        <w:spacing w:after="80"/>
      </w:pPr>
      <w:r>
        <w:t>Chaque source doit conserver son format original, son empreinte, sa provenance, ses droits connus et la justification de toute transformation.</w:t>
      </w:r>
    </w:p>
    <w:p>
      <w:pPr>
        <w:pStyle w:val="ListBullet"/>
        <w:spacing w:after="80"/>
      </w:pPr>
      <w:r>
        <w:t>Une famille homonyme, un miroir ou une réédition ne constitue pas automatiquement une nouvelle famille canonique.</w:t>
      </w:r>
    </w:p>
    <w:p>
      <w:pPr>
        <w:pStyle w:val="Heading1"/>
      </w:pPr>
      <w:r>
        <w:t>3. Extension candidate du modèle : setups de famille de production</w:t>
      </w:r>
    </w:p>
    <w:p>
      <w:r>
        <w:t>MULTILSB révèle un besoin non représenté : un setup partagé par une famille de produits au cours d une période. La v1 n autorise aucune modification implicite. La v2 devra traiter ce point comme une proposition d architecture, pas comme une décision acquise.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r>
              <w:rPr>
                <w:b/>
                <w:sz w:val="18"/>
              </w:rPr>
              <w:t>Étape</w:t>
            </w:r>
          </w:p>
        </w:tc>
        <w:tc>
          <w:tcPr>
            <w:tcW w:type="dxa" w:w="7560"/>
            <w:shd w:fill="E8EEF5"/>
            <w:vAlign w:val="center"/>
          </w:tcPr>
          <w:p>
            <w:r>
              <w:rPr>
                <w:b/>
                <w:sz w:val="18"/>
              </w:rPr>
              <w:t>Exigence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Spécification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sz w:val="17"/>
              </w:rPr>
              <w:t>Définir exactement famille, activation, coûts, temps, capacité et interaction avec les setups article.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Conception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sz w:val="17"/>
              </w:rPr>
              <w:t>Comparer une entité SharedProductionSetup, une relation de groupe et une formulation générique.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Compatibilité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sz w:val="17"/>
              </w:rPr>
              <w:t>Garantir que tous les XML v1 restent valides et sémantiquement inchangés.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Validation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sz w:val="17"/>
              </w:rPr>
              <w:t>Round-trip 120/120, tests négatifs, checker et comparaison aux sources MULTILSB.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sz w:val="17"/>
              </w:rPr>
              <w:t>Décision</w:t>
            </w:r>
          </w:p>
        </w:tc>
        <w:tc>
          <w:tcPr>
            <w:tcW w:type="dxa" w:w="7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Soumettre la proposition avant toute modification de LotSizingDataModel.</w:t>
            </w:r>
          </w:p>
        </w:tc>
      </w:tr>
    </w:tbl>
    <w:p>
      <w:pPr>
        <w:pStyle w:val="Heading1"/>
      </w:pPr>
      <w:r>
        <w:t>4. Portefeuille différé complet</w:t>
      </w:r>
    </w:p>
    <w:p>
      <w:r>
        <w:t>Les 27 chantiers ci-dessous proviennent du catalogue de clôture v0.40.0 et constituent le registre de travail initial de la v2.0.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50"/>
            <w:shd w:fill="E8EEF5"/>
            <w:vAlign w:val="center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050"/>
            <w:shd w:fill="E8EEF5"/>
            <w:vAlign w:val="center"/>
          </w:tcPr>
          <w:p>
            <w:r>
              <w:rPr>
                <w:b/>
                <w:sz w:val="18"/>
              </w:rPr>
              <w:t>Périmètre</w:t>
            </w:r>
          </w:p>
        </w:tc>
        <w:tc>
          <w:tcPr>
            <w:tcW w:type="dxa" w:w="4560"/>
            <w:shd w:fill="E8EEF5"/>
            <w:vAlign w:val="center"/>
          </w:tcPr>
          <w:p>
            <w:r>
              <w:rPr>
                <w:b/>
                <w:sz w:val="18"/>
              </w:rPr>
              <w:t>Blocage principal</w:t>
            </w:r>
          </w:p>
        </w:tc>
        <w:tc>
          <w:tcPr>
            <w:tcW w:type="dxa" w:w="1500"/>
            <w:shd w:fill="E8EEF5"/>
            <w:vAlign w:val="center"/>
          </w:tcPr>
          <w:p>
            <w:r>
              <w:rPr>
                <w:b/>
                <w:sz w:val="18"/>
              </w:rPr>
              <w:t>Priorité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ABF2001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AG1986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AGK1984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BELVAUXWOLSEY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CHES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CLARKARMENTANO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CLSPPM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DIABY1992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DIABYMARTEL1993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DS1981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FLEISCHMANN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FLEISCHMANNMEYR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HAASE1996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HAASEKIMMS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KIMMS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MAESVW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MIPLIB_LOTSIZE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EXACT_LINEAGE_AND_FORMAT_AUDIT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MULTILSB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SHARED_PRODUCTION_FAMILY_SETUP_MODEL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PHARMA2023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SEANNER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STOCHTIMING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TB2009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WILLEMS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WW1958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SOURCE_ACQUISITION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CATTRYSSE1990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120 complete solutions unavailable or unchecked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TRIGEIRO1989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5 lower-bound references require primary-source reconciliation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250"/>
            <w:vAlign w:val="top"/>
          </w:tcPr>
          <w:p>
            <w:pPr>
              <w:spacing w:after="4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2050"/>
            <w:vAlign w:val="top"/>
          </w:tcPr>
          <w:p>
            <w:pPr>
              <w:spacing w:after="40"/>
            </w:pPr>
            <w:r>
              <w:rPr>
                <w:sz w:val="17"/>
              </w:rPr>
              <w:t>DJ2000</w:t>
            </w:r>
          </w:p>
        </w:tc>
        <w:tc>
          <w:tcPr>
            <w:tcW w:type="dxa" w:w="4560"/>
            <w:vAlign w:val="top"/>
          </w:tcPr>
          <w:p>
            <w:pPr>
              <w:spacing w:after="40"/>
            </w:pPr>
            <w:r>
              <w:rPr>
                <w:sz w:val="17"/>
              </w:rPr>
              <w:t>96 feasible Checker-verified solutions lack optimality proof; 40 claims quarantined</w:t>
            </w:r>
          </w:p>
        </w:tc>
        <w:tc>
          <w:tcPr>
            <w:tcW w:type="dxa" w:w="1500"/>
            <w:vAlign w:val="top"/>
          </w:tcPr>
          <w:p>
            <w:pPr>
              <w:spacing w:after="40"/>
            </w:pPr>
            <w:r>
              <w:rPr>
                <w:sz w:val="17"/>
              </w:rPr>
              <w:t>MEDIUM</w:t>
            </w:r>
          </w:p>
        </w:tc>
      </w:tr>
    </w:tbl>
    <w:p>
      <w:pPr>
        <w:pStyle w:val="Heading1"/>
      </w:pPr>
      <w:r>
        <w:t>5. Chantiers de preuve et de confiance</w:t>
      </w:r>
    </w:p>
    <w:p>
      <w:pPr>
        <w:pStyle w:val="ListBullet"/>
        <w:spacing w:after="80"/>
      </w:pPr>
      <w:r>
        <w:t>CATTRYSSE1990 : acquérir 120 solutions complètes puis les valider avec le checker.</w:t>
      </w:r>
    </w:p>
    <w:p>
      <w:pPr>
        <w:pStyle w:val="ListBullet"/>
        <w:spacing w:after="80"/>
      </w:pPr>
      <w:r>
        <w:t>TRIGEIRO1989 : réconcilier cinq références de bornes inférieures avec les sources primaires.</w:t>
      </w:r>
    </w:p>
    <w:p>
      <w:pPr>
        <w:pStyle w:val="ListBullet"/>
        <w:spacing w:after="80"/>
      </w:pPr>
      <w:r>
        <w:t>DJ2000 : conserver les 96 faisabilités vérifiées, résoudre les 40 affirmations en quarantaine et rechercher des preuves d optimalité.</w:t>
      </w:r>
    </w:p>
    <w:p>
      <w:pPr>
        <w:pStyle w:val="ListBullet"/>
        <w:spacing w:after="80"/>
      </w:pPr>
      <w:r>
        <w:t>Toutes familles : documenter explicitement les licences ou autorisations avant diffusion publique des données.</w:t>
      </w:r>
    </w:p>
    <w:p>
      <w:pPr>
        <w:pStyle w:val="Heading1"/>
      </w:pPr>
      <w:r>
        <w:t>6. Critères de sortie v2.0</w:t>
      </w:r>
    </w:p>
    <w:p>
      <w:pPr>
        <w:pStyle w:val="ListBullet"/>
        <w:spacing w:after="80"/>
      </w:pPr>
      <w:r>
        <w:t>Migration sans régression des 7 905 instances v1.</w:t>
      </w:r>
    </w:p>
    <w:p>
      <w:pPr>
        <w:pStyle w:val="ListBullet"/>
        <w:spacing w:after="80"/>
      </w:pPr>
      <w:r>
        <w:t>Admission MULTILSB seulement après extension approuvée et validation 120/120.</w:t>
      </w:r>
    </w:p>
    <w:p>
      <w:pPr>
        <w:pStyle w:val="ListBullet"/>
        <w:spacing w:after="80"/>
      </w:pPr>
      <w:r>
        <w:t>Registre global, empreintes et identifiants uniques revalidés.</w:t>
      </w:r>
    </w:p>
    <w:p>
      <w:pPr>
        <w:pStyle w:val="ListBullet"/>
        <w:spacing w:after="80"/>
      </w:pPr>
      <w:r>
        <w:t>Taxonomie de confiance inchangée ou évolution versionnée et traçable.</w:t>
      </w:r>
    </w:p>
    <w:p>
      <w:pPr>
        <w:pStyle w:val="ListBullet"/>
        <w:spacing w:after="80"/>
      </w:pPr>
      <w:r>
        <w:t>Droits et provenance documentés famille par famille.</w:t>
      </w:r>
    </w:p>
    <w:p>
      <w:pPr>
        <w:pStyle w:val="ListBullet"/>
        <w:spacing w:after="80"/>
      </w:pPr>
      <w:r>
        <w:t>Chaque famille différée classée : admise, rejetée avec justification, ou maintenue ouverte avec action suivante.</w:t>
      </w:r>
    </w:p>
    <w:p>
      <w:pPr>
        <w:pStyle w:val="Heading1"/>
      </w:pPr>
      <w:r>
        <w:t>7. Ordre d exécution recommandé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00"/>
            <w:shd w:fill="E8EEF5"/>
            <w:vAlign w:val="center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4300"/>
            <w:shd w:fill="E8EEF5"/>
            <w:vAlign w:val="center"/>
          </w:tcPr>
          <w:p>
            <w:r>
              <w:rPr>
                <w:b/>
                <w:sz w:val="18"/>
              </w:rPr>
              <w:t>Objectif</w:t>
            </w:r>
          </w:p>
        </w:tc>
        <w:tc>
          <w:tcPr>
            <w:tcW w:type="dxa" w:w="3760"/>
            <w:shd w:fill="E8EEF5"/>
            <w:vAlign w:val="center"/>
          </w:tcPr>
          <w:p>
            <w:r>
              <w:rPr>
                <w:b/>
                <w:sz w:val="18"/>
              </w:rPr>
              <w:t>Sortie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sz w:val="17"/>
              </w:rPr>
              <w:t>V2-A</w:t>
            </w:r>
          </w:p>
        </w:tc>
        <w:tc>
          <w:tcPr>
            <w:tcW w:type="dxa" w:w="4300"/>
            <w:vAlign w:val="top"/>
          </w:tcPr>
          <w:p>
            <w:pPr>
              <w:spacing w:after="40"/>
            </w:pPr>
            <w:r>
              <w:rPr>
                <w:sz w:val="17"/>
              </w:rPr>
              <w:t>Spécification et décision sur les setups partagés</w:t>
            </w:r>
          </w:p>
        </w:tc>
        <w:tc>
          <w:tcPr>
            <w:tcW w:type="dxa" w:w="3760"/>
            <w:vAlign w:val="top"/>
          </w:tcPr>
          <w:p>
            <w:pPr>
              <w:spacing w:after="40"/>
            </w:pPr>
            <w:r>
              <w:rPr>
                <w:sz w:val="17"/>
              </w:rPr>
              <w:t>ADR + schéma + tests de compatibilité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sz w:val="17"/>
              </w:rPr>
              <w:t>V2-B</w:t>
            </w:r>
          </w:p>
        </w:tc>
        <w:tc>
          <w:tcPr>
            <w:tcW w:type="dxa" w:w="4300"/>
            <w:vAlign w:val="top"/>
          </w:tcPr>
          <w:p>
            <w:pPr>
              <w:spacing w:after="40"/>
            </w:pPr>
            <w:r>
              <w:rPr>
                <w:sz w:val="17"/>
              </w:rPr>
              <w:t>Admission MULTILSB et audit MIPLIB</w:t>
            </w:r>
          </w:p>
        </w:tc>
        <w:tc>
          <w:tcPr>
            <w:tcW w:type="dxa" w:w="3760"/>
            <w:vAlign w:val="top"/>
          </w:tcPr>
          <w:p>
            <w:pPr>
              <w:spacing w:after="40"/>
            </w:pPr>
            <w:r>
              <w:rPr>
                <w:sz w:val="17"/>
              </w:rPr>
              <w:t>120 instances ou rapport de rejet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sz w:val="17"/>
              </w:rPr>
              <w:t>V2-C</w:t>
            </w:r>
          </w:p>
        </w:tc>
        <w:tc>
          <w:tcPr>
            <w:tcW w:type="dxa" w:w="4300"/>
            <w:vAlign w:val="top"/>
          </w:tcPr>
          <w:p>
            <w:pPr>
              <w:spacing w:after="40"/>
            </w:pPr>
            <w:r>
              <w:rPr>
                <w:sz w:val="17"/>
              </w:rPr>
              <w:t>Acquisition des familles historiques</w:t>
            </w:r>
          </w:p>
        </w:tc>
        <w:tc>
          <w:tcPr>
            <w:tcW w:type="dxa" w:w="3760"/>
            <w:vAlign w:val="top"/>
          </w:tcPr>
          <w:p>
            <w:pPr>
              <w:spacing w:after="40"/>
            </w:pPr>
            <w:r>
              <w:rPr>
                <w:sz w:val="17"/>
              </w:rPr>
              <w:t>Sources, droits, conversions et lineage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sz w:val="17"/>
              </w:rPr>
              <w:t>V2-D</w:t>
            </w:r>
          </w:p>
        </w:tc>
        <w:tc>
          <w:tcPr>
            <w:tcW w:type="dxa" w:w="4300"/>
            <w:vAlign w:val="top"/>
          </w:tcPr>
          <w:p>
            <w:pPr>
              <w:spacing w:after="40"/>
            </w:pPr>
            <w:r>
              <w:rPr>
                <w:sz w:val="17"/>
              </w:rPr>
              <w:t>Campagne de preuves</w:t>
            </w:r>
          </w:p>
        </w:tc>
        <w:tc>
          <w:tcPr>
            <w:tcW w:type="dxa" w:w="3760"/>
            <w:vAlign w:val="top"/>
          </w:tcPr>
          <w:p>
            <w:pPr>
              <w:spacing w:after="40"/>
            </w:pPr>
            <w:r>
              <w:rPr>
                <w:sz w:val="17"/>
              </w:rPr>
              <w:t>Solutions, checker, bornes et certificats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40"/>
            </w:pPr>
            <w:r>
              <w:rPr>
                <w:sz w:val="17"/>
              </w:rPr>
              <w:t>V2-E</w:t>
            </w:r>
          </w:p>
        </w:tc>
        <w:tc>
          <w:tcPr>
            <w:tcW w:type="dxa" w:w="4300"/>
            <w:vAlign w:val="top"/>
          </w:tcPr>
          <w:p>
            <w:pPr>
              <w:spacing w:after="40"/>
            </w:pPr>
            <w:r>
              <w:rPr>
                <w:sz w:val="17"/>
              </w:rPr>
              <w:t>Publication</w:t>
            </w:r>
          </w:p>
        </w:tc>
        <w:tc>
          <w:tcPr>
            <w:tcW w:type="dxa" w:w="3760"/>
            <w:vAlign w:val="top"/>
          </w:tcPr>
          <w:p>
            <w:pPr>
              <w:spacing w:after="40"/>
            </w:pPr>
            <w:r>
              <w:rPr>
                <w:sz w:val="17"/>
              </w:rPr>
              <w:t>Registre v2, archive reproductible et documentation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70"/>
        <w:sz w:val="16"/>
      </w:rPr>
      <w:t>LotSizingDataModel.Benchmarks | v1.0.0 | 3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A6470"/>
        <w:sz w:val="18"/>
      </w:rPr>
      <w:t>Programme v2.0 - backlog scientifique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