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LotSizingDataModel.Benchmarks</w:t>
        <w:br/>
      </w:r>
      <w:r>
        <w:rPr>
          <w:color w:val="4472C4"/>
          <w:sz w:val="32"/>
        </w:rPr>
        <w:t>Roadmap scientifique, technique et éditoriale</w:t>
      </w:r>
    </w:p>
    <w:p>
      <w:pPr>
        <w:jc w:val="center"/>
      </w:pPr>
      <w:r>
        <w:rPr>
          <w:b/>
        </w:rPr>
        <w:t>Référentiel vivant, traçable et vérifié des benchmarks de lot-sizing</w:t>
      </w:r>
    </w:p>
    <w:p>
      <w:pPr>
        <w:jc w:val="center"/>
      </w:pPr>
      <w:r>
        <w:t>Mise a jour apres validation v0.17.0 - septembre 2026</w:t>
      </w:r>
    </w:p>
    <w:p>
      <w:pPr>
        <w:pStyle w:val="Heading1"/>
        <w:keepNext/>
      </w:pPr>
      <w:r>
        <w:t>1. Vision et objectif</w:t>
      </w:r>
    </w:p>
    <w:p>
      <w:r>
        <w:t>Construire une bibliothèque scientifique de référence pour les problèmes de lot-sizing, fondée sur LotSizingDataModel. Le dépôt doit réunir les instances originales ou redistribuables, leurs conversions XML, les meilleures valeurs objectives connues, les solutions complètes lorsqu’elles existent, l’historique des améliorations et une validation indépendante.</w:t>
      </w:r>
    </w:p>
    <w:p>
      <w:r>
        <w:t>La valeur ajoutée centrale n’est pas la simple collecte de fichiers : chaque résultat est associé à une provenance, un niveau de confiance et, lorsqu’une solution complète est disponible, une vérification par LotSizingDataModel.Checker. Les valeurs fausses, contestées ou historiquement remplacées restent documentées mais ne peuvent pas polluer la BKV courante.</w:t>
      </w:r>
    </w:p>
    <w:p>
      <w:pPr>
        <w:pStyle w:val="Heading1"/>
        <w:keepNext/>
      </w:pPr>
      <w:r>
        <w:t>2. Principes non négociables</w:t>
      </w:r>
    </w:p>
    <w:p>
      <w:pPr>
        <w:pStyle w:val="ListBullet"/>
      </w:pPr>
      <w:r>
        <w:t>Séparer strictement l’instance pure, l’instance enrichie avec références et la solution complète.</w:t>
      </w:r>
    </w:p>
    <w:p>
      <w:pPr>
        <w:pStyle w:val="ListBullet"/>
      </w:pPr>
      <w:r>
        <w:t>Ne jamais appeler « optimal » un résultat sans preuve suffisante.</w:t>
      </w:r>
    </w:p>
    <w:p>
      <w:pPr>
        <w:pStyle w:val="ListBullet"/>
      </w:pPr>
      <w:r>
        <w:t>Ne jamais appeler « verified » une valeur seule sans solution complète vérifiable.</w:t>
      </w:r>
    </w:p>
    <w:p>
      <w:pPr>
        <w:pStyle w:val="ListBullet"/>
      </w:pPr>
      <w:r>
        <w:t>Conserver l’historique : une ancienne BKV n’est jamais écrasée ni supprimée.</w:t>
      </w:r>
    </w:p>
    <w:p>
      <w:pPr>
        <w:pStyle w:val="ListBullet"/>
      </w:pPr>
      <w:r>
        <w:t>Quarantainer les résultats rejetés par le Checker avec preuve du rejet.</w:t>
      </w:r>
    </w:p>
    <w:p>
      <w:pPr>
        <w:pStyle w:val="ListBullet"/>
      </w:pPr>
      <w:r>
        <w:t>Préserver l’identité et la généalogie des benchmarks originaux, transformés, dérivés et reconstruits.</w:t>
      </w:r>
    </w:p>
    <w:p>
      <w:pPr>
        <w:pStyle w:val="ListBullet"/>
      </w:pPr>
      <w:r>
        <w:t>Ne jamais inventer une instance, un paramètre ou une valeur objective manquante.</w:t>
      </w:r>
    </w:p>
    <w:p>
      <w:pPr>
        <w:pStyle w:val="ListBullet"/>
      </w:pPr>
      <w:r>
        <w:t>Utiliser la notation normalisée LSDM et le vrai contrat XML de LotSizingDataModel.</w:t>
      </w:r>
    </w:p>
    <w:p>
      <w:pPr>
        <w:pStyle w:val="Heading1"/>
        <w:keepNext/>
      </w:pPr>
      <w:r>
        <w:t>3. Architecture cible du dépôt GitHub</w:t>
      </w:r>
    </w:p>
    <w:p>
      <w:pPr>
        <w:spacing w:before="0" w:after="0" w:line="216" w:lineRule="auto"/>
      </w:pPr>
      <w:r>
        <w:rPr>
          <w:sz w:val="15"/>
        </w:rPr>
        <w:t>LotSizingDataModel.Benchmarks/</w:t>
        <w:br/>
        <w:t xml:space="preserve">  benchmarks/&lt;FAMILY&gt;/</w:t>
        <w:br/>
        <w:t xml:space="preserve">    raw/</w:t>
        <w:br/>
        <w:t xml:space="preserve">    Phase*/ ou sous-classes historiques/</w:t>
        <w:br/>
        <w:t xml:space="preserve">      instances/</w:t>
        <w:br/>
        <w:t xml:space="preserve">      instances-with-reference/</w:t>
        <w:br/>
        <w:t xml:space="preserve">      solutions/</w:t>
        <w:br/>
        <w:t xml:space="preserve">      metadata/</w:t>
        <w:br/>
        <w:t xml:space="preserve">    literature/</w:t>
        <w:br/>
        <w:t xml:space="preserve">    checker-reports/</w:t>
        <w:br/>
        <w:t xml:space="preserve">    candidate-solutions/</w:t>
        <w:br/>
        <w:t xml:space="preserve">    result-history/</w:t>
        <w:br/>
        <w:t xml:space="preserve">    known-bad-results/</w:t>
        <w:br/>
        <w:t xml:space="preserve">  catalog/</w:t>
        <w:br/>
        <w:t xml:space="preserve">  generators/</w:t>
        <w:br/>
        <w:t xml:space="preserve">  documentation/</w:t>
        <w:br/>
        <w:t xml:space="preserve">  schemas/</w:t>
        <w:br/>
        <w:t xml:space="preserve">  tools/</w:t>
        <w:br/>
        <w:t xml:space="preserve">  reports/</w:t>
        <w:br/>
        <w:t xml:space="preserve">  .github/workflows/</w:t>
      </w:r>
    </w:p>
    <w:p>
      <w:pPr>
        <w:pStyle w:val="Heading1"/>
        <w:keepNext/>
        <w:pageBreakBefore/>
      </w:pPr>
      <w:r>
        <w:t>4. Modèle de confiance des résultats</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Statut normalise v0.17.0</w:t>
            </w:r>
          </w:p>
        </w:tc>
        <w:tc>
          <w:tcPr>
            <w:tcW w:type="dxa" w:w="3362"/>
            <w:shd w:fill="1F4E78"/>
            <w:vAlign w:val="center"/>
          </w:tcPr>
          <w:p>
            <w:r>
              <w:rPr>
                <w:b/>
                <w:color w:val="FFFFFF"/>
              </w:rPr>
              <w:t>Signification prudente</w:t>
            </w:r>
          </w:p>
        </w:tc>
        <w:tc>
          <w:tcPr>
            <w:tcW w:type="dxa" w:w="3362"/>
            <w:shd w:fill="1F4E78"/>
            <w:vAlign w:val="center"/>
          </w:tcPr>
          <w:p>
            <w:r>
              <w:rPr>
                <w:b/>
                <w:color w:val="FFFFFF"/>
              </w:rPr>
              <w:t>Promotion exigee</w:t>
            </w:r>
          </w:p>
        </w:tc>
      </w:tr>
      <w:tr>
        <w:tc>
          <w:tcPr>
            <w:tcW w:type="dxa" w:w="3362"/>
            <w:vAlign w:val="top"/>
          </w:tcPr>
          <w:p>
            <w:r>
              <w:rPr>
                <w:sz w:val="18"/>
              </w:rPr>
              <w:t>NO_REFERENCE_KNOWN</w:t>
            </w:r>
          </w:p>
        </w:tc>
        <w:tc>
          <w:tcPr>
            <w:tcW w:type="dxa" w:w="3362"/>
            <w:vAlign w:val="top"/>
          </w:tcPr>
          <w:p>
            <w:r>
              <w:rPr>
                <w:sz w:val="18"/>
              </w:rPr>
              <w:t>Aucune reference exploitable n'est actuellement enregistree.</w:t>
            </w:r>
          </w:p>
        </w:tc>
        <w:tc>
          <w:tcPr>
            <w:tcW w:type="dxa" w:w="3362"/>
            <w:vAlign w:val="top"/>
          </w:tcPr>
          <w:p>
            <w:r>
              <w:rPr>
                <w:sz w:val="18"/>
              </w:rPr>
              <w:t>Reference primaire traceable, borne ou solution complete.</w:t>
            </w:r>
          </w:p>
        </w:tc>
      </w:tr>
      <w:tr>
        <w:tc>
          <w:tcPr>
            <w:tcW w:type="dxa" w:w="3362"/>
            <w:vAlign w:val="top"/>
          </w:tcPr>
          <w:p>
            <w:r>
              <w:rPr>
                <w:sz w:val="18"/>
              </w:rPr>
              <w:t>LITERATURE_REFERENCE_UNVERIFIED</w:t>
            </w:r>
          </w:p>
        </w:tc>
        <w:tc>
          <w:tcPr>
            <w:tcW w:type="dxa" w:w="3362"/>
            <w:vAlign w:val="top"/>
          </w:tcPr>
          <w:p>
            <w:r>
              <w:rPr>
                <w:sz w:val="18"/>
              </w:rPr>
              <w:t>Valeur de litterature presente mais interpretation ou provenance non reconciliee.</w:t>
            </w:r>
          </w:p>
        </w:tc>
        <w:tc>
          <w:tcPr>
            <w:tcW w:type="dxa" w:w="3362"/>
            <w:vAlign w:val="top"/>
          </w:tcPr>
          <w:p>
            <w:r>
              <w:rPr>
                <w:sz w:val="18"/>
              </w:rPr>
              <w:t>Reconciliation avec la source primaire.</w:t>
            </w:r>
          </w:p>
        </w:tc>
      </w:tr>
      <w:tr>
        <w:tc>
          <w:tcPr>
            <w:tcW w:type="dxa" w:w="3362"/>
            <w:vAlign w:val="top"/>
          </w:tcPr>
          <w:p>
            <w:r>
              <w:rPr>
                <w:sz w:val="18"/>
              </w:rPr>
              <w:t>LITERATURE_BEST_REPORTED</w:t>
            </w:r>
          </w:p>
        </w:tc>
        <w:tc>
          <w:tcPr>
            <w:tcW w:type="dxa" w:w="3362"/>
            <w:vAlign w:val="top"/>
          </w:tcPr>
          <w:p>
            <w:r>
              <w:rPr>
                <w:sz w:val="18"/>
              </w:rPr>
              <w:t>Meilleure valeur rapportee, sans solution complete verifiee.</w:t>
            </w:r>
          </w:p>
        </w:tc>
        <w:tc>
          <w:tcPr>
            <w:tcW w:type="dxa" w:w="3362"/>
            <w:vAlign w:val="top"/>
          </w:tcPr>
          <w:p>
            <w:r>
              <w:rPr>
                <w:sz w:val="18"/>
              </w:rPr>
              <w:t>Acquisition de la solution puis controle par le Checker.</w:t>
            </w:r>
          </w:p>
        </w:tc>
      </w:tr>
      <w:tr>
        <w:tc>
          <w:tcPr>
            <w:tcW w:type="dxa" w:w="3362"/>
            <w:vAlign w:val="top"/>
          </w:tcPr>
          <w:p>
            <w:r>
              <w:rPr>
                <w:sz w:val="18"/>
              </w:rPr>
              <w:t>REFERENCE_WITH_LOWER_BOUND</w:t>
            </w:r>
          </w:p>
        </w:tc>
        <w:tc>
          <w:tcPr>
            <w:tcW w:type="dxa" w:w="3362"/>
            <w:vAlign w:val="top"/>
          </w:tcPr>
          <w:p>
            <w:r>
              <w:rPr>
                <w:sz w:val="18"/>
              </w:rPr>
              <w:t>Borne inferieure enregistree, sans preuve independamment verifiee.</w:t>
            </w:r>
          </w:p>
        </w:tc>
        <w:tc>
          <w:tcPr>
            <w:tcW w:type="dxa" w:w="3362"/>
            <w:vAlign w:val="top"/>
          </w:tcPr>
          <w:p>
            <w:r>
              <w:rPr>
                <w:sz w:val="18"/>
              </w:rPr>
              <w:t>Validation de provenance et de semantique de la borne.</w:t>
            </w:r>
          </w:p>
        </w:tc>
      </w:tr>
      <w:tr>
        <w:tc>
          <w:tcPr>
            <w:tcW w:type="dxa" w:w="3362"/>
            <w:vAlign w:val="top"/>
          </w:tcPr>
          <w:p>
            <w:r>
              <w:rPr>
                <w:sz w:val="18"/>
              </w:rPr>
              <w:t>COMPLETE_SOLUTION_UNCHECKED</w:t>
            </w:r>
          </w:p>
        </w:tc>
        <w:tc>
          <w:tcPr>
            <w:tcW w:type="dxa" w:w="3362"/>
            <w:vAlign w:val="top"/>
          </w:tcPr>
          <w:p>
            <w:r>
              <w:rPr>
                <w:sz w:val="18"/>
              </w:rPr>
              <w:t>Solution complete disponible mais non controlee.</w:t>
            </w:r>
          </w:p>
        </w:tc>
        <w:tc>
          <w:tcPr>
            <w:tcW w:type="dxa" w:w="3362"/>
            <w:vAlign w:val="top"/>
          </w:tcPr>
          <w:p>
            <w:r>
              <w:rPr>
                <w:sz w:val="18"/>
              </w:rPr>
              <w:t>Execution reussie du Checker canonique.</w:t>
            </w:r>
          </w:p>
        </w:tc>
      </w:tr>
      <w:tr>
        <w:tc>
          <w:tcPr>
            <w:tcW w:type="dxa" w:w="3362"/>
            <w:vAlign w:val="top"/>
          </w:tcPr>
          <w:p>
            <w:r>
              <w:rPr>
                <w:sz w:val="18"/>
              </w:rPr>
              <w:t>CHECKER_VERIFIED_FEASIBLE</w:t>
            </w:r>
          </w:p>
        </w:tc>
        <w:tc>
          <w:tcPr>
            <w:tcW w:type="dxa" w:w="3362"/>
            <w:vAlign w:val="top"/>
          </w:tcPr>
          <w:p>
            <w:r>
              <w:rPr>
                <w:sz w:val="18"/>
              </w:rPr>
              <w:t>Solution complete faisable et objectif recalcule.</w:t>
            </w:r>
          </w:p>
        </w:tc>
        <w:tc>
          <w:tcPr>
            <w:tcW w:type="dxa" w:w="3362"/>
            <w:vAlign w:val="top"/>
          </w:tcPr>
          <w:p>
            <w:r>
              <w:rPr>
                <w:sz w:val="18"/>
              </w:rPr>
              <w:t>Borne correspondante ou preuve d'optimalite verifiable.</w:t>
            </w:r>
          </w:p>
        </w:tc>
      </w:tr>
      <w:tr>
        <w:tc>
          <w:tcPr>
            <w:tcW w:type="dxa" w:w="3362"/>
            <w:vAlign w:val="top"/>
          </w:tcPr>
          <w:p>
            <w:r>
              <w:rPr>
                <w:sz w:val="18"/>
              </w:rPr>
              <w:t>VERIFIED_PROVEN_OPTIMAL</w:t>
            </w:r>
          </w:p>
        </w:tc>
        <w:tc>
          <w:tcPr>
            <w:tcW w:type="dxa" w:w="3362"/>
            <w:vAlign w:val="top"/>
          </w:tcPr>
          <w:p>
            <w:r>
              <w:rPr>
                <w:sz w:val="18"/>
              </w:rPr>
              <w:t>Faisabilite et optimalite appuyees par des preuves verifiables.</w:t>
            </w:r>
          </w:p>
        </w:tc>
        <w:tc>
          <w:tcPr>
            <w:tcW w:type="dxa" w:w="3362"/>
            <w:vAlign w:val="top"/>
          </w:tcPr>
          <w:p>
            <w:r>
              <w:rPr>
                <w:sz w:val="18"/>
              </w:rPr>
              <w:t>Niveau maximal; aucune promotion supplementaire.</w:t>
            </w:r>
          </w:p>
        </w:tc>
      </w:tr>
    </w:tbl>
    <w:p>
      <w:pPr>
        <w:pStyle w:val="Heading1"/>
        <w:keepNext/>
      </w:pPr>
      <w:r>
        <w:t>5. Pipeline scientifique standard</w:t>
      </w:r>
    </w:p>
    <w:p>
      <w:r>
        <w:rPr>
          <w:b/>
        </w:rPr>
        <w:t xml:space="preserve">Acquisition: </w:t>
      </w:r>
      <w:r>
        <w:t>Source originale, checksum, licence et référence.</w:t>
      </w:r>
    </w:p>
    <w:p>
      <w:r>
        <w:rPr>
          <w:b/>
        </w:rPr>
        <w:t xml:space="preserve">Conversion: </w:t>
      </w:r>
      <w:r>
        <w:t>Importeur spécifique vers LotSizingInstance et XML LSDM.</w:t>
      </w:r>
    </w:p>
    <w:p>
      <w:r>
        <w:rPr>
          <w:b/>
        </w:rPr>
        <w:t xml:space="preserve">Validation structurelle: </w:t>
      </w:r>
      <w:r>
        <w:t>Round-trip XML, références, nomenclature, périodes, ressources et demandes.</w:t>
      </w:r>
    </w:p>
    <w:p>
      <w:r>
        <w:rPr>
          <w:b/>
        </w:rPr>
        <w:t xml:space="preserve">Classification: </w:t>
      </w:r>
      <w:r>
        <w:t>Type de problème, structure produit, capacités, setup, backlog, etc.</w:t>
      </w:r>
    </w:p>
    <w:p>
      <w:r>
        <w:rPr>
          <w:b/>
        </w:rPr>
        <w:t xml:space="preserve">Ingestion des résultats: </w:t>
      </w:r>
      <w:r>
        <w:t>Valeurs publiées, solutions complètes, bornes, méthodes et dates.</w:t>
      </w:r>
    </w:p>
    <w:p>
      <w:r>
        <w:rPr>
          <w:b/>
        </w:rPr>
        <w:t xml:space="preserve">Trust gate: </w:t>
      </w:r>
      <w:r>
        <w:t>Checker en mode full, faisabilité, recalcul de l’objectif et tolérances.</w:t>
      </w:r>
    </w:p>
    <w:p>
      <w:r>
        <w:rPr>
          <w:b/>
        </w:rPr>
        <w:t xml:space="preserve">Publication: </w:t>
      </w:r>
      <w:r>
        <w:t>Pages GitHub générées, BKV, solution, historique et open challenges.</w:t>
      </w:r>
    </w:p>
    <w:p>
      <w:r>
        <w:rPr>
          <w:b/>
        </w:rPr>
        <w:t xml:space="preserve">Amélioration: </w:t>
      </w:r>
      <w:r>
        <w:t>PR candidate, Checker, promotion automatique ou rejet.</w:t>
      </w:r>
    </w:p>
    <w:p>
      <w:pPr>
        <w:pStyle w:val="Heading1"/>
        <w:keepNext/>
      </w:pPr>
      <w:r>
        <w:t>6. Stratégie de packs plus gros</w:t>
      </w:r>
    </w:p>
    <w:p>
      <w:r>
        <w:t>Après stabilisation du pipeline Dellaert–Jeunet, les packs peuvent devenir nettement plus gros. On regroupe les familles partageant formats, généalogie ou modèle scientifique afin de limiter le nombre d’installations tout en gardant des points de contrôle.</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Pack</w:t>
            </w:r>
          </w:p>
        </w:tc>
        <w:tc>
          <w:tcPr>
            <w:tcW w:type="dxa" w:w="3362"/>
            <w:shd w:fill="1F4E78"/>
            <w:vAlign w:val="center"/>
          </w:tcPr>
          <w:p>
            <w:r>
              <w:rPr>
                <w:b/>
                <w:color w:val="FFFFFF"/>
              </w:rPr>
              <w:t>Contenu</w:t>
            </w:r>
          </w:p>
        </w:tc>
        <w:tc>
          <w:tcPr>
            <w:tcW w:type="dxa" w:w="3362"/>
            <w:shd w:fill="1F4E78"/>
            <w:vAlign w:val="center"/>
          </w:tcPr>
          <w:p>
            <w:r>
              <w:rPr>
                <w:b/>
                <w:color w:val="FFFFFF"/>
              </w:rPr>
              <w:t>Etat septembre 2026</w:t>
            </w:r>
          </w:p>
        </w:tc>
      </w:tr>
      <w:tr>
        <w:tc>
          <w:tcPr>
            <w:tcW w:type="dxa" w:w="3362"/>
            <w:vAlign w:val="top"/>
          </w:tcPr>
          <w:p>
            <w:r>
              <w:rPr>
                <w:sz w:val="18"/>
              </w:rPr>
              <w:t>A - Infrastructure generale</w:t>
            </w:r>
          </w:p>
        </w:tc>
        <w:tc>
          <w:tcPr>
            <w:tcW w:type="dxa" w:w="3362"/>
            <w:vAlign w:val="top"/>
          </w:tcPr>
          <w:p>
            <w:r>
              <w:rPr>
                <w:sz w:val="18"/>
              </w:rPr>
              <w:t>Socle GitHub, catalogues, schemas, trust gate, pages et workflow PR/BKV.</w:t>
            </w:r>
          </w:p>
        </w:tc>
        <w:tc>
          <w:tcPr>
            <w:tcW w:type="dxa" w:w="3362"/>
            <w:vAlign w:val="top"/>
          </w:tcPr>
          <w:p>
            <w:r>
              <w:rPr>
                <w:sz w:val="18"/>
              </w:rPr>
              <w:t>Socle etabli; CI generique a finaliser</w:t>
            </w:r>
          </w:p>
        </w:tc>
      </w:tr>
      <w:tr>
        <w:tc>
          <w:tcPr>
            <w:tcW w:type="dxa" w:w="3362"/>
            <w:vAlign w:val="top"/>
          </w:tcPr>
          <w:p>
            <w:r>
              <w:rPr>
                <w:sz w:val="18"/>
              </w:rPr>
              <w:t>B - Dellaert-Jeunet complet</w:t>
            </w:r>
          </w:p>
        </w:tc>
        <w:tc>
          <w:tcPr>
            <w:tcW w:type="dxa" w:w="3362"/>
            <w:vAlign w:val="top"/>
          </w:tcPr>
          <w:p>
            <w:r>
              <w:rPr>
                <w:sz w:val="18"/>
              </w:rPr>
              <w:t>176 instances, trois phases, historique, quarantaine et litterature.</w:t>
            </w:r>
          </w:p>
        </w:tc>
        <w:tc>
          <w:tcPr>
            <w:tcW w:type="dxa" w:w="3362"/>
            <w:vAlign w:val="top"/>
          </w:tcPr>
          <w:p>
            <w:r>
              <w:rPr>
                <w:sz w:val="18"/>
              </w:rPr>
              <w:t>176/176 integrees; preuves historiques a reconcilier</w:t>
            </w:r>
          </w:p>
        </w:tc>
      </w:tr>
      <w:tr>
        <w:tc>
          <w:tcPr>
            <w:tcW w:type="dxa" w:w="3362"/>
            <w:vAlign w:val="top"/>
          </w:tcPr>
          <w:p>
            <w:r>
              <w:rPr>
                <w:sz w:val="18"/>
              </w:rPr>
              <w:t>C - Ecosysteme Tempelmeier</w:t>
            </w:r>
          </w:p>
        </w:tc>
        <w:tc>
          <w:tcPr>
            <w:tcW w:type="dxa" w:w="3362"/>
            <w:vAlign w:val="top"/>
          </w:tcPr>
          <w:p>
            <w:r>
              <w:rPr>
                <w:sz w:val="18"/>
              </w:rPr>
              <w:t>TD1996, Stadtler2003 et Suerie CLSPL.</w:t>
            </w:r>
          </w:p>
        </w:tc>
        <w:tc>
          <w:tcPr>
            <w:tcW w:type="dxa" w:w="3362"/>
            <w:vAlign w:val="top"/>
          </w:tcPr>
          <w:p>
            <w:r>
              <w:rPr>
                <w:sz w:val="18"/>
              </w:rPr>
              <w:t>6 841 instances integrees dans le registre global</w:t>
            </w:r>
          </w:p>
        </w:tc>
      </w:tr>
      <w:tr>
        <w:tc>
          <w:tcPr>
            <w:tcW w:type="dxa" w:w="3362"/>
            <w:vAlign w:val="top"/>
          </w:tcPr>
          <w:p>
            <w:r>
              <w:rPr>
                <w:sz w:val="18"/>
              </w:rPr>
              <w:t>D - CLSP classiques</w:t>
            </w:r>
          </w:p>
        </w:tc>
        <w:tc>
          <w:tcPr>
            <w:tcW w:type="dxa" w:w="3362"/>
            <w:vAlign w:val="top"/>
          </w:tcPr>
          <w:p>
            <w:r>
              <w:rPr>
                <w:sz w:val="18"/>
              </w:rPr>
              <w:t>Trigeiro1989, Cattrysse1990 puis Eppen-Martin, Diaby, Dixon-Silver, Maes-Van Wassenhove et Haase.</w:t>
            </w:r>
          </w:p>
        </w:tc>
        <w:tc>
          <w:tcPr>
            <w:tcW w:type="dxa" w:w="3362"/>
            <w:vAlign w:val="top"/>
          </w:tcPr>
          <w:p>
            <w:r>
              <w:rPr>
                <w:sz w:val="18"/>
              </w:rPr>
              <w:t>871 instances integrees; extension des familles a poursuivre</w:t>
            </w:r>
          </w:p>
        </w:tc>
      </w:tr>
      <w:tr>
        <w:tc>
          <w:tcPr>
            <w:tcW w:type="dxa" w:w="3362"/>
            <w:vAlign w:val="top"/>
          </w:tcPr>
          <w:p>
            <w:r>
              <w:rPr>
                <w:sz w:val="18"/>
              </w:rPr>
              <w:t>E - Multi-level historiques</w:t>
            </w:r>
          </w:p>
        </w:tc>
        <w:tc>
          <w:tcPr>
            <w:tcW w:type="dxa" w:w="3362"/>
            <w:vAlign w:val="top"/>
          </w:tcPr>
          <w:p>
            <w:r>
              <w:rPr>
                <w:sz w:val="18"/>
              </w:rPr>
              <w:t>Afentakis, Clark-Armentano, Armentano et familles apparentees.</w:t>
            </w:r>
          </w:p>
        </w:tc>
        <w:tc>
          <w:tcPr>
            <w:tcW w:type="dxa" w:w="3362"/>
            <w:vAlign w:val="top"/>
          </w:tcPr>
          <w:p>
            <w:r>
              <w:rPr>
                <w:sz w:val="18"/>
              </w:rPr>
              <w:t>Planifie</w:t>
            </w:r>
          </w:p>
        </w:tc>
      </w:tr>
      <w:tr>
        <w:tc>
          <w:tcPr>
            <w:tcW w:type="dxa" w:w="3362"/>
            <w:vAlign w:val="top"/>
          </w:tcPr>
          <w:p>
            <w:r>
              <w:rPr>
                <w:sz w:val="18"/>
              </w:rPr>
              <w:t>F - MULTILSB / MIPLIB</w:t>
            </w:r>
          </w:p>
        </w:tc>
        <w:tc>
          <w:tcPr>
            <w:tcW w:type="dxa" w:w="3362"/>
            <w:vAlign w:val="top"/>
          </w:tcPr>
          <w:p>
            <w:r>
              <w:rPr>
                <w:sz w:val="18"/>
              </w:rPr>
              <w:t>MULTILSB, derivees MIPLIB, backlogging, BKS modernes et correspondances.</w:t>
            </w:r>
          </w:p>
        </w:tc>
        <w:tc>
          <w:tcPr>
            <w:tcW w:type="dxa" w:w="3362"/>
            <w:vAlign w:val="top"/>
          </w:tcPr>
          <w:p>
            <w:r>
              <w:rPr>
                <w:sz w:val="18"/>
              </w:rPr>
              <w:t>Planifie</w:t>
            </w:r>
          </w:p>
        </w:tc>
      </w:tr>
      <w:tr>
        <w:tc>
          <w:tcPr>
            <w:tcW w:type="dxa" w:w="3362"/>
            <w:vAlign w:val="top"/>
          </w:tcPr>
          <w:p>
            <w:r>
              <w:rPr>
                <w:sz w:val="18"/>
              </w:rPr>
              <w:t>G - DLSP / PLSP / GLSP</w:t>
            </w:r>
          </w:p>
        </w:tc>
        <w:tc>
          <w:tcPr>
            <w:tcW w:type="dxa" w:w="3362"/>
            <w:vAlign w:val="top"/>
          </w:tcPr>
          <w:p>
            <w:r>
              <w:rPr>
                <w:sz w:val="18"/>
              </w:rPr>
              <w:t>Familles lot-sizing et scheduling; extensions de modele possibles.</w:t>
            </w:r>
          </w:p>
        </w:tc>
        <w:tc>
          <w:tcPr>
            <w:tcW w:type="dxa" w:w="3362"/>
            <w:vAlign w:val="top"/>
          </w:tcPr>
          <w:p>
            <w:r>
              <w:rPr>
                <w:sz w:val="18"/>
              </w:rPr>
              <w:t>Exploratoire</w:t>
            </w:r>
          </w:p>
        </w:tc>
      </w:tr>
      <w:tr>
        <w:tc>
          <w:tcPr>
            <w:tcW w:type="dxa" w:w="3362"/>
            <w:vAlign w:val="top"/>
          </w:tcPr>
          <w:p>
            <w:r>
              <w:rPr>
                <w:sz w:val="18"/>
              </w:rPr>
              <w:t>H - Industriel / supply chain</w:t>
            </w:r>
          </w:p>
        </w:tc>
        <w:tc>
          <w:tcPr>
            <w:tcW w:type="dxa" w:w="3362"/>
            <w:vAlign w:val="top"/>
          </w:tcPr>
          <w:p>
            <w:r>
              <w:rPr>
                <w:sz w:val="18"/>
              </w:rPr>
              <w:t>Cas publics et industriels avec anonymisation, licence et contexte.</w:t>
            </w:r>
          </w:p>
        </w:tc>
        <w:tc>
          <w:tcPr>
            <w:tcW w:type="dxa" w:w="3362"/>
            <w:vAlign w:val="top"/>
          </w:tcPr>
          <w:p>
            <w:r>
              <w:rPr>
                <w:sz w:val="18"/>
              </w:rPr>
              <w:t>Exploratoire</w:t>
            </w:r>
          </w:p>
        </w:tc>
      </w:tr>
      <w:tr>
        <w:tc>
          <w:tcPr>
            <w:tcW w:type="dxa" w:w="3362"/>
            <w:vAlign w:val="top"/>
          </w:tcPr>
          <w:p>
            <w:r>
              <w:rPr>
                <w:sz w:val="18"/>
              </w:rPr>
              <w:t>I - Extensions modernes</w:t>
            </w:r>
          </w:p>
        </w:tc>
        <w:tc>
          <w:tcPr>
            <w:tcW w:type="dxa" w:w="3362"/>
            <w:vAlign w:val="top"/>
          </w:tcPr>
          <w:p>
            <w:r>
              <w:rPr>
                <w:sz w:val="18"/>
              </w:rPr>
              <w:t>Variantes stochastiques, distribuees, collaboratives et multi-echelon.</w:t>
            </w:r>
          </w:p>
        </w:tc>
        <w:tc>
          <w:tcPr>
            <w:tcW w:type="dxa" w:w="3362"/>
            <w:vAlign w:val="top"/>
          </w:tcPr>
          <w:p>
            <w:r>
              <w:rPr>
                <w:sz w:val="18"/>
              </w:rPr>
              <w:t>Apres stabilisation du noyau</w:t>
            </w:r>
          </w:p>
        </w:tc>
      </w:tr>
    </w:tbl>
    <w:p>
      <w:pPr>
        <w:pStyle w:val="Heading1"/>
        <w:keepNext/>
      </w:pPr>
      <w:r>
        <w:t>7. Roadmap détaillée</w:t>
      </w:r>
    </w:p>
    <w:p>
      <w:pPr>
        <w:pStyle w:val="Heading2"/>
        <w:keepNext/>
      </w:pPr>
      <w:r>
        <w:t>Phase 1 - Finaliser DJ [CORPUS TERMINE / PREUVES A RECONCILIER]</w:t>
      </w:r>
    </w:p>
    <w:p>
      <w:r>
        <w:t>Réconcilier les sources 2011/2014 et autres travaux; identifier les valeurs notoirement fausses; produire une table 176 × historique × trust; rechercher les solutions manquantes; figer la première release scientifique.</w:t>
      </w:r>
    </w:p>
    <w:p>
      <w:pPr>
        <w:pStyle w:val="Heading2"/>
        <w:keepNext/>
      </w:pPr>
      <w:r>
        <w:t>Phase 2 - Generaliser le Trust Gate [SOCLE EN PLACE / INDUSTRIALISATION A FAIRE]</w:t>
      </w:r>
    </w:p>
    <w:p>
      <w:r>
        <w:t>Transformer les scripts DJ en outils génériques : CandidateSolution, promotion BKV, quarantaine, historique et workflow GitHub.</w:t>
      </w:r>
    </w:p>
    <w:p>
      <w:pPr>
        <w:pStyle w:val="Heading2"/>
        <w:keepNext/>
      </w:pPr>
      <w:r>
        <w:t>Phase 3 - Ecosysteme Tempelmeier [CORPUS INTEGRE]</w:t>
      </w:r>
    </w:p>
    <w:p>
      <w:r>
        <w:t>Acquérir TD/Stadtler/Sürie/TB; reconstruire groupes et classes; développer les importeurs; contrôler BKV, bornes et transformations.</w:t>
      </w:r>
    </w:p>
    <w:p>
      <w:pPr>
        <w:pStyle w:val="Heading2"/>
        <w:keepNext/>
      </w:pPr>
      <w:r>
        <w:t>Phase 4 - CLSP classiques [PARTIELLEMENT INTEGRE]</w:t>
      </w:r>
    </w:p>
    <w:p>
      <w:r>
        <w:t>Eppen–Martin, TTM, Diaby, Dixon–Silver, Maes–VW et Haase; traiter la disparition de certaines archives historiques.</w:t>
      </w:r>
    </w:p>
    <w:p>
      <w:pPr>
        <w:pStyle w:val="Heading2"/>
        <w:keepNext/>
      </w:pPr>
      <w:r>
        <w:t>Phase 5 - Multi-level et MULTILSB [PLANIFIE]</w:t>
      </w:r>
    </w:p>
    <w:p>
      <w:r>
        <w:t>Afentakis, Clark–Armentano, Armentano et MULTILSB; mapper les MIPLIB dérivées; actualiser les BKS.</w:t>
      </w:r>
    </w:p>
    <w:p>
      <w:pPr>
        <w:pStyle w:val="Heading2"/>
        <w:keepNext/>
      </w:pPr>
      <w:r>
        <w:t>Phase 6 - Lot-sizing et scheduling [EXPLORATOIRE]</w:t>
      </w:r>
    </w:p>
    <w:p>
      <w:r>
        <w:t>DLSP/PLSP/GLSP; identifier les trous de couverture de LotSizingDataModel et les extensions nécessaires.</w:t>
      </w:r>
    </w:p>
    <w:p>
      <w:pPr>
        <w:pStyle w:val="Heading2"/>
        <w:keepNext/>
      </w:pPr>
      <w:r>
        <w:t>Phase 7 - Couche de benchmarks industriels [EXPLORATOIRE]</w:t>
      </w:r>
    </w:p>
    <w:p>
      <w:r>
        <w:t>Séparer strictement données synthétiques et industrielles; documenter anonymisation, licence et contexte métier.</w:t>
      </w:r>
    </w:p>
    <w:p>
      <w:pPr>
        <w:pStyle w:val="Heading2"/>
        <w:keepNext/>
      </w:pPr>
      <w:r>
        <w:t>Phase 8 - Publication et maintenance [EN COURS]</w:t>
      </w:r>
    </w:p>
    <w:p>
      <w:r>
        <w:t>Release GitHub versionnée, DOI/Zenodo si souhaité, CITATION.cff, tableau de bord et politique de contribution.</w:t>
      </w:r>
    </w:p>
    <w:p>
      <w:pPr>
        <w:pStyle w:val="Heading1"/>
        <w:keepNext/>
      </w:pPr>
      <w:r>
        <w:t>8. GitHub comme bibliothèque vivante</w:t>
      </w:r>
    </w:p>
    <w:p>
      <w:r>
        <w:t>Chaque famille dispose d’un README généré automatiquement présentant le nombre d’instances, la couverture BKV, les solutions disponibles, les résultats vérifiés, les résultats rejetés et les open challenges. Chaque instance expose directement sa meilleure valeur connue et son niveau de confiance.</w:t>
      </w:r>
    </w:p>
    <w:p>
      <w:r>
        <w:t>Une nouvelle solution est soumise par Pull Request. Le workflow compile LotSizingDataModel.Checker, charge l’instance, vérifie la faisabilité, recalcule l’objectif et compare la valeur à la BKV courante. Une solution valide et meilleure est promue; une solution invalide est rejetée; l’historique est conservé.</w:t>
      </w:r>
    </w:p>
    <w:p>
      <w:pPr>
        <w:pStyle w:val="Heading1"/>
        <w:keepNext/>
      </w:pPr>
      <w:r>
        <w:t>9. Automatisation et CI/CD</w:t>
      </w:r>
    </w:p>
    <w:p>
      <w:pPr>
        <w:pStyle w:val="ListBullet"/>
      </w:pPr>
      <w:r>
        <w:t>Validation de la convention de nommage LSDM.</w:t>
      </w:r>
    </w:p>
    <w:p>
      <w:pPr>
        <w:pStyle w:val="ListBullet"/>
      </w:pPr>
      <w:r>
        <w:t>Validation XML et round-trip de toutes les instances.</w:t>
      </w:r>
    </w:p>
    <w:p>
      <w:pPr>
        <w:pStyle w:val="ListBullet"/>
      </w:pPr>
      <w:r>
        <w:t>Exécution du Checker sur toutes les solutions complètes.</w:t>
      </w:r>
    </w:p>
    <w:p>
      <w:pPr>
        <w:pStyle w:val="ListBullet"/>
      </w:pPr>
      <w:r>
        <w:t>Génération automatique des README et tableaux de couverture.</w:t>
      </w:r>
    </w:p>
    <w:p>
      <w:pPr>
        <w:pStyle w:val="ListBullet"/>
      </w:pPr>
      <w:r>
        <w:t>Détection de régression de BKV ou disparition d’une solution.</w:t>
      </w:r>
    </w:p>
    <w:p>
      <w:pPr>
        <w:pStyle w:val="ListBullet"/>
      </w:pPr>
      <w:r>
        <w:t>Vérification des checksums des fichiers bruts.</w:t>
      </w:r>
    </w:p>
    <w:p>
      <w:pPr>
        <w:pStyle w:val="ListBullet"/>
      </w:pPr>
      <w:r>
        <w:t>Publication d’un artifact de release et d’un manifeste de corpus.</w:t>
      </w:r>
    </w:p>
    <w:p>
      <w:pPr>
        <w:pStyle w:val="ListBullet"/>
      </w:pPr>
      <w:r>
        <w:t>Rapport des nouvelles BKV et changements depuis la release précédente.</w:t>
      </w:r>
    </w:p>
    <w:p>
      <w:pPr>
        <w:pStyle w:val="Heading1"/>
        <w:keepNext/>
      </w:pPr>
      <w:r>
        <w:t>10. Jalons et critères de sortie</w:t>
      </w:r>
    </w:p>
    <w:tbl>
      <w:tblPr>
        <w:tblStyle w:val="TableGrid"/>
        <w:tblW w:type="auto" w:w="0"/>
        <w:jc w:val="center"/>
        <w:tblLook w:firstColumn="1" w:firstRow="1" w:lastColumn="0" w:lastRow="0" w:noHBand="0" w:noVBand="1" w:val="04A0"/>
      </w:tblPr>
      <w:tblGrid>
        <w:gridCol w:w="5043"/>
        <w:gridCol w:w="5043"/>
      </w:tblGrid>
      <w:tr>
        <w:trPr>
          <w:tblHeader/>
        </w:trPr>
        <w:tc>
          <w:tcPr>
            <w:tcW w:type="dxa" w:w="5043"/>
            <w:shd w:fill="1F4E78"/>
            <w:vAlign w:val="center"/>
          </w:tcPr>
          <w:p>
            <w:r>
              <w:rPr>
                <w:b/>
                <w:color w:val="FFFFFF"/>
              </w:rPr>
              <w:t>Jalon</w:t>
            </w:r>
          </w:p>
        </w:tc>
        <w:tc>
          <w:tcPr>
            <w:tcW w:type="dxa" w:w="5043"/>
            <w:shd w:fill="1F4E78"/>
            <w:vAlign w:val="center"/>
          </w:tcPr>
          <w:p>
            <w:r>
              <w:rPr>
                <w:b/>
                <w:color w:val="FFFFFF"/>
              </w:rPr>
              <w:t>Critere actualise</w:t>
            </w:r>
          </w:p>
        </w:tc>
      </w:tr>
      <w:tr>
        <w:tc>
          <w:tcPr>
            <w:tcW w:type="dxa" w:w="5043"/>
            <w:vAlign w:val="top"/>
          </w:tcPr>
          <w:p>
            <w:r>
              <w:rPr>
                <w:sz w:val="18"/>
              </w:rPr>
              <w:t>M1 - DJ Gold Standard</w:t>
            </w:r>
          </w:p>
        </w:tc>
        <w:tc>
          <w:tcPr>
            <w:tcW w:type="dxa" w:w="5043"/>
            <w:vAlign w:val="top"/>
          </w:tcPr>
          <w:p>
            <w:r>
              <w:rPr>
                <w:sz w:val="18"/>
              </w:rPr>
              <w:t>Corpus 176/176 integre. Le nombre historique de 96 optima doit etre reaudit selon la definition stricte v0.17.0 avant de declarer le jalon scientifique clos.</w:t>
            </w:r>
          </w:p>
        </w:tc>
      </w:tr>
      <w:tr>
        <w:tc>
          <w:tcPr>
            <w:tcW w:type="dxa" w:w="5043"/>
            <w:vAlign w:val="top"/>
          </w:tcPr>
          <w:p>
            <w:r>
              <w:rPr>
                <w:sz w:val="18"/>
              </w:rPr>
              <w:t>M2 - Generic Trust Gate</w:t>
            </w:r>
          </w:p>
        </w:tc>
        <w:tc>
          <w:tcPr>
            <w:tcW w:type="dxa" w:w="5043"/>
            <w:vAlign w:val="top"/>
          </w:tcPr>
          <w:p>
            <w:r>
              <w:rPr>
                <w:sz w:val="18"/>
              </w:rPr>
              <w:t>Taxonomie globale disponible; composant checker reutilisable, quarantaine et workflow PR restent a industrialiser.</w:t>
            </w:r>
          </w:p>
        </w:tc>
      </w:tr>
      <w:tr>
        <w:tc>
          <w:tcPr>
            <w:tcW w:type="dxa" w:w="5043"/>
            <w:vAlign w:val="top"/>
          </w:tcPr>
          <w:p>
            <w:r>
              <w:rPr>
                <w:sz w:val="18"/>
              </w:rPr>
              <w:t>M3 - 1 000+ instances</w:t>
            </w:r>
          </w:p>
        </w:tc>
        <w:tc>
          <w:tcPr>
            <w:tcW w:type="dxa" w:w="5043"/>
            <w:vAlign w:val="top"/>
          </w:tcPr>
          <w:p>
            <w:r>
              <w:rPr>
                <w:sz w:val="18"/>
              </w:rPr>
              <w:t>TERMINE - seuil largement depasse.</w:t>
            </w:r>
          </w:p>
        </w:tc>
      </w:tr>
      <w:tr>
        <w:tc>
          <w:tcPr>
            <w:tcW w:type="dxa" w:w="5043"/>
            <w:vAlign w:val="top"/>
          </w:tcPr>
          <w:p>
            <w:r>
              <w:rPr>
                <w:sz w:val="18"/>
              </w:rPr>
              <w:t>M4 - 5 000+ instances</w:t>
            </w:r>
          </w:p>
        </w:tc>
        <w:tc>
          <w:tcPr>
            <w:tcW w:type="dxa" w:w="5043"/>
            <w:vAlign w:val="top"/>
          </w:tcPr>
          <w:p>
            <w:r>
              <w:rPr>
                <w:sz w:val="18"/>
              </w:rPr>
              <w:t>TERMINE - registre valide de 7 888 instances.</w:t>
            </w:r>
          </w:p>
        </w:tc>
      </w:tr>
      <w:tr>
        <w:tc>
          <w:tcPr>
            <w:tcW w:type="dxa" w:w="5043"/>
            <w:vAlign w:val="top"/>
          </w:tcPr>
          <w:p>
            <w:r>
              <w:rPr>
                <w:sz w:val="18"/>
              </w:rPr>
              <w:t>M5 - Global Trust Normalization</w:t>
            </w:r>
          </w:p>
        </w:tc>
        <w:tc>
          <w:tcPr>
            <w:tcW w:type="dxa" w:w="5043"/>
            <w:vAlign w:val="top"/>
          </w:tcPr>
          <w:p>
            <w:r>
              <w:rPr>
                <w:sz w:val="18"/>
              </w:rPr>
              <w:t>TERMINE - v0.17.0: 7 888 lignes normalisees, 125 challenges actionnables, 0 mapping non resolu.</w:t>
            </w:r>
          </w:p>
        </w:tc>
      </w:tr>
      <w:tr>
        <w:tc>
          <w:tcPr>
            <w:tcW w:type="dxa" w:w="5043"/>
            <w:vAlign w:val="top"/>
          </w:tcPr>
          <w:p>
            <w:r>
              <w:rPr>
                <w:sz w:val="18"/>
              </w:rPr>
              <w:t>M6 - Evidence Verification</w:t>
            </w:r>
          </w:p>
        </w:tc>
        <w:tc>
          <w:tcPr>
            <w:tcW w:type="dxa" w:w="5043"/>
            <w:vAlign w:val="top"/>
          </w:tcPr>
          <w:p>
            <w:r>
              <w:rPr>
                <w:sz w:val="18"/>
              </w:rPr>
              <w:t>Reconciler les 5 bornes et verifier autant que possible les 120 resultats CATTRYSSE1990 avec solutions completes et Checker.</w:t>
            </w:r>
          </w:p>
        </w:tc>
      </w:tr>
      <w:tr>
        <w:tc>
          <w:tcPr>
            <w:tcW w:type="dxa" w:w="5043"/>
            <w:vAlign w:val="top"/>
          </w:tcPr>
          <w:p>
            <w:r>
              <w:rPr>
                <w:sz w:val="18"/>
              </w:rPr>
              <w:t>M7 - Reference Release 1.0</w:t>
            </w:r>
          </w:p>
        </w:tc>
        <w:tc>
          <w:tcPr>
            <w:tcW w:type="dxa" w:w="5043"/>
            <w:vAlign w:val="top"/>
          </w:tcPr>
          <w:p>
            <w:r>
              <w:rPr>
                <w:sz w:val="18"/>
              </w:rPr>
              <w:t>Catalogue stable, CI de preuve, release citable, documentation scientifique et politique de maintenance.</w:t>
            </w:r>
          </w:p>
        </w:tc>
      </w:tr>
    </w:tbl>
    <w:p>
      <w:pPr>
        <w:pStyle w:val="Heading1"/>
        <w:keepNext/>
      </w:pPr>
      <w:r>
        <w:t>11. Verrous scientifiques</w:t>
      </w:r>
    </w:p>
    <w:p>
      <w:pPr>
        <w:pStyle w:val="ListBullet"/>
      </w:pPr>
      <w:r>
        <w:t>Équivalence objective entre formats originaux, conversions et formulations MIP.</w:t>
      </w:r>
    </w:p>
    <w:p>
      <w:pPr>
        <w:pStyle w:val="ListBullet"/>
      </w:pPr>
      <w:r>
        <w:t>Généalogie des instances et risque de réutilisation sous un autre identifiant.</w:t>
      </w:r>
    </w:p>
    <w:p>
      <w:pPr>
        <w:pStyle w:val="ListBullet"/>
      </w:pPr>
      <w:r>
        <w:t>Valeurs de littérature contradictoires ou historiquement erronées.</w:t>
      </w:r>
    </w:p>
    <w:p>
      <w:pPr>
        <w:pStyle w:val="ListBullet"/>
      </w:pPr>
      <w:r>
        <w:t>Absence de solutions complètes pour de nombreuses BKV.</w:t>
      </w:r>
    </w:p>
    <w:p>
      <w:pPr>
        <w:pStyle w:val="ListBullet"/>
      </w:pPr>
      <w:r>
        <w:t>Distinction optimum prouvé / meilleure solution publiée / meilleure solution vérifiée.</w:t>
      </w:r>
    </w:p>
    <w:p>
      <w:pPr>
        <w:pStyle w:val="ListBullet"/>
      </w:pPr>
      <w:r>
        <w:t>Reconstruction fidèle des générateurs historiques lorsque les fichiers originaux ont disparu.</w:t>
      </w:r>
    </w:p>
    <w:p>
      <w:pPr>
        <w:pStyle w:val="ListBullet"/>
      </w:pPr>
      <w:r>
        <w:t>Représentabilité des variantes scheduling, setup carry-over, multi-echelon et stochastiques dans LotSizingDataModel.</w:t>
      </w:r>
    </w:p>
    <w:p>
      <w:pPr>
        <w:pStyle w:val="Heading1"/>
        <w:keepNext/>
      </w:pPr>
      <w:r>
        <w:t>12. Prochaines actions immédiates</w:t>
      </w:r>
    </w:p>
    <w:p>
      <w:pPr>
        <w:pStyle w:val="ListNumber"/>
      </w:pPr>
      <w:r>
        <w:t>Figer v0.17.0 comme baseline scientifique: 7 888 lignes, identifiants uniques, 50 groupes de collisions historiques, aucun doublon exact et garde G30/G30b valide.</w:t>
      </w:r>
    </w:p>
    <w:p>
      <w:pPr>
        <w:pStyle w:val="ListNumber"/>
      </w:pPr>
      <w:r>
        <w:t>Lancer v0.18.0 par la reconciliation des 5 REFERENCES_WITH_LOWER_BOUND avec leurs sources primaires, leur semantique et leur provenance.</w:t>
      </w:r>
    </w:p>
    <w:p>
      <w:pPr>
        <w:pStyle w:val="ListNumber"/>
      </w:pPr>
      <w:r>
        <w:t>Acquerir ou reconstruire les solutions completes des 120 resultats CATTRYSSE1990, puis les soumettre au Checker sans promotion automatique.</w:t>
      </w:r>
    </w:p>
    <w:p>
      <w:pPr>
        <w:pStyle w:val="ListNumber"/>
      </w:pPr>
      <w:r>
        <w:t>Reauditer la revendication historique de 96 optima DJ et distinguer valeur publiee, solution faisable verifiee et optimum prouve.</w:t>
      </w:r>
    </w:p>
    <w:p>
      <w:pPr>
        <w:pStyle w:val="ListNumber"/>
      </w:pPr>
      <w:r>
        <w:t>Construire v0.19.0: Trust Gate generique, journal des transitions, quarantaine REJECTED_BY_CHECKER, certificats et workflow CI/PR.</w:t>
      </w:r>
    </w:p>
    <w:p>
      <w:pPr>
        <w:pStyle w:val="ListNumber"/>
      </w:pPr>
      <w:r>
        <w:t>Planifier v0.20.0 comme campagne ciblee de provenance et de references pour les 7 763 NO_REFERENCE_KNOWN, sans creer artificiellement un challenge par instance.</w:t>
      </w:r>
    </w:p>
    <w:p>
      <w:pPr>
        <w:pStyle w:val="ListNumber"/>
      </w:pPr>
      <w:r>
        <w:t>Poursuivre ensuite le Pack D avec les familles CLSP classiques manquantes, puis les Packs E et F.</w:t>
      </w:r>
    </w:p>
    <w:p>
      <w:pPr>
        <w:pStyle w:val="ListNumber"/>
      </w:pPr>
      <w:r>
        <w:t>Ne declarer la release 1.0 qu'apres stabilisation des preuves, de la CI, des licences, des citations et des artefacts de publication.</w:t>
      </w:r>
    </w:p>
    <w:p>
      <w:pPr>
        <w:pStyle w:val="Heading1"/>
      </w:pPr>
      <w:r>
        <w:t>13. Etat de reference valide v0.17.0</w:t>
      </w:r>
    </w:p>
    <w:p>
      <w:pPr>
        <w:pStyle w:val="ListBullet"/>
      </w:pPr>
      <w:r>
        <w:t>7 888 instances canoniques: DJ2000 176, STADTLER2003 2 100, SUERIE_CLSPL 1 291, TRIGEIRO1989 751, TD1996 3 450 et CATTRYSSE1990 120.</w:t>
      </w:r>
    </w:p>
    <w:p>
      <w:pPr>
        <w:pStyle w:val="ListBullet"/>
      </w:pPr>
      <w:r>
        <w:t>7 763 NO_REFERENCE_KNOWN, 120 LITERATURE_BEST_REPORTED et 5 REFERENCE_WITH_LOWER_BOUND.</w:t>
      </w:r>
    </w:p>
    <w:p>
      <w:pPr>
        <w:pStyle w:val="ListBullet"/>
      </w:pPr>
      <w:r>
        <w:t>125 challenges actionnables: 120 validations Checker et 5 reconciliations de reference; 0 mapping non resolu.</w:t>
      </w:r>
    </w:p>
    <w:p>
      <w:pPr>
        <w:pStyle w:val="ListBullet"/>
      </w:pPr>
      <w:r>
        <w:t>50 groupes de collisions d'identifiants historiques couvrant 100 lignes; identifiants globaux uniques.</w:t>
      </w:r>
    </w:p>
    <w:p>
      <w:pPr>
        <w:pStyle w:val="ListBullet"/>
      </w:pPr>
      <w:r>
        <w:t>0 cluster de fingerprints dupliques, 0 relation de lineage exacte et garde G30/G30b valide.</w:t>
      </w:r>
    </w:p>
    <w:p>
      <w:pPr>
        <w:pStyle w:val="ListBullet"/>
      </w:pPr>
      <w:r>
        <w:t>Aucune reecriture des XML canoniques et aucune promotion de confiance sans preuve explicite.</w:t>
      </w:r>
    </w:p>
    <w:p>
      <w:pPr>
        <w:pStyle w:val="Heading1"/>
      </w:pPr>
      <w:r>
        <w:t>14. Politique de challenges et etats orthogonaux</w:t>
      </w:r>
    </w:p>
    <w:p>
      <w:r>
        <w:t>NO_REFERENCE_KNOWN est un etat informatif et ne genere pas automatiquement un challenge. Un challenge est cree uniquement lorsqu'une preuve existante permet de formuler une action concrete. REJECTED_BY_CHECKER reste un etat de quarantaine orthogonal au niveau de confiance. Une revendication d'optimalite non verifiee est conservee comme evidence historique et doit declencher un audit, jamais une promotion automatique.</w:t>
      </w:r>
    </w:p>
    <w:p>
      <w:r>
        <w:br w:type="page"/>
      </w:r>
    </w:p>
    <w:p>
      <w:pPr>
        <w:pStyle w:val="Heading1"/>
      </w:pPr>
      <w:r>
        <w:t>15. Mise a jour consolidee v0.18.0 a v0.24.0</w:t>
      </w:r>
    </w:p>
    <w:p>
      <w:r>
        <w:rPr>
          <w:b/>
        </w:rPr>
        <w:t xml:space="preserve">Etat courant. </w:t>
      </w:r>
      <w:r>
        <w:t>Le registre canonique compte 7 905 instances: la baseline historique de 7 888 instances a ete completee par les 17 instances EM1987. Les identifiants globaux restent uniques et aucun doublon de fingerprint n'a ete detecte.</w:t>
      </w:r>
    </w:p>
    <w:p>
      <w:pPr>
        <w:pStyle w:val="ListBullet"/>
      </w:pPr>
      <w:r>
        <w:t>v0.18.0: campagne de preuves sur 125 challenges; 5 conflits de bornes inferieures et 120 solutions CATTRYSSE manquantes; aucune promotion automatique.</w:t>
      </w:r>
    </w:p>
    <w:p>
      <w:pPr>
        <w:pStyle w:val="ListBullet"/>
      </w:pPr>
      <w:r>
        <w:t>v0.18.1: reconciliation documentaire des 5 cas TRIGEIRO; aucune promotion sans certificat.</w:t>
      </w:r>
    </w:p>
    <w:p>
      <w:pPr>
        <w:pStyle w:val="ListBullet"/>
      </w:pPr>
      <w:r>
        <w:t>v0.20.0: 96 solutions DJ promues au niveau CHECKER_VERIFIED_FEASIBLE, 40 cas places en quarantaine et 109 rapports Checker produits.</w:t>
      </w:r>
    </w:p>
    <w:p>
      <w:pPr>
        <w:pStyle w:val="ListBullet"/>
      </w:pPr>
      <w:r>
        <w:t>v0.21.0: admission canonique complete de la famille EM1987, soit 17 instances, portant le registre a 7 905 lignes.</w:t>
      </w:r>
    </w:p>
    <w:p>
      <w:pPr>
        <w:pStyle w:val="ListBullet"/>
      </w:pPr>
      <w:r>
        <w:t>v0.23.0: industrialisation du Trust Gate generique et du controle CI; promotions automatiques desactivees; aucune modification des XML canoniques.</w:t>
      </w:r>
    </w:p>
    <w:p>
      <w:pPr>
        <w:pStyle w:val="ListBullet"/>
      </w:pPr>
      <w:r>
        <w:t>v0.24.0: acquisition officielle complete de MULTILSB, soit 4 jeux de 30 instances (120 fichiers bruts), avec provenance, licence CC BY 4.0 et trois recouvrements MIPLIB declares par la source.</w:t>
      </w:r>
    </w:p>
    <w:p>
      <w:pPr>
        <w:pStyle w:val="Heading1"/>
      </w:pPr>
      <w:r>
        <w:t>16. Decision scientifique pour MULTILSB</w:t>
      </w:r>
    </w:p>
    <w:p>
      <w:r>
        <w:t>MULTILSB est un corpus MLCLSP avec backlogging. L'archive contient les donnees, le modele Mosel, la documentation, les bornes de relaxation lineaire et des solutions heuristiques. Ces elements sont conserves comme preuves de source, sans les transformer en certificats d'optimalite. Aucune instance n'est admise en XML tant qu'une representation explicite et sans perte du backlogging n'est pas disponible dans LotSizingDataModel.</w:t>
      </w:r>
    </w:p>
    <w:p>
      <w:pPr>
        <w:pStyle w:val="Heading1"/>
      </w:pPr>
      <w:r>
        <w:t>17. Prochaines actions accelerees</w:t>
      </w:r>
    </w:p>
    <w:p>
      <w:pPr>
        <w:pStyle w:val="ListNumber"/>
      </w:pPr>
      <w:r>
        <w:t>Pack v0.25.0: definir la semantique canonique du backlogging, ses invariants et son schema de validation.</w:t>
      </w:r>
    </w:p>
    <w:p>
      <w:pPr>
        <w:pStyle w:val="ListNumber"/>
      </w:pPr>
      <w:r>
        <w:t>Construire le convertisseur MULTILSB et effectuer un round-trip sur les 120 instances avant toute admission.</w:t>
      </w:r>
    </w:p>
    <w:p>
      <w:pPr>
        <w:pStyle w:val="ListNumber"/>
      </w:pPr>
      <w:r>
        <w:t>Comparer exactement set3-10, set3-15 et set3-20 avec leurs versions MIPLIB; enregistrer le lineage seulement apres verification de l'identite.</w:t>
      </w:r>
    </w:p>
    <w:p>
      <w:pPr>
        <w:pStyle w:val="ListNumber"/>
      </w:pPr>
      <w:r>
        <w:t>Importer les bornes LP et valeurs heuristiques comme evidence typee, sans promotion VERIFIED_PROVEN_OPTIMAL.</w:t>
      </w:r>
    </w:p>
    <w:p>
      <w:pPr>
        <w:pStyle w:val="ListNumber"/>
      </w:pPr>
      <w:r>
        <w:t>Executer le Trust Gate, les fingerprints globaux et tous les guards historiques; admettre le corpus uniquement si les 120 conversions sont sans perte.</w:t>
      </w:r>
    </w:p>
    <w:p>
      <w:pPr>
        <w:pStyle w:val="ListNumber"/>
      </w:pPr>
      <w:r>
        <w:t>Poursuivre ensuite Pack F par l'audit des instances lot-sizing de MIPLIB non couvertes, puis fermer les acquisitions encore accessibles avant la release 1.0.</w:t>
      </w:r>
    </w:p>
    <w:p>
      <w:pPr>
        <w:pStyle w:val="Heading1"/>
      </w:pPr>
      <w:r>
        <w:t>18. Critere de sortie du prochain pack</w:t>
      </w:r>
    </w:p>
    <w:p>
      <w:r>
        <w:t>Le prochain jalon est atteint lorsque la representation du backlogging est documentee, testee et reversible; que 120/120 fichiers MULTILSB sont convertis ou explicitement rejetes avec motif; que les recouvrements MIPLIB sont verifies; et que le registre global conserve son unicite sans regression des XML existants.</w:t>
      </w:r>
    </w:p>
    <w:p>
      <w:r>
        <w:br w:type="page"/>
      </w:r>
    </w:p>
    <w:p>
      <w:pPr>
        <w:pStyle w:val="Heading1"/>
      </w:pPr>
      <w:r>
        <w:t>19. Mise a jour v0.25.0 - normalisation semantique MULTILSB</w:t>
      </w:r>
    </w:p>
    <w:p>
      <w:r>
        <w:t>Les 120 instances MULTILSB ont ete transformees en documents semantiques JSON deterministes. Chaque document conserve les parametres de capacite, les 78 coefficients de production, les appartenances aux familles, les 11 temps de setup par famille et machine, les 72 arcs de nomenclature, les couts marginaux de stockage et toutes les demandes. Les 120 relectures ont passe le controle de round-trip.</w:t>
      </w:r>
    </w:p>
    <w:p>
      <w:pPr>
        <w:pStyle w:val="ListBullet"/>
      </w:pPr>
      <w:r>
        <w:t>Normalisation semantique: 120/120.</w:t>
      </w:r>
    </w:p>
    <w:p>
      <w:pPr>
        <w:pStyle w:val="ListBullet"/>
      </w:pPr>
      <w:r>
        <w:t>Round-trip JSON: 120/120 PASS.</w:t>
      </w:r>
    </w:p>
    <w:p>
      <w:pPr>
        <w:pStyle w:val="ListBullet"/>
      </w:pPr>
      <w:r>
        <w:t>Support canonique du backlogging et de son cout: confirme.</w:t>
      </w:r>
    </w:p>
    <w:p>
      <w:pPr>
        <w:pStyle w:val="ListBullet"/>
      </w:pPr>
      <w:r>
        <w:t>Support du setup partage par famille et de sa consommation de capacite: absent.</w:t>
      </w:r>
    </w:p>
    <w:p>
      <w:pPr>
        <w:pStyle w:val="ListBullet"/>
      </w:pPr>
      <w:r>
        <w:t>Admissions XML canoniques: 0, par prudence scientifique.</w:t>
      </w:r>
    </w:p>
    <w:p>
      <w:pPr>
        <w:pStyle w:val="ListBullet"/>
      </w:pPr>
      <w:r>
        <w:t>Registre global inchange: 7 905 lignes; aucune promotion de confiance.</w:t>
      </w:r>
    </w:p>
    <w:p>
      <w:pPr>
        <w:pStyle w:val="Heading1"/>
      </w:pPr>
      <w:r>
        <w:t>20. Verrou corrige et decision d'architecture</w:t>
      </w:r>
    </w:p>
    <w:p>
      <w:r>
        <w:t>Le backlogging n'est plus le verrou principal: LotSizingDataModel contient deja la contrainte, le cout, les variables de solution et les termes de formulation correspondants. Le verrou reel est la variable binaire de setup partagee par famille w[t,f]. Dans MULTILSB, son activation lie les setups de plusieurs articles et son temps v[f,k] consomme la capacite de la machine. Une substitution par des setups individuels modifierait l'ensemble faisable; elle est donc interdite.</w:t>
      </w:r>
    </w:p>
    <w:p>
      <w:pPr>
        <w:pStyle w:val="Heading1"/>
      </w:pPr>
      <w:r>
        <w:t>21. Pack suivant prioritaire</w:t>
      </w:r>
    </w:p>
    <w:p>
      <w:pPr>
        <w:pStyle w:val="ListNumber"/>
      </w:pPr>
      <w:r>
        <w:t>Etendre LotSizingDataModel avec une entite de famille de production et une decision de setup partagee indexee par periode.</w:t>
      </w:r>
    </w:p>
    <w:p>
      <w:pPr>
        <w:pStyle w:val="ListNumber"/>
      </w:pPr>
      <w:r>
        <w:t>Ajouter le temps de setup famille-machine a la contrainte de capacite et le lien setup article vers setup famille.</w:t>
      </w:r>
    </w:p>
    <w:p>
      <w:pPr>
        <w:pStyle w:val="ListNumber"/>
      </w:pPr>
      <w:r>
        <w:t>Completer serialisation XML, validation, extraction de features, formulation solveur, projection de solution et tests de round-trip.</w:t>
      </w:r>
    </w:p>
    <w:p>
      <w:pPr>
        <w:pStyle w:val="ListNumber"/>
      </w:pPr>
      <w:r>
        <w:t>Generer ensuite 120 XML MULTILSB, les valider puis recalculer les fingerprints et le registre global.</w:t>
      </w:r>
    </w:p>
    <w:p>
      <w:pPr>
        <w:pStyle w:val="ListNumber"/>
      </w:pPr>
      <w:r>
        <w:t>Verifier par donnees et formulation l'identite des trois instances set3-10, set3-15 et set3-20 avec MIPLIB avant d'enregistrer le lineage.</w:t>
      </w:r>
    </w:p>
    <w:p>
      <w:pPr>
        <w:pStyle w:val="ListNumber"/>
      </w:pPr>
      <w:r>
        <w:t>Importer les bornes LP et valeurs heuristiques comme preuves typees, sans les qualifier d'optima prouves.</w:t>
      </w:r>
    </w:p>
    <w:p>
      <w:pPr>
        <w:pStyle w:val="Heading1"/>
      </w:pPr>
      <w:r>
        <w:t>22. Critere de sortie v0.26.0</w:t>
      </w:r>
    </w:p>
    <w:p>
      <w:r>
        <w:t>La v0.26.0 ne pourra admettre MULTILSB que si les setups partages par famille sont representes sans perte, que les tests du modele et du solveur passent, que 120/120 conversions sont valides, et qu'aucun XML historique ni invariant du registre n'est modifie accidentellement.</w:t>
      </w:r>
    </w:p>
    <w:p>
      <w:r>
        <w:br w:type="page"/>
      </w:r>
    </w:p>
    <w:p>
      <w:pPr>
        <w:pStyle w:val="Heading1"/>
      </w:pPr>
      <w:r>
        <w:t>23. Macro-pack v0.30.0 - gate d'admission atomique</w:t>
      </w:r>
    </w:p>
    <w:p>
      <w:r>
        <w:t>Le premier des trois macro-packs finaux fige le lot d'admission MULTILSB et securise l'intervention sur les deux depots. Les 120 candidats, la cible de 8 025 lignes, les neuf surfaces de code a etendre, leurs empreintes et la politique de rollback sont consignes.</w:t>
      </w:r>
    </w:p>
    <w:p>
      <w:pPr>
        <w:pStyle w:val="ListBullet"/>
      </w:pPr>
      <w:r>
        <w:t>Baseline canonique: 7 905 instances.</w:t>
      </w:r>
    </w:p>
    <w:p>
      <w:pPr>
        <w:pStyle w:val="ListBullet"/>
      </w:pPr>
      <w:r>
        <w:t>Lot MULTILSB candidat: 120 instances; cible conditionnelle: 8 025.</w:t>
      </w:r>
    </w:p>
    <w:p>
      <w:pPr>
        <w:pStyle w:val="ListBullet"/>
      </w:pPr>
      <w:r>
        <w:t>Admission atomique: aucune publication partielle des 120 XML.</w:t>
      </w:r>
    </w:p>
    <w:p>
      <w:pPr>
        <w:pStyle w:val="ListBullet"/>
      </w:pPr>
      <w:r>
        <w:t>Recouvrements MIPLIB: trois candidats declares par la source, zero identite affirmee sans verification.</w:t>
      </w:r>
    </w:p>
    <w:p>
      <w:pPr>
        <w:pStyle w:val="ListBullet"/>
      </w:pPr>
      <w:r>
        <w:t>XML existants: reecriture interdite.</w:t>
      </w:r>
    </w:p>
    <w:p>
      <w:pPr>
        <w:pStyle w:val="ListBullet"/>
      </w:pPr>
      <w:r>
        <w:t>Promotions de confiance: aucune avant preuve et validation.</w:t>
      </w:r>
    </w:p>
    <w:p>
      <w:pPr>
        <w:pStyle w:val="Heading1"/>
      </w:pPr>
      <w:r>
        <w:t>24. Deux macro-packs restants</w:t>
      </w:r>
    </w:p>
    <w:p>
      <w:r>
        <w:t>v0.40.0 implementera l'extension des setups partages par famille dans Core, Instance, Solver et les tests, puis executera l'admission atomique MULTILSB et la cloture corpus/preuves. v1.0.0 effectuera l'audit scientifique final, la CI de release, les manifests, les licences, les pages de publication et l'archive reproductible.</w:t>
      </w:r>
    </w:p>
    <w:p>
      <w:pPr>
        <w:pStyle w:val="Heading1"/>
      </w:pPr>
      <w:r>
        <w:t>25. Critere de passage au v0.40.0</w:t>
      </w:r>
    </w:p>
    <w:p>
      <w:r>
        <w:t>Les 120 candidats doivent rester reproductibles depuis les sources normalisees; les empreintes des surfaces du modele doivent correspondre au preflight; toute erreur de compilation, de test, de conversion ou de registre doit provoquer un rollback complet.</w:t>
      </w:r>
    </w:p>
    <w:p>
      <w:r>
        <w:br w:type="page"/>
      </w:r>
    </w:p>
    <w:p>
      <w:pPr>
        <w:pStyle w:val="Heading1"/>
      </w:pPr>
      <w:r>
        <w:t>26. Macro-pack v0.40.0 - cloture corpus et preuves</w:t>
      </w:r>
    </w:p>
    <w:p>
      <w:r>
        <w:t>Le perimetre canonique de la version 1 est gele a 7 905 instances reparties entre sept familles. La cloture ne pretend pas que les donnees indisponibles, les preuves absentes ou les variantes non representables sont resolues: chacune est desormais inscrite explicitement dans le backlog v2.0.</w:t>
      </w:r>
    </w:p>
    <w:p>
      <w:pPr>
        <w:pStyle w:val="ListBullet"/>
      </w:pPr>
      <w:r>
        <w:t>Registre canonique: 7 905 lignes et identifiants globaux uniques.</w:t>
      </w:r>
    </w:p>
    <w:p>
      <w:pPr>
        <w:pStyle w:val="ListBullet"/>
      </w:pPr>
      <w:r>
        <w:t>Taxonomie de confiance: 7 905 lignes conservees sans promotion automatique.</w:t>
      </w:r>
    </w:p>
    <w:p>
      <w:pPr>
        <w:pStyle w:val="ListBullet"/>
      </w:pPr>
      <w:r>
        <w:t>Challenges actionnables v1: 125, soit 120 validations Checker et 5 reconciliations de reference.</w:t>
      </w:r>
    </w:p>
    <w:p>
      <w:pPr>
        <w:pStyle w:val="ListBullet"/>
      </w:pPr>
      <w:r>
        <w:t>MULTILSB: 120/120 sources preservees et normalisees; zero admission canonique; report v2.0.</w:t>
      </w:r>
    </w:p>
    <w:p>
      <w:pPr>
        <w:pStyle w:val="ListBullet"/>
      </w:pPr>
      <w:r>
        <w:t>Portefeuille global: toutes les familles classees comme incluses, reportees, alias ou sujettes a audit de lineage.</w:t>
      </w:r>
    </w:p>
    <w:p>
      <w:pPr>
        <w:pStyle w:val="ListBullet"/>
      </w:pPr>
      <w:r>
        <w:t>Backlog v2.0: 27 chantiers de familles, preuves, acquisitions ou extensions.</w:t>
      </w:r>
    </w:p>
    <w:p>
      <w:pPr>
        <w:pStyle w:val="ListBullet"/>
      </w:pPr>
      <w:r>
        <w:t>Modification de LotSizingDataModel: aucune.</w:t>
      </w:r>
    </w:p>
    <w:p>
      <w:pPr>
        <w:pStyle w:val="ListBullet"/>
      </w:pPr>
      <w:r>
        <w:t>Reecriture d'un XML canonique existant: aucune.</w:t>
      </w:r>
    </w:p>
    <w:p>
      <w:pPr>
        <w:pStyle w:val="Heading1"/>
      </w:pPr>
      <w:r>
        <w:t>27. Regle de report vers la v2.0</w:t>
      </w:r>
    </w:p>
    <w:p>
      <w:r>
        <w:t>Toute famille non acquise, toute licence non documentee, toute correspondance MIPLIB non demontree, toute solution sans vecteur complet et toute variante exigeant une extension du modele est reportee. Le statut de report n'est ni une preuve d'absence ni un echec scientifique; il delimite un perimetre v1 reproductible et defendable.</w:t>
      </w:r>
    </w:p>
    <w:p>
      <w:pPr>
        <w:pStyle w:val="Heading1"/>
      </w:pPr>
      <w:r>
        <w:t>28. Dernier macro-pack: v1.0.0</w:t>
      </w:r>
    </w:p>
    <w:p>
      <w:pPr>
        <w:pStyle w:val="ListNumber"/>
      </w:pPr>
      <w:r>
        <w:t>Executer la matrice finale de validation sur le registre, les fingerprints, collisions, lineage, G30/G30b, confiance et challenges.</w:t>
      </w:r>
    </w:p>
    <w:p>
      <w:pPr>
        <w:pStyle w:val="ListNumber"/>
      </w:pPr>
      <w:r>
        <w:t>Finaliser les mentions de provenance, de citation et de licence disponibles pour les sept familles canoniques.</w:t>
      </w:r>
    </w:p>
    <w:p>
      <w:pPr>
        <w:pStyle w:val="ListNumber"/>
      </w:pPr>
      <w:r>
        <w:t>Produire les catalogues CSV et JSON definitifs, manifests SHA-256, pages GitHub et archive reproductible.</w:t>
      </w:r>
    </w:p>
    <w:p>
      <w:pPr>
        <w:pStyle w:val="ListNumber"/>
      </w:pPr>
      <w:r>
        <w:t>Generer le document Word complet des elements manquants et extensions proposes pour v2.0.</w:t>
      </w:r>
    </w:p>
    <w:p>
      <w:pPr>
        <w:pStyle w:val="ListNumber"/>
      </w:pPr>
      <w:r>
        <w:t>Publier une release v1.0.0 sans inclure MULTILSB ni aucune famille non validee.</w:t>
      </w:r>
    </w:p>
    <w:p>
      <w:pPr>
        <w:pStyle w:val="Heading1"/>
      </w:pPr>
      <w:r>
        <w:t>29. Critere de sortie v1.0.0</w:t>
      </w:r>
    </w:p>
    <w:p>
      <w:r>
        <w:t>La release finale doit etre reproductible depuis un clone propre, conserver exactement les 7 905 instances du perimetre gele, produire des controles machine lisibles, documenter chaque exception et fournir un backlog v2.0 exhaustif sans presenter une hypothese comme une preuve.</w:t>
      </w:r>
    </w:p>
    <w:p>
      <w:r>
        <w:br w:type="page"/>
      </w:r>
    </w:p>
    <w:p>
      <w:pPr>
        <w:pStyle w:val="Heading1"/>
      </w:pPr>
      <w:r>
        <w:t>Clôture de la version 1.0.0</w:t>
      </w:r>
    </w:p>
    <w:p>
      <w:r>
        <w:t>La branche v1 est clôturée par le pack v1.0.0 Final Scientific Release. Le corpus de référence est figé à 7 905 instances canoniques et sept familles, sans modification du modèle de données ni réécriture des XML canoniques.</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3300"/>
            <w:shd w:fill="E8EEF5"/>
            <w:vAlign w:val="center"/>
          </w:tcPr>
          <w:p>
            <w:r>
              <w:rPr>
                <w:b/>
                <w:sz w:val="18"/>
              </w:rPr>
              <w:t>Contrôle final</w:t>
            </w:r>
          </w:p>
        </w:tc>
        <w:tc>
          <w:tcPr>
            <w:tcW w:type="dxa" w:w="6060"/>
            <w:shd w:fill="E8EEF5"/>
            <w:vAlign w:val="center"/>
          </w:tcPr>
          <w:p>
            <w:r>
              <w:rPr>
                <w:b/>
                <w:sz w:val="18"/>
              </w:rPr>
              <w:t>Résultat</w:t>
            </w:r>
          </w:p>
        </w:tc>
      </w:tr>
      <w:tr>
        <w:tc>
          <w:tcPr>
            <w:tcW w:type="dxa" w:w="3300"/>
            <w:vAlign w:val="top"/>
          </w:tcPr>
          <w:p>
            <w:pPr>
              <w:spacing w:after="40"/>
            </w:pPr>
            <w:r>
              <w:rPr>
                <w:sz w:val="17"/>
              </w:rPr>
              <w:t>Registre global</w:t>
            </w:r>
          </w:p>
        </w:tc>
        <w:tc>
          <w:tcPr>
            <w:tcW w:type="dxa" w:w="6060"/>
            <w:vAlign w:val="top"/>
          </w:tcPr>
          <w:p>
            <w:pPr>
              <w:spacing w:after="40"/>
            </w:pPr>
            <w:r>
              <w:rPr>
                <w:sz w:val="17"/>
              </w:rPr>
              <w:t>7 905 lignes</w:t>
            </w:r>
          </w:p>
        </w:tc>
      </w:tr>
      <w:tr>
        <w:tc>
          <w:tcPr>
            <w:tcW w:type="dxa" w:w="3300"/>
            <w:vAlign w:val="top"/>
          </w:tcPr>
          <w:p>
            <w:pPr>
              <w:spacing w:after="40"/>
            </w:pPr>
            <w:r>
              <w:rPr>
                <w:sz w:val="17"/>
              </w:rPr>
              <w:t>Comptages familiaux</w:t>
            </w:r>
          </w:p>
        </w:tc>
        <w:tc>
          <w:tcPr>
            <w:tcW w:type="dxa" w:w="6060"/>
            <w:vAlign w:val="top"/>
          </w:tcPr>
          <w:p>
            <w:pPr>
              <w:spacing w:after="40"/>
            </w:pPr>
            <w:r>
              <w:rPr>
                <w:sz w:val="17"/>
              </w:rPr>
              <w:t>120 / 176 / 17 / 2 100 / 1 291 / 3 450 / 751</w:t>
            </w:r>
          </w:p>
        </w:tc>
      </w:tr>
      <w:tr>
        <w:tc>
          <w:tcPr>
            <w:tcW w:type="dxa" w:w="3300"/>
            <w:vAlign w:val="top"/>
          </w:tcPr>
          <w:p>
            <w:pPr>
              <w:spacing w:after="40"/>
            </w:pPr>
            <w:r>
              <w:rPr>
                <w:sz w:val="17"/>
              </w:rPr>
              <w:t>Collisions historiques</w:t>
            </w:r>
          </w:p>
        </w:tc>
        <w:tc>
          <w:tcPr>
            <w:tcW w:type="dxa" w:w="6060"/>
            <w:vAlign w:val="top"/>
          </w:tcPr>
          <w:p>
            <w:pPr>
              <w:spacing w:after="40"/>
            </w:pPr>
            <w:r>
              <w:rPr>
                <w:sz w:val="17"/>
              </w:rPr>
              <w:t>50 groupes, 100 lignes, identifiants globaux uniques</w:t>
            </w:r>
          </w:p>
        </w:tc>
      </w:tr>
      <w:tr>
        <w:tc>
          <w:tcPr>
            <w:tcW w:type="dxa" w:w="3300"/>
            <w:vAlign w:val="top"/>
          </w:tcPr>
          <w:p>
            <w:pPr>
              <w:spacing w:after="40"/>
            </w:pPr>
            <w:r>
              <w:rPr>
                <w:sz w:val="17"/>
              </w:rPr>
              <w:t>Doublons exacts / filiation</w:t>
            </w:r>
          </w:p>
        </w:tc>
        <w:tc>
          <w:tcPr>
            <w:tcW w:type="dxa" w:w="6060"/>
            <w:vAlign w:val="top"/>
          </w:tcPr>
          <w:p>
            <w:pPr>
              <w:spacing w:after="40"/>
            </w:pPr>
            <w:r>
              <w:rPr>
                <w:sz w:val="17"/>
              </w:rPr>
              <w:t>0 / 0</w:t>
            </w:r>
          </w:p>
        </w:tc>
      </w:tr>
      <w:tr>
        <w:tc>
          <w:tcPr>
            <w:tcW w:type="dxa" w:w="3300"/>
            <w:vAlign w:val="top"/>
          </w:tcPr>
          <w:p>
            <w:pPr>
              <w:spacing w:after="40"/>
            </w:pPr>
            <w:r>
              <w:rPr>
                <w:sz w:val="17"/>
              </w:rPr>
              <w:t>G30 / G30b</w:t>
            </w:r>
          </w:p>
        </w:tc>
        <w:tc>
          <w:tcPr>
            <w:tcW w:type="dxa" w:w="6060"/>
            <w:vAlign w:val="top"/>
          </w:tcPr>
          <w:p>
            <w:pPr>
              <w:spacing w:after="40"/>
            </w:pPr>
            <w:r>
              <w:rPr>
                <w:sz w:val="17"/>
              </w:rPr>
              <w:t>PASS</w:t>
            </w:r>
          </w:p>
        </w:tc>
      </w:tr>
      <w:tr>
        <w:tc>
          <w:tcPr>
            <w:tcW w:type="dxa" w:w="3300"/>
            <w:vAlign w:val="top"/>
          </w:tcPr>
          <w:p>
            <w:pPr>
              <w:spacing w:after="40"/>
            </w:pPr>
            <w:r>
              <w:rPr>
                <w:sz w:val="17"/>
              </w:rPr>
              <w:t>Taxonomie de confiance</w:t>
            </w:r>
          </w:p>
        </w:tc>
        <w:tc>
          <w:tcPr>
            <w:tcW w:type="dxa" w:w="6060"/>
            <w:vAlign w:val="top"/>
          </w:tcPr>
          <w:p>
            <w:pPr>
              <w:spacing w:after="40"/>
            </w:pPr>
            <w:r>
              <w:rPr>
                <w:sz w:val="17"/>
              </w:rPr>
              <w:t>Valide ; 125 challenges actionnables</w:t>
            </w:r>
          </w:p>
        </w:tc>
      </w:tr>
      <w:tr>
        <w:tc>
          <w:tcPr>
            <w:tcW w:type="dxa" w:w="3300"/>
            <w:vAlign w:val="top"/>
          </w:tcPr>
          <w:p>
            <w:pPr>
              <w:spacing w:after="40"/>
            </w:pPr>
            <w:r>
              <w:rPr>
                <w:sz w:val="17"/>
              </w:rPr>
              <w:t>MULTILSB</w:t>
            </w:r>
          </w:p>
        </w:tc>
        <w:tc>
          <w:tcPr>
            <w:tcW w:type="dxa" w:w="6060"/>
            <w:vAlign w:val="top"/>
          </w:tcPr>
          <w:p>
            <w:pPr>
              <w:spacing w:after="40"/>
            </w:pPr>
            <w:r>
              <w:rPr>
                <w:sz w:val="17"/>
              </w:rPr>
              <w:t>Différé v2 ; 120 sources normalisées</w:t>
            </w:r>
          </w:p>
        </w:tc>
      </w:tr>
      <w:tr>
        <w:tc>
          <w:tcPr>
            <w:tcW w:type="dxa" w:w="3300"/>
            <w:vAlign w:val="top"/>
          </w:tcPr>
          <w:p>
            <w:pPr>
              <w:spacing w:after="40"/>
            </w:pPr>
            <w:r>
              <w:rPr>
                <w:sz w:val="17"/>
              </w:rPr>
              <w:t>XML canoniques</w:t>
            </w:r>
          </w:p>
        </w:tc>
        <w:tc>
          <w:tcPr>
            <w:tcW w:type="dxa" w:w="6060"/>
            <w:vAlign w:val="top"/>
          </w:tcPr>
          <w:p>
            <w:pPr>
              <w:spacing w:after="40"/>
            </w:pPr>
            <w:r>
              <w:rPr>
                <w:sz w:val="17"/>
              </w:rPr>
              <w:t>0 modification</w:t>
            </w:r>
          </w:p>
        </w:tc>
      </w:tr>
    </w:tbl>
    <w:p>
      <w:pPr>
        <w:pStyle w:val="Heading2"/>
      </w:pPr>
      <w:r>
        <w:t>Décision de périmètre</w:t>
      </w:r>
    </w:p>
    <w:p>
      <w:r>
        <w:t>L extension nécessaire aux setups partagés de famille de production est volontairement exclue de la v1. Toute modification de LotSizingDataModel fera l objet d une spécification et d une approbation séparées dans la v2.0.</w:t>
      </w:r>
    </w:p>
    <w:p>
      <w:pPr>
        <w:pStyle w:val="Heading2"/>
      </w:pPr>
      <w:r>
        <w:t>Suite du programme</w:t>
      </w:r>
    </w:p>
    <w:p>
      <w:r>
        <w:t>Le backlog v2.0 joint à la release devient la source de vérité pour les 27 chantiers différés : acquisitions, extension MULTILSB, filiation MIPLIB, preuves, solutions complètes, licences et provenance. La prochaine phase ne doit commencer qu à partir de ce registre explicite.</w:t>
      </w:r>
    </w:p>
    <w:p>
      <w:pPr>
        <w:pStyle w:val="Heading2"/>
      </w:pPr>
      <w:r>
        <w:t>Statut final</w:t>
      </w:r>
    </w:p>
    <w:p>
      <w:r>
        <w:t>V1_RESEARCH_CORPUS_READY_WITH_DOCUMENTED_OPEN_ITEMS. La qualité technique du corpus est vérifiée ; les droits de redistribution restent à documenter famille par famille avant toute publication publique non restreinte.</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6"/>
      </w:rPr>
      <w:t>LotSizingDataModel.Benchmarks | v1.0.0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470"/>
        <w:sz w:val="18"/>
      </w:rPr>
      <w:t>Roadmap LotSizingDataModel.Benchmarks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LotSizingDataModel.Benchmarks - Roadmap scientifique, technique et editoriale</dc:title>
  <dc:subject>Roadmap actualisee apres validation v0.17.0</dc:subject>
  <dc:creator>python-docx</dc:creator>
  <cp:keywords/>
  <dc:description>Mise a jour conservatrice: baseline v0.17.0, taxonomie de confiance, jalons et prochaines actions.</dc:description>
  <cp:lastModifiedBy/>
  <cp:revision>1</cp:revision>
  <dcterms:created xsi:type="dcterms:W3CDTF">2013-12-23T23:15:00Z</dcterms:created>
  <dcterms:modified xsi:type="dcterms:W3CDTF">2013-12-23T23:15:00Z</dcterms:modified>
  <cp:category/>
</cp:coreProperties>
</file>