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/>
      </w:pPr>
      <w:r>
        <w:t>2026年10月25日核验修订版  前文历史成绩保留 新实验及最新状态见末节补充验证</w:t>
      </w:r>
    </w:p>
    <w:p w14:paraId="53DB57B3">
      <w:pPr>
        <w:spacing w:before="1600" w:after="80" w:line="300" w:lineRule="auto"/>
        <w:jc w:val="center"/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  <w:t>基于 AI 的 5G 网络关键性能指标预测与异常检测系统</w:t>
      </w:r>
    </w:p>
    <w:p w14:paraId="16E383C2">
      <w:pPr>
        <w:spacing w:before="360" w:after="80" w:line="300" w:lineRule="auto"/>
        <w:jc w:val="center"/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  <w:t>第二周实验报告</w:t>
      </w:r>
    </w:p>
    <w:p w14:paraId="046AE0EA">
      <w:pPr>
        <w:spacing w:before="700" w:after="80" w:line="300" w:lineRule="auto"/>
        <w:jc w:val="center"/>
        <w:rPr>
          <w:rFonts w:hint="default" w:ascii="Times New Roman" w:hAnsi="Times New Roman" w:eastAsia="宋体" w:cs="Times New Roman"/>
          <w:b w:val="0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KPI 数据处理及传统机器学习预测</w:t>
      </w:r>
    </w:p>
    <w:p w14:paraId="771CF49B">
      <w:pPr>
        <w:rPr>
          <w:rFonts w:hint="default" w:ascii="Times New Roman" w:hAnsi="Times New Roman" w:eastAsia="宋体" w:cs="Times New Roman"/>
        </w:rPr>
      </w:pPr>
    </w:p>
    <w:p w14:paraId="3D133624">
      <w:pPr>
        <w:rPr>
          <w:rFonts w:hint="default" w:ascii="Times New Roman" w:hAnsi="Times New Roman" w:eastAsia="宋体" w:cs="Times New Roman"/>
        </w:rPr>
      </w:pPr>
    </w:p>
    <w:p w14:paraId="54F51020">
      <w:pPr>
        <w:rPr>
          <w:rFonts w:hint="default" w:ascii="Times New Roman" w:hAnsi="Times New Roman" w:eastAsia="宋体" w:cs="Times New Roman"/>
        </w:rPr>
      </w:pPr>
    </w:p>
    <w:p w14:paraId="433C52D1">
      <w:pPr>
        <w:rPr>
          <w:rFonts w:hint="default" w:ascii="Times New Roman" w:hAnsi="Times New Roman" w:eastAsia="宋体" w:cs="Times New Roman"/>
        </w:rPr>
      </w:pPr>
    </w:p>
    <w:p w14:paraId="1FBC4DD4">
      <w:pPr>
        <w:spacing w:before="2000" w:after="80" w:line="300" w:lineRule="auto"/>
        <w:jc w:val="center"/>
        <w:rPr>
          <w:rFonts w:hint="default" w:ascii="Times New Roman" w:hAnsi="Times New Roman" w:eastAsia="宋体" w:cs="Times New Roman"/>
          <w:b w:val="0"/>
          <w:color w:val="5A5A5A"/>
          <w:sz w:val="20"/>
        </w:rPr>
      </w:pP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数据处理 / 预测模型 / 模型评估与图表</w:t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实验依据：代码及报告记录</w:t>
      </w:r>
    </w:p>
    <w:p w14:paraId="66C7567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228EA9F9">
      <w:pPr>
        <w:pStyle w:val="3"/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</w:t>
      </w:r>
      <w:r>
        <w:rPr>
          <w:rFonts w:hint="default" w:ascii="Times New Roman" w:hAnsi="Times New Roman" w:eastAsia="宋体" w:cs="Times New Roman"/>
          <w:lang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本周</w:t>
      </w:r>
      <w:r>
        <w:rPr>
          <w:rFonts w:hint="default" w:ascii="Times New Roman" w:hAnsi="Times New Roman" w:eastAsia="宋体" w:cs="Times New Roman"/>
        </w:rPr>
        <w:t>任务和进展</w:t>
      </w:r>
    </w:p>
    <w:p w14:paraId="71FB540D">
      <w:pPr>
        <w:widowControl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eastAsia="宋体" w:cs="Times New Roman"/>
          <w:b w:val="0"/>
        </w:rPr>
        <w:t>本周完成了数据获取、预处理与统计分析任务，以及传统机器学习 KPI 预测与评估任务。</w:t>
      </w:r>
    </w:p>
    <w:p w14:paraId="512EC668">
      <w:pPr>
        <w:pStyle w:val="3"/>
        <w:bidi w:val="0"/>
        <w:rPr>
          <w:rFonts w:hint="default" w:ascii="Times New Roman" w:hAnsi="Times New Roman" w:eastAsia="宋体" w:cs="Times New Roman"/>
          <w:color w:val="163A5F"/>
          <w:sz w:val="30"/>
        </w:rPr>
      </w:pPr>
      <w:r>
        <w:rPr>
          <w:rFonts w:hint="default" w:ascii="Times New Roman" w:hAnsi="Times New Roman" w:eastAsia="宋体" w:cs="Times New Roman"/>
          <w:color w:val="163A5F"/>
          <w:sz w:val="30"/>
        </w:rPr>
        <w:t>2</w:t>
      </w:r>
      <w:r>
        <w:rPr>
          <w:rFonts w:hint="default" w:ascii="Times New Roman" w:hAnsi="Times New Roman" w:eastAsia="宋体" w:cs="Times New Roman"/>
          <w:color w:val="163A5F"/>
          <w:sz w:val="30"/>
          <w:lang w:eastAsia="zh-CN"/>
        </w:rPr>
        <w:t>.</w:t>
      </w:r>
      <w:r>
        <w:rPr>
          <w:rFonts w:hint="default" w:ascii="Times New Roman" w:hAnsi="Times New Roman" w:eastAsia="宋体" w:cs="Times New Roman"/>
          <w:color w:val="163A5F"/>
          <w:sz w:val="30"/>
        </w:rPr>
        <w:t xml:space="preserve"> 数据预处理结果</w:t>
      </w:r>
    </w:p>
    <w:p w14:paraId="78792B24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在 gotsf-ds 四类 KPI（DLPRB、DLThpVol、DLThpTime、MR_number）上执行完整性审计，均未发现缺失、无穷、负值、重复时间或时间缺口。将4份原始宽表整合为统一的 beam-level 长表，得到2,419,200行、17列数据。Train使用时间0–671，Test使用672–839，StandardScaler与MinMaxScaler只在训练期拟合。</w:t>
      </w:r>
    </w:p>
    <w:p w14:paraId="168A4FC1">
      <w:pPr>
        <w:keepNext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003800" cy="1840230"/>
            <wp:effectExtent l="0" t="0" r="101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184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B4EF">
      <w:pPr>
        <w:jc w:val="center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eastAsia="宋体" w:cs="Times New Roman"/>
          <w:b w:val="0"/>
          <w:lang w:eastAsia="zh-CN"/>
        </w:rPr>
        <w:t>图1 四类 KPI 原始观测中的零值比例</w:t>
      </w:r>
    </w:p>
    <w:p w14:paraId="59D111B7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图1说明四类KPI均存在较多零值，DLThpVol的占比最高（31.76%）。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保留</w:t>
      </w:r>
      <w:r>
        <w:rPr>
          <w:rFonts w:hint="default" w:ascii="Times New Roman" w:hAnsi="Times New Roman" w:eastAsia="宋体" w:cs="Times New Roman"/>
          <w:b w:val="0"/>
        </w:rPr>
        <w:t>合法零值与高值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以</w:t>
      </w:r>
      <w:r>
        <w:rPr>
          <w:rFonts w:hint="default" w:ascii="Times New Roman" w:hAnsi="Times New Roman" w:eastAsia="宋体" w:cs="Times New Roman"/>
          <w:b w:val="0"/>
        </w:rPr>
        <w:t>保留其可能包含的网络活动信息。</w:t>
      </w:r>
    </w:p>
    <w:p w14:paraId="79C5459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传统机器学习预测</w:t>
      </w:r>
    </w:p>
    <w:p w14:paraId="5B1AFE48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对每个 beam 的4类KPI构建t、t−1、t−2、t−24、t−168共20维输入特征，以t+1为预测目标。完成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了</w:t>
      </w:r>
      <w:r>
        <w:rPr>
          <w:rFonts w:hint="default" w:ascii="Times New Roman" w:hAnsi="Times New Roman" w:eastAsia="宋体" w:cs="Times New Roman"/>
          <w:b w:val="0"/>
        </w:rPr>
        <w:t>Persistence、Linear Regression、Decision Tree、Random Forest、XGBoost及LightGBM六种方法的对比；模型有效训练样本1,448,640条，测试样本483,840条。</w:t>
      </w:r>
    </w:p>
    <w:tbl>
      <w:tblPr>
        <w:tblStyle w:val="33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5B3A2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2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2C9CAEB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2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107E77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最小 MAE（模型）</w:t>
            </w:r>
          </w:p>
        </w:tc>
        <w:tc>
          <w:tcPr>
            <w:tcW w:w="2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C989E6D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最小 RMSE（模型）</w:t>
            </w:r>
          </w:p>
        </w:tc>
        <w:tc>
          <w:tcPr>
            <w:tcW w:w="2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09931F7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最高 R²</w:t>
            </w:r>
          </w:p>
        </w:tc>
      </w:tr>
      <w:tr w14:paraId="1BD3E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2B3AD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2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DEDCB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0.261817（XGBoost）</w:t>
            </w:r>
          </w:p>
        </w:tc>
        <w:tc>
          <w:tcPr>
            <w:tcW w:w="2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CAADC0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0.493705（RF）</w:t>
            </w:r>
          </w:p>
        </w:tc>
        <w:tc>
          <w:tcPr>
            <w:tcW w:w="2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4B4D8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0.787133</w:t>
            </w:r>
          </w:p>
        </w:tc>
      </w:tr>
      <w:tr w14:paraId="344A5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851AA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0DBFF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0.207615（RF）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EDB23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0.460162（RF）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17B8F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0.615323</w:t>
            </w:r>
          </w:p>
        </w:tc>
      </w:tr>
      <w:tr w14:paraId="5BD4C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30B24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D5D6E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0.243576（XGBoost）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C158D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0.524467（RF）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C6780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0.702391</w:t>
            </w:r>
          </w:p>
        </w:tc>
      </w:tr>
      <w:tr w14:paraId="39001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A8EC2F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72DF0C9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0.224767（XGBoost）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27E7F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0.395647（RF）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4C940D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0.867182</w:t>
            </w:r>
          </w:p>
        </w:tc>
      </w:tr>
    </w:tbl>
    <w:p w14:paraId="5DF8968F">
      <w:pPr>
        <w:keepNext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5866765" cy="2891790"/>
            <wp:effectExtent l="0" t="0" r="635" b="3810"/>
            <wp:docPr id="4" name="图片 4" descr="model_comparison_RM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odel_comparison_RMS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28DA">
      <w:pPr>
        <w:jc w:val="center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eastAsia="宋体" w:cs="Times New Roman"/>
          <w:b w:val="0"/>
          <w:lang w:eastAsia="zh-CN"/>
        </w:rPr>
        <w:t>图2 四类 KPI 的 RMSE 模型比较</w:t>
        <w:br/>
        <w:t>图注补充：历史gotsf-ds留出目标Time 672–839，n=483,840 beam-hour；误差使用原KPI尺度，均值曲线不替代逐样本评分。 图示结论：历史留出集RF在四项KPI的RMSE均最低；新协议成绩另见附表。</w:t>
      </w:r>
      <w:r>
        <w:rPr>
          <w:rFonts w:hint="default" w:ascii="Times New Roman" w:hAnsi="Times New Roman" w:eastAsia="宋体" w:cs="Times New Roman"/>
          <w:b w:val="0"/>
          <w:lang w:eastAsia="zh-CN"/>
        </w:rPr>
      </w:r>
    </w:p>
    <w:p w14:paraId="4D866BD0">
      <w:pPr>
        <w:keepNext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drawing>
          <wp:inline distT="0" distB="0" distL="114300" distR="114300">
            <wp:extent cx="5859145" cy="2886075"/>
            <wp:effectExtent l="0" t="0" r="8255" b="9525"/>
            <wp:docPr id="3" name="图片 3" descr="model_comparison_M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odel_comparison_MA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0165">
      <w:pPr>
        <w:jc w:val="center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eastAsia="宋体" w:cs="Times New Roman"/>
          <w:b w:val="0"/>
          <w:lang w:eastAsia="zh-CN"/>
        </w:rPr>
        <w:t>图3 MAE 模型对比</w:t>
        <w:br/>
        <w:t>图注补充：历史gotsf-ds留出目标Time 672–839，n=483,840 beam-hour；误差使用原KPI尺度，均值曲线不替代逐样本评分。 图示结论：历史留出集XGB在DLPRB、DLThpTime、MR_number的MAE较低，DLThpVol以RF最低。</w:t>
      </w:r>
      <w:r>
        <w:rPr>
          <w:rFonts w:hint="default" w:ascii="Times New Roman" w:hAnsi="Times New Roman" w:eastAsia="宋体" w:cs="Times New Roman"/>
          <w:b w:val="0"/>
          <w:lang w:eastAsia="zh-CN"/>
        </w:rPr>
      </w:r>
    </w:p>
    <w:p w14:paraId="71C5A9ED">
      <w:pPr>
        <w:jc w:val="center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eastAsia="宋体" w:cs="Times New Roman"/>
          <w:b w:val="0"/>
          <w:lang w:eastAsia="zh-CN"/>
        </w:rPr>
        <w:drawing>
          <wp:inline distT="0" distB="0" distL="114300" distR="114300">
            <wp:extent cx="5866765" cy="2891790"/>
            <wp:effectExtent l="0" t="0" r="635" b="3810"/>
            <wp:docPr id="5" name="图片 5" descr="model_comparison_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odel_comparison_R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0481">
      <w:pPr>
        <w:jc w:val="center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eastAsia="宋体" w:cs="Times New Roman"/>
          <w:b w:val="0"/>
          <w:lang w:eastAsia="zh-CN"/>
        </w:rPr>
        <w:t>图4 R² 模型对比</w:t>
        <w:br/>
        <w:t>图注补充：历史留出Time 672–839，n=483,840逐beam-hour；R²为无量纲方差解释指标，越高越好，不是原KPI单位的误差。</w:t>
      </w:r>
      <w:r>
        <w:rPr>
          <w:rFonts w:hint="default" w:ascii="Times New Roman" w:hAnsi="Times New Roman" w:eastAsia="宋体" w:cs="Times New Roman"/>
          <w:b w:val="0"/>
          <w:lang w:eastAsia="zh-CN"/>
        </w:rPr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</w:r>
      <w:r>
        <w:rPr>
          <w:rFonts w:hint="default" w:ascii="Times New Roman" w:hAnsi="Times New Roman" w:eastAsia="宋体" w:cs="Times New Roman"/>
          <w:b w:val="0"/>
          <w:lang w:eastAsia="zh-CN"/>
        </w:rPr>
      </w:r>
      <w:r>
        <w:rPr>
          <w:rFonts w:hint="default" w:ascii="Times New Roman" w:hAnsi="Times New Roman" w:eastAsia="宋体" w:cs="Times New Roman"/>
          <w:b w:val="0"/>
        </w:rPr>
      </w:r>
      <w:r>
        <w:rPr>
          <w:rFonts w:hint="default" w:ascii="Times New Roman" w:hAnsi="Times New Roman" w:eastAsia="宋体" w:cs="Times New Roman"/>
          <w:b w:val="0"/>
          <w:lang w:eastAsia="zh-CN"/>
        </w:rPr>
      </w:r>
    </w:p>
    <w:p w14:paraId="0D7E141F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随机森林在四类KPI的RMSE和R²上均为最优；XGBoost在三类KPI的MAE上略优。MR_number的LinearRegression性能比Persistence基线差，说明模型复杂度增加不保证效果改进。</w:t>
      </w:r>
    </w:p>
    <w:p w14:paraId="2AFCA179">
      <w:pPr>
        <w:jc w:val="both"/>
        <w:rPr>
          <w:rFonts w:hint="default" w:ascii="Times New Roman" w:hAnsi="Times New Roman" w:eastAsia="宋体" w:cs="Times New Roman"/>
          <w:b w:val="0"/>
          <w:lang w:eastAsia="zh-CN"/>
        </w:rPr>
      </w:pPr>
    </w:p>
    <w:p w14:paraId="0E5B20B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技术问题与阶段局限</w:t>
      </w:r>
    </w:p>
    <w:p w14:paraId="222BB974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（1）避免信息泄漏：数据集按时间留出，scaler仅在基础训练期拟合；特征与标签按同一beam分组构造。</w:t>
      </w:r>
    </w:p>
    <w:p w14:paraId="47DE8201">
      <w:pPr>
        <w:widowControl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eastAsia="宋体" w:cs="Times New Roman"/>
          <w:b w:val="0"/>
        </w:rPr>
        <w:t>（2）评估口径： MAE、RMSE 和 R² 均基于测试集中的逐 beam 样本计算；模型性能评估报告中的预测时序图则展示同一时间索引下所有 beam 的真实值与预测值均值。两者的统计粒度不同，不能直接根据聚合后的曲线判断逐 beam 预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</w:rPr>
        <w:t>测性能。</w:t>
      </w:r>
    </w:p>
    <w:p w14:paraId="2ABA2B57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历史阶段状态：（3）泛化边界：仅有一个来源内部的时间留出段，尚未建立滚动回测与独立外部测试，不应夸大模型部署性能。 2026年10月25日已增加GRU三折及RF/XGB/GRU跨类配对检验，详见本报告末尾补充验证；独立外部测试仍未完成。</w:t>
      </w:r>
      <w:r>
        <w:rPr>
          <w:rFonts w:hint="default" w:ascii="Times New Roman" w:hAnsi="Times New Roman" w:eastAsia="宋体" w:cs="Times New Roman"/>
          <w:b w:val="0"/>
        </w:rPr>
      </w:r>
    </w:p>
    <w:p w14:paraId="12EBD11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4E70FA0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交付物核对</w:t>
      </w:r>
    </w:p>
    <w:tbl>
      <w:tblPr>
        <w:tblStyle w:val="33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9"/>
        <w:gridCol w:w="4643"/>
      </w:tblGrid>
      <w:tr w14:paraId="16CFF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459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3DD9358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任务书交付物</w:t>
            </w:r>
          </w:p>
        </w:tc>
        <w:tc>
          <w:tcPr>
            <w:tcW w:w="464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B55F61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可核对的文件</w:t>
            </w:r>
          </w:p>
        </w:tc>
      </w:tr>
      <w:tr w14:paraId="6417C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59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D09B93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1. 数据预处理Python脚本</w:t>
            </w:r>
          </w:p>
        </w:tc>
        <w:tc>
          <w:tcPr>
            <w:tcW w:w="464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8CF6E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w2_data_preprocessing_download.py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w2_data_preprocessing_audit.py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w2_data_preprocessing_pipeline.py</w:t>
            </w:r>
          </w:p>
        </w:tc>
      </w:tr>
      <w:tr w14:paraId="3755B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67368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2. 预处理 KPI 数据集</w:t>
            </w:r>
          </w:p>
        </w:tc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95AB6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kpi_timeseries.csv</w:t>
            </w:r>
          </w:p>
        </w:tc>
      </w:tr>
      <w:tr w14:paraId="1A330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1FEC17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3. 数据集统计分析报告</w:t>
            </w:r>
          </w:p>
        </w:tc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69856E">
            <w:pPr>
              <w:rPr>
                <w:rFonts w:hint="default" w:ascii="Times New Roman" w:hAnsi="Times New Roman" w:eastAsia="宋体" w:cs="Times New Roman"/>
                <w:b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PDF</w:t>
            </w:r>
          </w:p>
        </w:tc>
      </w:tr>
      <w:tr w14:paraId="3E036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99739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 传统 ML KPI 预测模型代码</w:t>
            </w:r>
          </w:p>
        </w:tc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5CA11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w2_traditional_ml_kpi_prediction_features.py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w2_traditional_ml_kpi_prediction_training.py</w:t>
            </w:r>
          </w:p>
        </w:tc>
      </w:tr>
      <w:tr w14:paraId="36380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EEE31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5. 模型性能评估报告</w:t>
            </w:r>
          </w:p>
        </w:tc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275C3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PDF</w:t>
            </w:r>
          </w:p>
        </w:tc>
      </w:tr>
      <w:tr w14:paraId="03B7E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59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6788B9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6. 预测结果可视化</w:t>
            </w:r>
          </w:p>
        </w:tc>
        <w:tc>
          <w:tcPr>
            <w:tcW w:w="464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6FCFA70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lang w:val="en-US" w:eastAsia="zh-CN"/>
              </w:rPr>
              <w:t>图片与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prediction_timeseries.csv</w:t>
            </w:r>
          </w:p>
        </w:tc>
      </w:tr>
      <w:tr w14:paraId="24E8A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459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9B1E9C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脚本名称</w:t>
            </w:r>
          </w:p>
        </w:tc>
        <w:tc>
          <w:tcPr>
            <w:tcW w:w="464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0184F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功能说明</w:t>
            </w:r>
          </w:p>
        </w:tc>
      </w:tr>
      <w:tr w14:paraId="515D4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59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E0FF6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w2_data_preprocessing_download.py</w:t>
            </w:r>
          </w:p>
        </w:tc>
        <w:tc>
          <w:tcPr>
            <w:tcW w:w="464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02DE4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获取四类原始 KPI 数据</w:t>
            </w:r>
          </w:p>
        </w:tc>
      </w:tr>
      <w:tr w14:paraId="4352F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93309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w2_data_preprocessing_audit.py</w:t>
            </w:r>
          </w:p>
        </w:tc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A4025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审计缺失、重复、非法值及时间连续性</w:t>
            </w:r>
          </w:p>
        </w:tc>
      </w:tr>
      <w:tr w14:paraId="576EC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FFD473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w2_data_preprocessing_pipeline.py</w:t>
            </w:r>
          </w:p>
        </w:tc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426179">
            <w:pPr>
              <w:rPr>
                <w:rFonts w:hint="default" w:ascii="Times New Roman" w:hAnsi="Times New Roman" w:eastAsia="宋体" w:cs="Times New Roman"/>
                <w:b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构建时间序列长表，完成数据划分、标准化和归一化</w:t>
            </w:r>
          </w:p>
        </w:tc>
      </w:tr>
      <w:tr w14:paraId="35686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1E8710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w2_traditional_ml_kpi_prediction_features.py</w:t>
            </w:r>
          </w:p>
        </w:tc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DE61C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构造20维历史时序特征及下一时间步标签</w:t>
            </w:r>
          </w:p>
        </w:tc>
      </w:tr>
      <w:tr w14:paraId="746CE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504F7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w2_traditional_ml_kpi_prediction_training.py</w:t>
            </w:r>
          </w:p>
        </w:tc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4F891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运行六种预测方法，评估性能并输出可视化结果</w:t>
            </w:r>
          </w:p>
        </w:tc>
      </w:tr>
    </w:tbl>
    <w:p w14:paraId="136C0FC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下一周工作</w:t>
      </w:r>
    </w:p>
    <w:p w14:paraId="5207422F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下一阶段将构建LSTM/GRU时序预测基线并探索Transformer，同时开展统计阈值、Isolation Forest和One-Class SVM异常检测，初步分析KPI之间的异常关联。跨阶段比较需使用一致的测试时段、预测标签与指标计算方式。</w:t>
      </w:r>
    </w:p>
    <w:p>
      <w:r>
        <w:br w:type="page"/>
      </w:r>
    </w:p>
    <w:p>
      <w:pPr>
        <w:pStyle w:val="3"/>
      </w:pPr>
      <w:r>
        <w:t>2026年10月25日算法验证与导师反馈补充</w:t>
      </w:r>
    </w:p>
    <w:p>
      <w:pPr>
        <w:spacing w:after="120"/>
      </w:pPr>
      <w:r>
        <w:t>本节为本次实际执行的补充验证。前文原留出成绩保留为历史实验，本节新成绩使用独立目录归档，不替换旧权重或旧图表。Web入口、页面、交互与后台集成源码保持不变。</w:t>
      </w:r>
    </w:p>
    <w:p>
      <w:pPr>
        <w:pStyle w:val="4"/>
      </w:pPr>
      <w:r>
        <w:t>统一比较协议与时序回测</w:t>
      </w:r>
    </w:p>
    <w:p>
      <w:pPr>
        <w:spacing w:after="120"/>
      </w:pPr>
      <w:r>
        <w:t>RF、XGBoost和GRU使用完全相同的60,000条训练标签及目标时段；ML输入20维，GRU输入24×4连续历史与4维季节向量。统一训练样本量并不等于统一计算预算，GRU有内部验证早停，树模型沿用固定参数。三个外层评估窗为384–479、480–575、576–671；内部早停窗分别为336–383、432–479、528–575，训练目标从169开始至内部验证前一小时。全部2,880 beam参与每个外层评估，各276,480条。</w:t>
      </w:r>
    </w:p>
    <w:p>
      <w:pPr>
        <w:spacing w:after="120"/>
      </w:pPr>
      <w:r>
        <w:t>留出评估为672–839，共483,840条；训练目标169–587，内部验证588–671。每个模型的缩放器只用内部验证起点之前的raw观测拟合；已通过改变所有未来值而训练缩放参数不变的回归测试。固定seed42执行三折与留出，seed43仅重复留出；两种模型种子使用相同训练抽样（抽样seed42）。这是有限的初始化稳定性证据。</w:t>
      </w:r>
    </w:p>
    <w:p>
      <w:r>
        <w:t>表A1 新实验留出集结果 seed42 原始KPI尺度</w:t>
      </w:r>
    </w:p>
    <w:tbl>
      <w:tblPr>
        <w:tblStyle w:val="34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tblHeader/>
          <w:cantSplit/>
          <w:tblHeader/>
        </w:trPr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模型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MAE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RMSE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R²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0.266552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0.513284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0.769915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0.212908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0.478479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0.584089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0.247807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0.540264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0.684194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0.231022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0.413987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0.854584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0.268472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0.518092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0.765584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0.220221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0.559090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0.432144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0.251333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0.581392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0.634282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0.231131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0.416529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0.852792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0.247765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0.476520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0.801694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0.211055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0.498167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0.549158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0.236438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0.519272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0.708258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0.207566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0.366875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0.885797</w:t>
            </w:r>
          </w:p>
        </w:tc>
      </w:tr>
    </w:tbl>
    <w:p>
      <w:pPr>
        <w:spacing w:after="120"/>
      </w:pPr>
      <w:r>
        <w:t>GRU在seed42的四项MAE均最低；DLThpVol仍由RF取得较低RMSE和较高R²。GRU适合作为MAE优先推荐，DLThpVol在关注大误差时保留RF。本结论针对本数据、配置和损失权重。历史传统综合排名1.417来自MAE/RMSE/R²名次等权，其中RMSE与R²同序，不能视为三个独立证据。</w:t>
      </w:r>
    </w:p>
    <w:p>
      <w:r>
        <w:t>表A2 新三折扩展窗口结果 seed42 均值及折间标准差</w:t>
      </w:r>
    </w:p>
    <w:tbl>
      <w:tblPr>
        <w:tblStyle w:val="34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模型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MAE 均值±SD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RMSE 均值±SD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0.2553 ± 0.0061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0.4756 ± 0.0077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0.2515 ± 0.0084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0.6752 ± 0.1417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0.2287 ± 0.0127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1.0353 ± 0.3805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0.2121 ± 0.0028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0.3562 ± 0.0065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0.2695 ± 0.0029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0.5161 ± 0.0107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0.2628 ± 0.0125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0.7271 ± 0.1729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0.2381 ± 0.0152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1.0875 ± 0.3967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0.2294 ± 0.0016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0.4069 ± 0.0029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0.2715 ± 0.0034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0.5237 ± 0.0112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0.2659 ± 0.0125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0.7259 ± 0.1452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0.2440 ± 0.0137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1.1110 ± 0.3230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0.2291 ± 0.0021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0.4097 ± 0.0054</w:t>
            </w:r>
          </w:p>
        </w:tc>
      </w:tr>
    </w:tbl>
    <w:p>
      <w:pPr>
        <w:spacing w:after="120"/>
      </w:pPr>
      <w:r>
        <w:t>三折均值中GRU的四项MAE/RMSE均低于本轮RF/XGB，但DLThpVol跨折RMSE波动较大，不能用一次留出结果概括所有时段。旧全量传统回测中DLThpVol的线性回归RMSE=0.967665低于RF=1.003675；该旧实验的训练预算不同，应独立解释。LSTM与Transformer本次没有新增三折或种子实验。</w:t>
      </w:r>
    </w:p>
    <w:p>
      <w:pPr>
        <w:pStyle w:val="4"/>
      </w:pPr>
      <w:r>
        <w:t>跨类别配对显著性与随机种子</w:t>
      </w:r>
    </w:p>
    <w:p>
      <w:pPr>
        <w:spacing w:after="120"/>
      </w:pPr>
      <w:r>
        <w:t>在相同beam和目标小时上，先计算逐记录绝对/平方误差，再按小时平均，形成168个配对损失。d为候选损失减参考损失，负值有利于候选。使用Newey–West HAC带宽24、双侧近似检验；每个场景和seed的3对模型×4KPI×2损失共24项一起Holm校正。95%区间为逐项HAC区间，未作同时区间校正。未为获得显著结果修改参数。</w:t>
      </w:r>
    </w:p>
    <w:p>
      <w:r>
        <w:t>表A3 GRU对RF的留出配对损失检验 seed42</w:t>
      </w:r>
    </w:p>
    <w:tbl>
      <w:tblPr>
        <w:tblStyle w:val="34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KPI及损失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平均差d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95% CI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Holm p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-0.018787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[-0.020485, -0.017089]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7.46e-103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-0.036389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[-0.040054, -0.032723]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5.21e-83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-0.001853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[-0.004178, 0.000471]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0.354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0.019228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[-0.006343, 0.044798]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0.354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-0.011369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[-0.013218, -0.009520]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2.68e-32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-0.022241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[-0.027565, -0.016918]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2.64e-15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-0.023456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[-0.025629, -0.021282]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5.82e-98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-0.036788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[-0.041060, -0.032516]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1.23e-62</w:t>
            </w:r>
          </w:p>
        </w:tc>
      </w:tr>
    </w:tbl>
    <w:p>
      <w:pPr>
        <w:spacing w:after="120"/>
      </w:pPr>
      <w:r>
        <w:t>DLThpVol在seed42上的GRU对RF，MAE差−0.001853、MSE差+0.019228，两者Holm p均约0.354，不能判定差异显著。DLPRB、DLThpTime、MR_number的GRU对RF两类损失在该协议下均有显著改善。其余模型配对与seed43的完整效应、区间和p值见holdout_significance.csv，不将未显著解释为模型完全等效。</w:t>
      </w:r>
    </w:p>
    <w:p>
      <w:r>
        <w:t>表A4 两组模型种子的留出误差 seed42及43</w:t>
      </w:r>
    </w:p>
    <w:tbl>
      <w:tblPr>
        <w:tblStyle w:val="34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模型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MAE 42 / 43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RMSE 42 / 43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0.2478 / 0.2473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0.4765 / 0.4773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0.2111 / 0.2097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0.4982 / 0.5001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0.2364 / 0.2277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0.5193 / 0.5122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0.2076 / 0.2080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0.3669 / 0.3697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0.2666 / 0.2663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0.5133 / 0.5115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0.2129 / 0.2130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0.4785 / 0.4779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0.2478 / 0.2478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0.5403 / 0.5408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0.2310 / 0.2312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0.4140 / 0.4148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0.2685 / 0.2684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0.5181 / 0.5185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0.2202 / 0.2201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0.5591 / 0.5561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0.2513 / 0.2515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0.5814 / 0.5877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0.2311 / 0.2310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0.4165 / 0.4158</w:t>
            </w:r>
          </w:p>
        </w:tc>
      </w:tr>
    </w:tbl>
    <w:p>
      <w:pPr>
        <w:spacing w:after="120"/>
      </w:pPr>
      <w:r>
        <w:t>seed43保留了GRU四项MAE较低、RF的DLThpVol RMSE较低的观察；两组种子不构成独立时间样本，不能把它们当作大样本稳定性证明。测试期已在历史选型中反复使用，本次属于固定协议复核，并非独立外部验证。</w:t>
      </w:r>
    </w:p>
    <w:p>
      <w:pPr>
        <w:pStyle w:val="4"/>
      </w:pPr>
      <w:r>
        <w:t>代码修复与最新验收</w:t>
      </w:r>
    </w:p>
    <w:p>
      <w:pPr>
        <w:spacing w:after="120"/>
      </w:pPr>
      <w:r>
        <w:t>修复仅涉及底层小时数据契约、DL输出预检和scaler测试提取。训练加载器与推理拒绝共同缺小时、重复或非整数小时；保留ML 20维、DL窗口、逆标准化和IF AND (3σ OR IQR)定义。DL当前代码已仅在内部训练前缀拟合scaler；本次锁定该行为，没有把历史成绩改写为新成绩。</w:t>
      </w:r>
    </w:p>
    <w:p>
      <w:pPr>
        <w:spacing w:after="120"/>
      </w:pPr>
      <w:r>
        <w:t>本次既有自动化基线48项通过；新增算法及统计回归后最新完整测试57项通过（final_tests.txt）。六个Streamlit页面AppTest加载及切换均无异常，实际新模型回载及CSV导出通过，原异常模型5,760条检测通过。另用1轮、512条样本执行现有DL CLI仅作功能验收，不把其分数纳入模型比较。Web页面及服务源码哈希保持不变。本次未以真人浏览器重走每个上传/下载控件或实时WebSocket训练全流程，不能将自动验收冒充完整手工验收。</w:t>
      </w:r>
    </w:p>
    <w:p>
      <w:pPr>
        <w:spacing w:after="120"/>
      </w:pPr>
      <w:r>
        <w:t>证据根目录：reports/final_audit_20261025。新实验配置protocol.json、逐次runs.json、60组metrics.csv、hourly_losses.csv、48组holdout_significance.csv；实际权重及逐beam-hour配对预测位于resources/final_audit_20261025（Git忽略，需本机备份）。历史reports/和figures/数值保持原样。没有独立外部数据、全模型调参或生产实时网管接入，本次不扩大该范围。</w:t>
      </w:r>
    </w:p>
    <w:sectPr>
      <w:headerReference r:id="rId5" w:type="default"/>
      <w:footerReference r:id="rId6" w:type="default"/>
      <w:pgSz w:w="11906" w:h="16838"/>
      <w:pgMar w:top="1304" w:right="1332" w:bottom="1049" w:left="1332" w:header="737" w:footer="79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22579">
    <w:pPr>
      <w:pStyle w:val="24"/>
      <w:jc w:val="center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color w:val="90979E"/>
        <w:sz w:val="15"/>
      </w:rPr>
      <w:t xml:space="preserve">第 </w:t>
    </w:r>
    <w:r>
      <w:rPr>
        <w:rFonts w:hint="default" w:ascii="Times New Roman" w:hAnsi="Times New Roman" w:eastAsia="宋体" w:cs="Times New Roman"/>
      </w:rPr>
      <w:fldChar w:fldCharType="begin"/>
    </w:r>
    <w:r>
      <w:rPr>
        <w:rFonts w:hint="default" w:ascii="Times New Roman" w:hAnsi="Times New Roman" w:eastAsia="宋体" w:cs="Times New Roman"/>
      </w:rPr>
      <w:instrText xml:space="preserve">PAGE</w:instrText>
    </w:r>
    <w:r>
      <w:rPr>
        <w:rFonts w:hint="default" w:ascii="Times New Roman" w:hAnsi="Times New Roman" w:eastAsia="宋体" w:cs="Times New Roman"/>
      </w:rPr>
      <w:fldChar w:fldCharType="separate"/>
    </w:r>
    <w:r>
      <w:rPr>
        <w:rFonts w:hint="default" w:ascii="Times New Roman" w:hAnsi="Times New Roman" w:eastAsia="宋体" w:cs="Times New Roman"/>
      </w:rPr>
      <w:fldChar w:fldCharType="end"/>
    </w:r>
    <w:r>
      <w:rPr>
        <w:rFonts w:hint="default" w:ascii="Times New Roman" w:hAnsi="Times New Roman" w:eastAsia="宋体" w:cs="Times New Roman"/>
        <w:color w:val="90979E"/>
        <w:sz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6B5A6">
    <w:pPr>
      <w:pStyle w:val="25"/>
      <w:jc w:val="right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color w:val="858B95"/>
        <w:sz w:val="15"/>
      </w:rPr>
      <w:t>Week2|第二周实验报告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0929"/>
    <w:rsid w:val="00AA1D8D"/>
    <w:rsid w:val="00B47730"/>
    <w:rsid w:val="00CB0664"/>
    <w:rsid w:val="00FC693F"/>
    <w:rsid w:val="06BA6E2B"/>
    <w:rsid w:val="0CB95777"/>
    <w:rsid w:val="13BE44BB"/>
    <w:rsid w:val="15252F8C"/>
    <w:rsid w:val="190F7D00"/>
    <w:rsid w:val="1B5B0843"/>
    <w:rsid w:val="1BA23AE5"/>
    <w:rsid w:val="2CCE1A9C"/>
    <w:rsid w:val="38E242AF"/>
    <w:rsid w:val="3D9C58D4"/>
    <w:rsid w:val="4BAC12C9"/>
    <w:rsid w:val="50356F62"/>
    <w:rsid w:val="50766D67"/>
    <w:rsid w:val="55F36621"/>
    <w:rsid w:val="581E27FC"/>
    <w:rsid w:val="58DA1098"/>
    <w:rsid w:val="60684FBE"/>
    <w:rsid w:val="61283F3B"/>
    <w:rsid w:val="6BE578C4"/>
    <w:rsid w:val="739B16FB"/>
    <w:rsid w:val="75184DC0"/>
    <w:rsid w:val="7BD922C2"/>
    <w:rsid w:val="7D525D45"/>
    <w:rsid w:val="7FD9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 w:line="300" w:lineRule="auto"/>
      <w:outlineLvl w:val="0"/>
    </w:pPr>
    <w:rPr>
      <w:rFonts w:ascii="Times New Roman" w:hAnsi="Times New Roman" w:eastAsia="宋体" w:cs="Times New Roman"/>
      <w:b/>
      <w:bCs/>
      <w:color w:val="163A5F"/>
      <w:sz w:val="30"/>
      <w:szCs w:val="28"/>
      <w:lang w:eastAsia="zh-CN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153D68"/>
      <w:sz w:val="21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153D68"/>
      <w:sz w:val="20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60" w:line="240" w:lineRule="auto"/>
    </w:pPr>
    <w:rPr>
      <w:rFonts w:ascii="Noto Serif CJK SC" w:hAnsi="Noto Serif CJK SC" w:eastAsia="Noto Serif CJK SC"/>
      <w:bCs/>
      <w:color w:val="3F4C5A"/>
      <w:sz w:val="16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180" w:after="360" w:line="240" w:lineRule="auto"/>
      <w:contextualSpacing/>
    </w:pPr>
    <w:rPr>
      <w:rFonts w:asciiTheme="majorHAnsi" w:hAnsiTheme="majorHAnsi" w:eastAsiaTheme="majorEastAsia" w:cstheme="majorBidi"/>
      <w:b/>
      <w:color w:val="153D68"/>
      <w:spacing w:val="5"/>
      <w:kern w:val="28"/>
      <w:sz w:val="36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link w:val="3"/>
    <w:qFormat/>
    <w:uiPriority w:val="9"/>
    <w:rPr>
      <w:rFonts w:ascii="Times New Roman" w:hAnsi="Times New Roman" w:eastAsia="宋体" w:cs="Times New Roman"/>
      <w:b/>
      <w:bCs/>
      <w:color w:val="163A5F"/>
      <w:sz w:val="30"/>
      <w:szCs w:val="28"/>
      <w:lang w:val="en-US" w:eastAsia="zh-CN" w:bidi="ar-SA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SmallText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color w:val="4C5B6E"/>
      <w:sz w:val="17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836</Words>
  <Characters>1546</Characters>
  <Lines>0</Lines>
  <Paragraphs>0</Paragraphs>
  <TotalTime>4</TotalTime>
  <ScaleCrop>false</ScaleCrop>
  <LinksUpToDate>false</LinksUpToDate>
  <CharactersWithSpaces>1603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白鸟</cp:lastModifiedBy>
  <dcterms:modified xsi:type="dcterms:W3CDTF">2026-10-08T04:45:37Z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eyJoZGlkIjoiM2NkYThkNzk1NjRiY2FkMmQxYTI1NDIwYTAwZTc5NjYiLCJ1c2VySWQiOiIyODgyMzk1NzcifQ==</vt:lpwstr>
  </property>
  <property fmtid="{D5CDD505-2E9C-101B-9397-08002B2CF9AE}" pid="3" name="KSOProductBuildVer">
    <vt:lpwstr>2052-12.1.0.28599</vt:lpwstr>
  </property>
  <property fmtid="{D5CDD505-2E9C-101B-9397-08002B2CF9AE}" pid="4" name="ICV">
    <vt:lpwstr>05742E0EE6754355BA9EBB53984C9798_12</vt:lpwstr>
  </property>
</Properties>
</file>