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60"/>
      </w:pPr>
      <w:r>
        <w:t>2026年10月25日核验修订版  前文历史成绩保留 新实验及最新状态见末节补充验证</w:t>
      </w:r>
    </w:p>
    <w:p w14:paraId="721A6335">
      <w:pPr>
        <w:spacing w:before="1600" w:after="80" w:line="300" w:lineRule="auto"/>
        <w:jc w:val="center"/>
        <w:rPr>
          <w:rFonts w:hint="default" w:ascii="Times New Roman" w:hAnsi="Times New Roman" w:eastAsia="宋体" w:cs="Times New Roman"/>
          <w:b/>
          <w:color w:val="2F5597"/>
          <w:sz w:val="32"/>
          <w:lang w:eastAsia="zh-CN"/>
        </w:rPr>
      </w:pPr>
      <w:r>
        <w:rPr>
          <w:rFonts w:hint="default" w:ascii="Times New Roman" w:hAnsi="Times New Roman" w:eastAsia="宋体" w:cs="Times New Roman"/>
          <w:b/>
          <w:color w:val="2F5597"/>
          <w:sz w:val="32"/>
          <w:lang w:eastAsia="zh-CN"/>
        </w:rPr>
        <w:t>基于 AI 的 5G 网络关键性能指标预测与异常检测系统</w:t>
      </w:r>
    </w:p>
    <w:p w14:paraId="41C27300">
      <w:pPr>
        <w:spacing w:before="360" w:after="80" w:line="300" w:lineRule="auto"/>
        <w:jc w:val="center"/>
        <w:rPr>
          <w:rFonts w:hint="default" w:ascii="Times New Roman" w:hAnsi="Times New Roman" w:eastAsia="宋体" w:cs="Times New Roman"/>
          <w:b/>
          <w:color w:val="163A5F"/>
          <w:sz w:val="50"/>
          <w:lang w:eastAsia="zh-CN"/>
        </w:rPr>
      </w:pPr>
      <w:r>
        <w:rPr>
          <w:rFonts w:hint="default" w:ascii="Times New Roman" w:hAnsi="Times New Roman" w:eastAsia="宋体" w:cs="Times New Roman"/>
          <w:b w:val="0"/>
          <w:sz w:val="21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b/>
          <w:color w:val="163A5F"/>
          <w:sz w:val="50"/>
          <w:lang w:eastAsia="zh-CN"/>
        </w:rPr>
        <w:t>数据集统计分析报告</w:t>
      </w:r>
    </w:p>
    <w:p w14:paraId="61CC0606">
      <w:pPr>
        <w:spacing w:before="700" w:after="80" w:line="300" w:lineRule="auto"/>
        <w:jc w:val="center"/>
        <w:rPr>
          <w:rFonts w:hint="default" w:ascii="Times New Roman" w:hAnsi="Times New Roman" w:eastAsia="宋体" w:cs="Times New Roman"/>
          <w:b w:val="0"/>
          <w:sz w:val="24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gotsf-ds 四类 KPI 的原始数据审计、预处理与时间序列构建</w:t>
      </w:r>
    </w:p>
    <w:p w14:paraId="196914D1">
      <w:pPr>
        <w:rPr>
          <w:rFonts w:hint="default" w:ascii="Times New Roman" w:hAnsi="Times New Roman" w:eastAsia="宋体" w:cs="Times New Roman"/>
        </w:rPr>
      </w:pPr>
    </w:p>
    <w:p w14:paraId="087F65CB">
      <w:pPr>
        <w:rPr>
          <w:rFonts w:hint="default" w:ascii="Times New Roman" w:hAnsi="Times New Roman" w:eastAsia="宋体" w:cs="Times New Roman"/>
        </w:rPr>
      </w:pPr>
    </w:p>
    <w:p w14:paraId="7EFE46FC">
      <w:pPr>
        <w:rPr>
          <w:rFonts w:hint="default" w:ascii="Times New Roman" w:hAnsi="Times New Roman" w:eastAsia="宋体" w:cs="Times New Roman"/>
        </w:rPr>
      </w:pPr>
    </w:p>
    <w:p w14:paraId="13D6ECB9">
      <w:pPr>
        <w:spacing w:before="2000" w:after="80" w:line="300" w:lineRule="auto"/>
        <w:jc w:val="center"/>
        <w:rPr>
          <w:rFonts w:hint="default" w:ascii="Times New Roman" w:hAnsi="Times New Roman" w:eastAsia="宋体" w:cs="Times New Roman"/>
          <w:b w:val="0"/>
          <w:color w:val="5A5A5A"/>
          <w:sz w:val="20"/>
        </w:rPr>
      </w:pPr>
      <w:r>
        <w:rPr>
          <w:rFonts w:hint="default" w:ascii="Times New Roman" w:hAnsi="Times New Roman" w:eastAsia="宋体" w:cs="Times New Roman"/>
          <w:b w:val="0"/>
          <w:color w:val="5A5A5A"/>
          <w:sz w:val="20"/>
        </w:rPr>
        <w:t>数据集：gotsf-ds / netop/gotsf-ds</w:t>
      </w:r>
      <w:r>
        <w:rPr>
          <w:rFonts w:hint="default" w:ascii="Times New Roman" w:hAnsi="Times New Roman" w:eastAsia="宋体" w:cs="Times New Roman"/>
          <w:b w:val="0"/>
          <w:color w:val="5A5A5A"/>
          <w:sz w:val="20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5A5A5A"/>
          <w:sz w:val="20"/>
        </w:rPr>
        <w:t>处理工具：Python / Pandas / NumPy / scikit-learn</w:t>
      </w:r>
    </w:p>
    <w:p w14:paraId="11661C37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</w:p>
    <w:p w14:paraId="1BA72511">
      <w:pPr>
        <w:pStyle w:val="3"/>
        <w:bidi w:val="0"/>
        <w:rPr>
          <w:rFonts w:hint="default" w:ascii="Times New Roman" w:hAnsi="Times New Roman" w:eastAsia="宋体" w:cs="Times New Roman"/>
          <w:color w:val="163A5F"/>
          <w:sz w:val="30"/>
        </w:rPr>
      </w:pPr>
      <w:r>
        <w:rPr>
          <w:rFonts w:hint="default" w:ascii="Times New Roman" w:hAnsi="Times New Roman" w:eastAsia="宋体" w:cs="Times New Roman"/>
          <w:color w:val="163A5F"/>
          <w:sz w:val="30"/>
        </w:rPr>
        <w:t>1</w:t>
      </w:r>
      <w:r>
        <w:rPr>
          <w:rFonts w:hint="default" w:ascii="Times New Roman" w:hAnsi="Times New Roman" w:eastAsia="宋体" w:cs="Times New Roman"/>
          <w:color w:val="163A5F"/>
          <w:sz w:val="30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color w:val="163A5F"/>
          <w:sz w:val="30"/>
        </w:rPr>
        <w:t xml:space="preserve"> 实验目的与数据来源</w:t>
      </w:r>
    </w:p>
    <w:p w14:paraId="6FC1B9B7">
      <w:pPr>
        <w:bidi w:val="0"/>
        <w:rPr>
          <w:rFonts w:hint="default"/>
        </w:rPr>
      </w:pPr>
      <w:r>
        <w:rPr>
          <w:rFonts w:hint="default"/>
        </w:rPr>
        <w:t>本实验以公开的 gotsf-ds 数据集为输入，完成数据结构识别、数据质量审计、时间序列划分、标准化与归一化处理，为后续传统机器学习 KPI 预测提供统一的数据基础。</w:t>
      </w:r>
    </w:p>
    <w:tbl>
      <w:tblPr>
        <w:tblStyle w:val="32"/>
        <w:tblW w:w="924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0D0DCE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  <w:tblHeader/>
        </w:trPr>
        <w:tc>
          <w:tcPr>
            <w:tcW w:w="308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6BCC213E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数据对象</w:t>
            </w:r>
          </w:p>
        </w:tc>
        <w:tc>
          <w:tcPr>
            <w:tcW w:w="308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8D71AF3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规模或范围</w:t>
            </w:r>
          </w:p>
        </w:tc>
        <w:tc>
          <w:tcPr>
            <w:tcW w:w="308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911490A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说明</w:t>
            </w:r>
          </w:p>
        </w:tc>
      </w:tr>
      <w:tr w14:paraId="0BFDC7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308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F625B5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数据来源</w:t>
            </w:r>
          </w:p>
        </w:tc>
        <w:tc>
          <w:tcPr>
            <w:tcW w:w="308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F8B48B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gotsf-ds</w:t>
            </w:r>
          </w:p>
        </w:tc>
        <w:tc>
          <w:tcPr>
            <w:tcW w:w="308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ACCE91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四份 *_train_0w-5w.csv 文件</w:t>
            </w:r>
          </w:p>
        </w:tc>
      </w:tr>
      <w:tr w14:paraId="421FFA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D2A3DC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KPI 种类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06DA51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337D29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DLPRB / DLThpVol / DLThpTime / MR_number</w:t>
            </w:r>
          </w:p>
        </w:tc>
      </w:tr>
      <w:tr w14:paraId="7CC053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1D368B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时间索引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C73A58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0–839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636711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840个等间隔索引；原记录按小时描述</w:t>
            </w:r>
          </w:p>
        </w:tc>
      </w:tr>
      <w:tr w14:paraId="63E1F0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BE29AA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空间对象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7B3693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30基站 / 90 cell / 2880 beam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091402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列名含 base_station_cell_beam 标识</w:t>
            </w:r>
          </w:p>
        </w:tc>
      </w:tr>
      <w:tr w14:paraId="571CBF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308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2B9F228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输出文件</w:t>
            </w:r>
          </w:p>
        </w:tc>
        <w:tc>
          <w:tcPr>
            <w:tcW w:w="308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E6879B9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kpi_timeseries.csv</w:t>
            </w:r>
          </w:p>
        </w:tc>
        <w:tc>
          <w:tcPr>
            <w:tcW w:w="308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CD8FFB5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2,419,200行 × 17列</w:t>
            </w:r>
          </w:p>
        </w:tc>
      </w:tr>
    </w:tbl>
    <w:p w14:paraId="50A8F20C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</w:t>
      </w:r>
      <w:r>
        <w:rPr>
          <w:rFonts w:hint="default" w:ascii="Times New Roman" w:hAnsi="Times New Roman" w:eastAsia="宋体" w:cs="Times New Roman"/>
          <w:lang w:val="en-US" w:eastAsia="zh-CN"/>
        </w:rPr>
        <w:t>.</w:t>
      </w:r>
      <w:r>
        <w:rPr>
          <w:rFonts w:hint="default" w:ascii="Times New Roman" w:hAnsi="Times New Roman" w:eastAsia="宋体" w:cs="Times New Roman"/>
        </w:rPr>
        <w:t xml:space="preserve"> 数据格式与对象标识</w:t>
      </w:r>
    </w:p>
    <w:p w14:paraId="16F2EB7F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原始 CSV 每个 KPI 单独存储为宽表，首列由 Pandas 读为 Unnamed: 0，其余 2880 列按“基站_cell_beam”编码。预处理脚本将首列恢复为 Time，并将多份宽表按相同时间和 beam 结构合并为统一长表。</w:t>
      </w:r>
    </w:p>
    <w:tbl>
      <w:tblPr>
        <w:tblStyle w:val="32"/>
        <w:tblW w:w="924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240ABA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  <w:tblHeader/>
        </w:trPr>
        <w:tc>
          <w:tcPr>
            <w:tcW w:w="308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23765118">
            <w:pPr>
              <w:keepNext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原始列示例</w:t>
            </w:r>
          </w:p>
        </w:tc>
        <w:tc>
          <w:tcPr>
            <w:tcW w:w="308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86A7D7D">
            <w:pPr>
              <w:keepNext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转换后字段</w:t>
            </w:r>
          </w:p>
        </w:tc>
        <w:tc>
          <w:tcPr>
            <w:tcW w:w="308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F3AE9D4">
            <w:pPr>
              <w:keepNext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对应含义</w:t>
            </w:r>
          </w:p>
        </w:tc>
      </w:tr>
      <w:tr w14:paraId="335B0F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308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8CB976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Unnamed: 0</w:t>
            </w:r>
          </w:p>
        </w:tc>
        <w:tc>
          <w:tcPr>
            <w:tcW w:w="308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7B37B5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Time</w:t>
            </w:r>
          </w:p>
        </w:tc>
        <w:tc>
          <w:tcPr>
            <w:tcW w:w="308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958192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时间索引</w:t>
            </w:r>
          </w:p>
        </w:tc>
      </w:tr>
      <w:tr w14:paraId="2A2125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BDCD6E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12_2_31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BE44DC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base_station=12; cell=2; beam=31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2CBDCD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三层网络对象标识</w:t>
            </w:r>
          </w:p>
        </w:tc>
      </w:tr>
      <w:tr w14:paraId="73D946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308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F92AE09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各 KPI 对应数值</w:t>
            </w:r>
          </w:p>
        </w:tc>
        <w:tc>
          <w:tcPr>
            <w:tcW w:w="308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230EA91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DLPRB / DLThpVol / DLThpTime / MR_number</w:t>
            </w:r>
          </w:p>
        </w:tc>
        <w:tc>
          <w:tcPr>
            <w:tcW w:w="308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EB69CB6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同一时间和 beam 的四种观测值</w:t>
            </w:r>
          </w:p>
        </w:tc>
      </w:tr>
    </w:tbl>
    <w:p w14:paraId="468E9073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</w:t>
      </w:r>
      <w:r>
        <w:rPr>
          <w:rFonts w:hint="default" w:ascii="Times New Roman" w:hAnsi="Times New Roman" w:eastAsia="宋体" w:cs="Times New Roman"/>
          <w:lang w:val="en-US" w:eastAsia="zh-CN"/>
        </w:rPr>
        <w:t>.</w:t>
      </w:r>
      <w:r>
        <w:rPr>
          <w:rFonts w:hint="default" w:ascii="Times New Roman" w:hAnsi="Times New Roman" w:eastAsia="宋体" w:cs="Times New Roman"/>
        </w:rPr>
        <w:t xml:space="preserve"> 原始数据质量审计</w:t>
      </w:r>
    </w:p>
    <w:p w14:paraId="65A2F398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使用</w:t>
      </w:r>
      <w:r>
        <w:rPr>
          <w:rFonts w:hint="default" w:ascii="Times New Roman" w:hAnsi="Times New Roman" w:eastAsia="宋体" w:cs="Times New Roman"/>
          <w:b w:val="0"/>
          <w:lang w:val="en-US" w:eastAsia="zh-CN"/>
        </w:rPr>
        <w:t>审计脚本</w:t>
      </w:r>
      <w:r>
        <w:rPr>
          <w:rFonts w:hint="default" w:ascii="Times New Roman" w:hAnsi="Times New Roman" w:eastAsia="宋体" w:cs="Times New Roman"/>
          <w:b w:val="0"/>
        </w:rPr>
        <w:t>对时间连续性、重复时间、完全重复行、缺失值、无限值、负值及非法 beam 标识进行核验，并确认四份 KPI 文件具有一致的时间轴和 beam 结构。原始审计结果如</w:t>
      </w:r>
      <w:r>
        <w:rPr>
          <w:rFonts w:hint="default" w:ascii="Times New Roman" w:hAnsi="Times New Roman" w:eastAsia="宋体" w:cs="Times New Roman"/>
          <w:b w:val="0"/>
          <w:lang w:val="en-US" w:eastAsia="zh-CN"/>
        </w:rPr>
        <w:t>下表所示</w:t>
      </w:r>
      <w:r>
        <w:rPr>
          <w:rFonts w:hint="default" w:ascii="Times New Roman" w:hAnsi="Times New Roman" w:eastAsia="宋体" w:cs="Times New Roman"/>
          <w:b w:val="0"/>
        </w:rPr>
        <w:t>。</w:t>
      </w:r>
    </w:p>
    <w:tbl>
      <w:tblPr>
        <w:tblStyle w:val="32"/>
        <w:tblW w:w="924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1848"/>
        <w:gridCol w:w="1848"/>
        <w:gridCol w:w="1848"/>
        <w:gridCol w:w="1848"/>
      </w:tblGrid>
      <w:tr w14:paraId="37775C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  <w:tblHeader/>
        </w:trPr>
        <w:tc>
          <w:tcPr>
            <w:tcW w:w="184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78260A20">
            <w:pPr>
              <w:keepNext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检查项</w:t>
            </w:r>
          </w:p>
        </w:tc>
        <w:tc>
          <w:tcPr>
            <w:tcW w:w="184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D308223">
            <w:pPr>
              <w:keepNext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DLPRB</w:t>
            </w:r>
          </w:p>
        </w:tc>
        <w:tc>
          <w:tcPr>
            <w:tcW w:w="184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9ABE9DB">
            <w:pPr>
              <w:keepNext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DLThpVol</w:t>
            </w:r>
          </w:p>
        </w:tc>
        <w:tc>
          <w:tcPr>
            <w:tcW w:w="184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973AC07">
            <w:pPr>
              <w:keepNext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DLThpTime</w:t>
            </w:r>
          </w:p>
        </w:tc>
        <w:tc>
          <w:tcPr>
            <w:tcW w:w="184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F8521A2">
            <w:pPr>
              <w:keepNext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MR_number</w:t>
            </w:r>
          </w:p>
        </w:tc>
      </w:tr>
      <w:tr w14:paraId="374B6E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184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E48DB7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时间点数量</w:t>
            </w:r>
          </w:p>
        </w:tc>
        <w:tc>
          <w:tcPr>
            <w:tcW w:w="184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FEE1D2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840</w:t>
            </w:r>
          </w:p>
        </w:tc>
        <w:tc>
          <w:tcPr>
            <w:tcW w:w="184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3E9B6E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840</w:t>
            </w:r>
          </w:p>
        </w:tc>
        <w:tc>
          <w:tcPr>
            <w:tcW w:w="184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8B8DCF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840</w:t>
            </w:r>
          </w:p>
        </w:tc>
        <w:tc>
          <w:tcPr>
            <w:tcW w:w="184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1877FA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840</w:t>
            </w:r>
          </w:p>
        </w:tc>
      </w:tr>
      <w:tr w14:paraId="78345A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862C1C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Beam 数量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25FF79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2880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9767E8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2880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F8D57E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2880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78CBA8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2880</w:t>
            </w:r>
          </w:p>
        </w:tc>
      </w:tr>
      <w:tr w14:paraId="2492F4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97C6CB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缺失值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B486FA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C1E0D2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31D740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9143FB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</w:tr>
      <w:tr w14:paraId="0C3542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E25295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无穷值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17E694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31E21D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9A901A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C0773E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</w:tr>
      <w:tr w14:paraId="02C309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96334B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负值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AEB392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A327BD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442157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F2311C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</w:tr>
      <w:tr w14:paraId="6C224B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32F9E0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重复时间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DD508E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7EC8C3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09D792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B97EE8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</w:tr>
      <w:tr w14:paraId="1DD82D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D62F7D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完全重复行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57A46B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C1A25D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20BCF5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FC4EC5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</w:tr>
      <w:tr w14:paraId="1DF112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52CD84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时间缺口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93C36A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75F525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C0C4C8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D26F71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</w:tr>
      <w:tr w14:paraId="2BEF95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184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2218925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非法 Beam 标识</w:t>
            </w:r>
          </w:p>
        </w:tc>
        <w:tc>
          <w:tcPr>
            <w:tcW w:w="184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4E43CA2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  <w:tc>
          <w:tcPr>
            <w:tcW w:w="184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E8CC46E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  <w:tc>
          <w:tcPr>
            <w:tcW w:w="184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E631825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  <w:tc>
          <w:tcPr>
            <w:tcW w:w="184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7880669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</w:tr>
    </w:tbl>
    <w:p w14:paraId="043D060B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4</w:t>
      </w:r>
      <w:r>
        <w:rPr>
          <w:rFonts w:hint="default" w:ascii="Times New Roman" w:hAnsi="Times New Roman" w:eastAsia="宋体" w:cs="Times New Roman"/>
          <w:lang w:val="en-US" w:eastAsia="zh-CN"/>
        </w:rPr>
        <w:t>.</w:t>
      </w:r>
      <w:r>
        <w:rPr>
          <w:rFonts w:hint="default" w:ascii="Times New Roman" w:hAnsi="Times New Roman" w:eastAsia="宋体" w:cs="Times New Roman"/>
        </w:rPr>
        <w:t xml:space="preserve"> KPI 统计特征</w:t>
      </w:r>
    </w:p>
    <w:tbl>
      <w:tblPr>
        <w:tblStyle w:val="32"/>
        <w:tblW w:w="924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540"/>
        <w:gridCol w:w="1540"/>
        <w:gridCol w:w="1540"/>
        <w:gridCol w:w="1540"/>
        <w:gridCol w:w="1540"/>
      </w:tblGrid>
      <w:tr w14:paraId="598D0D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  <w:tblHeader/>
        </w:trPr>
        <w:tc>
          <w:tcPr>
            <w:tcW w:w="154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0BDCD9B6">
            <w:pPr>
              <w:keepNext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KPI</w:t>
            </w:r>
          </w:p>
        </w:tc>
        <w:tc>
          <w:tcPr>
            <w:tcW w:w="154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20244FC">
            <w:pPr>
              <w:keepNext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均值</w:t>
            </w:r>
          </w:p>
        </w:tc>
        <w:tc>
          <w:tcPr>
            <w:tcW w:w="154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CEFC7B6">
            <w:pPr>
              <w:keepNext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中位数</w:t>
            </w:r>
          </w:p>
        </w:tc>
        <w:tc>
          <w:tcPr>
            <w:tcW w:w="154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39AB3F2">
            <w:pPr>
              <w:keepNext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P99</w:t>
            </w:r>
          </w:p>
        </w:tc>
        <w:tc>
          <w:tcPr>
            <w:tcW w:w="154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08D3A90">
            <w:pPr>
              <w:keepNext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最大值</w:t>
            </w:r>
          </w:p>
        </w:tc>
        <w:tc>
          <w:tcPr>
            <w:tcW w:w="154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B44B918">
            <w:pPr>
              <w:keepNext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零值占比</w:t>
            </w:r>
          </w:p>
        </w:tc>
      </w:tr>
      <w:tr w14:paraId="681653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154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C1430F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DLPRB</w:t>
            </w:r>
          </w:p>
        </w:tc>
        <w:tc>
          <w:tcPr>
            <w:tcW w:w="154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FD2E8B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0.5409</w:t>
            </w:r>
          </w:p>
        </w:tc>
        <w:tc>
          <w:tcPr>
            <w:tcW w:w="154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6A3941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0.1750</w:t>
            </w:r>
          </w:p>
        </w:tc>
        <w:tc>
          <w:tcPr>
            <w:tcW w:w="154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515406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5.0773</w:t>
            </w:r>
          </w:p>
        </w:tc>
        <w:tc>
          <w:tcPr>
            <w:tcW w:w="154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208EDC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41.0263</w:t>
            </w:r>
          </w:p>
        </w:tc>
        <w:tc>
          <w:tcPr>
            <w:tcW w:w="154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9C4E71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23.77%</w:t>
            </w:r>
          </w:p>
        </w:tc>
      </w:tr>
      <w:tr w14:paraId="4F5F68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BBAFD8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DLThpVol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27326D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0.3212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10F805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0.0952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050621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3.5190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BEF45E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245.3746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45F403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31.76%</w:t>
            </w:r>
          </w:p>
        </w:tc>
      </w:tr>
      <w:tr w14:paraId="29188D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607632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DLThpTime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2422C4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0.4252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9474E6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0.1293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17BEAF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4.4634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D1BFFE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84.2068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74FDFC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27.76%</w:t>
            </w:r>
          </w:p>
        </w:tc>
      </w:tr>
      <w:tr w14:paraId="207390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154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5CE6AFF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MR_number</w:t>
            </w:r>
          </w:p>
        </w:tc>
        <w:tc>
          <w:tcPr>
            <w:tcW w:w="154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088FC7A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0.6024</w:t>
            </w:r>
          </w:p>
        </w:tc>
        <w:tc>
          <w:tcPr>
            <w:tcW w:w="154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14C7EA4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0.2273</w:t>
            </w:r>
          </w:p>
        </w:tc>
        <w:tc>
          <w:tcPr>
            <w:tcW w:w="154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86ACF91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5.0658</w:t>
            </w:r>
          </w:p>
        </w:tc>
        <w:tc>
          <w:tcPr>
            <w:tcW w:w="154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0B406CA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33.6660</w:t>
            </w:r>
          </w:p>
        </w:tc>
        <w:tc>
          <w:tcPr>
            <w:tcW w:w="154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BEDBE22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20.15%</w:t>
            </w:r>
          </w:p>
        </w:tc>
      </w:tr>
    </w:tbl>
    <w:p w14:paraId="6D06519B">
      <w:pPr>
        <w:keepNext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327650" cy="195961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195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850DB">
      <w:pPr>
        <w:jc w:val="center"/>
        <w:rPr>
          <w:rFonts w:hint="default" w:ascii="Times New Roman" w:hAnsi="Times New Roman" w:eastAsia="宋体" w:cs="Times New Roman"/>
          <w:b w:val="0"/>
          <w:lang w:eastAsia="zh-CN"/>
        </w:rPr>
      </w:pPr>
      <w:r>
        <w:rPr>
          <w:rFonts w:hint="default" w:ascii="Times New Roman" w:hAnsi="Times New Roman" w:eastAsia="宋体" w:cs="Times New Roman"/>
          <w:b w:val="0"/>
          <w:lang w:eastAsia="zh-CN"/>
        </w:rPr>
        <w:t>图1 四类 KPI 的零值占比</w:t>
      </w:r>
    </w:p>
    <w:p w14:paraId="4A5A7248">
      <w:pPr>
        <w:rPr>
          <w:rFonts w:hint="default" w:ascii="Times New Roman" w:hAnsi="Times New Roman" w:eastAsia="宋体" w:cs="Times New Roman"/>
          <w:b w:val="0"/>
          <w:lang w:eastAsia="zh-CN"/>
        </w:rPr>
      </w:pPr>
      <w:r>
        <w:rPr>
          <w:rFonts w:hint="default" w:ascii="Times New Roman" w:hAnsi="Times New Roman" w:eastAsia="宋体" w:cs="Times New Roman"/>
          <w:b w:val="0"/>
          <w:lang w:eastAsia="zh-CN"/>
        </w:rPr>
        <w:t>四类 KPI 的零值占比在20.15%至31.76%之间。DLThpVol 的中位数为0.0952，而其99%分位数为3.5190、最大值为245.3746，反映出分布的明显右偏与长尾。零值可能对应 beam 在部分时段不活跃，因此本阶段保留合法零值；高幅值观测也未仅依据统计阈值直接判定为错误。</w:t>
      </w:r>
    </w:p>
    <w:p w14:paraId="7A48D98D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5</w:t>
      </w:r>
      <w:r>
        <w:rPr>
          <w:rFonts w:hint="default" w:ascii="Times New Roman" w:hAnsi="Times New Roman" w:eastAsia="宋体" w:cs="Times New Roman"/>
          <w:lang w:val="en-US" w:eastAsia="zh-CN"/>
        </w:rPr>
        <w:t>.</w:t>
      </w:r>
      <w:r>
        <w:rPr>
          <w:rFonts w:hint="default" w:ascii="Times New Roman" w:hAnsi="Times New Roman" w:eastAsia="宋体" w:cs="Times New Roman"/>
        </w:rPr>
        <w:t xml:space="preserve"> 数据清洗与结构重构</w:t>
      </w:r>
    </w:p>
    <w:p w14:paraId="685D4DDC">
      <w:pPr>
        <w:widowControl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eastAsia="宋体" w:cs="Times New Roman"/>
          <w:b w:val="0"/>
        </w:rPr>
        <w:t>原始数据通过审计后，执行以下顺序的确定性处理：恢复 Time 字段，解析 beam 标识，对四类 KPI 按时间与 beam 对齐，构造 Time × beam 的长表，然后按时间顺序标记 train/test，并分别在训练期拟合两个数值变换器。</w:t>
      </w:r>
    </w:p>
    <w:p w14:paraId="314AE92F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最终基础长表总行数为 840 × 2880 = 2,419,200。每行表示一个时间索引与一个 beam 的四类 KPI 观测。</w:t>
      </w:r>
    </w:p>
    <w:p w14:paraId="530E9340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6</w:t>
      </w:r>
      <w:r>
        <w:rPr>
          <w:rFonts w:hint="default" w:ascii="Times New Roman" w:hAnsi="Times New Roman" w:eastAsia="宋体" w:cs="Times New Roman"/>
          <w:lang w:val="en-US" w:eastAsia="zh-CN"/>
        </w:rPr>
        <w:t>.</w:t>
      </w:r>
      <w:r>
        <w:rPr>
          <w:rFonts w:hint="default" w:ascii="Times New Roman" w:hAnsi="Times New Roman" w:eastAsia="宋体" w:cs="Times New Roman"/>
        </w:rPr>
        <w:t xml:space="preserve"> 训练集和测试集划分</w:t>
      </w:r>
    </w:p>
    <w:tbl>
      <w:tblPr>
        <w:tblStyle w:val="32"/>
        <w:tblW w:w="924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0"/>
        <w:gridCol w:w="2310"/>
      </w:tblGrid>
      <w:tr w14:paraId="4E2B52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  <w:tblHeader/>
        </w:trPr>
        <w:tc>
          <w:tcPr>
            <w:tcW w:w="231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3E00F7A6">
            <w:pPr>
              <w:keepNext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数据子集</w:t>
            </w:r>
          </w:p>
        </w:tc>
        <w:tc>
          <w:tcPr>
            <w:tcW w:w="231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3FC6EFD">
            <w:pPr>
              <w:keepNext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Time 范围</w:t>
            </w:r>
          </w:p>
        </w:tc>
        <w:tc>
          <w:tcPr>
            <w:tcW w:w="231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9E6949C">
            <w:pPr>
              <w:keepNext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时间索引数</w:t>
            </w:r>
          </w:p>
        </w:tc>
        <w:tc>
          <w:tcPr>
            <w:tcW w:w="231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19F9CC5">
            <w:pPr>
              <w:keepNext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样本行数</w:t>
            </w:r>
          </w:p>
        </w:tc>
      </w:tr>
      <w:tr w14:paraId="244104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231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624874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Train</w:t>
            </w:r>
          </w:p>
        </w:tc>
        <w:tc>
          <w:tcPr>
            <w:tcW w:w="231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02F4C5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0–671</w:t>
            </w:r>
          </w:p>
        </w:tc>
        <w:tc>
          <w:tcPr>
            <w:tcW w:w="231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177158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672</w:t>
            </w:r>
          </w:p>
        </w:tc>
        <w:tc>
          <w:tcPr>
            <w:tcW w:w="231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3DAE3C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1,935,360</w:t>
            </w:r>
          </w:p>
        </w:tc>
      </w:tr>
      <w:tr w14:paraId="385403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231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8C1A680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Test</w:t>
            </w:r>
          </w:p>
        </w:tc>
        <w:tc>
          <w:tcPr>
            <w:tcW w:w="231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20C42BA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672–839</w:t>
            </w:r>
          </w:p>
        </w:tc>
        <w:tc>
          <w:tcPr>
            <w:tcW w:w="231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E2CDE9F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168</w:t>
            </w:r>
          </w:p>
        </w:tc>
        <w:tc>
          <w:tcPr>
            <w:tcW w:w="231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0A3457E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483,840</w:t>
            </w:r>
          </w:p>
        </w:tc>
      </w:tr>
    </w:tbl>
    <w:p w14:paraId="47399863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以时间索引作分割而不随机打乱，保证训练样本位于留出测试期之前。两个 scaler 均在 Train 上拟合，再用于 Train 与 Test 的数值变换，避免测试期统计信息进入训练预处理。</w:t>
      </w:r>
    </w:p>
    <w:p w14:paraId="7B2AAD1E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7</w:t>
      </w:r>
      <w:r>
        <w:rPr>
          <w:rFonts w:hint="default" w:ascii="Times New Roman" w:hAnsi="Times New Roman" w:eastAsia="宋体" w:cs="Times New Roman"/>
          <w:lang w:val="en-US" w:eastAsia="zh-CN"/>
        </w:rPr>
        <w:t>.</w:t>
      </w:r>
      <w:r>
        <w:rPr>
          <w:rFonts w:hint="default" w:ascii="Times New Roman" w:hAnsi="Times New Roman" w:eastAsia="宋体" w:cs="Times New Roman"/>
        </w:rPr>
        <w:t xml:space="preserve"> 标准化与归一化</w:t>
      </w:r>
    </w:p>
    <w:p w14:paraId="099CB360">
      <w:pPr>
        <w:pStyle w:val="4"/>
        <w:bidi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7.1 StandardScaler</w:t>
      </w:r>
    </w:p>
    <w:p w14:paraId="501CE1E5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StandardScaler 以训练期均值与标准差计算 z = (x − μ_train) / σ_train；产出 _z 结尾的四列。训练期变换后的均值约为0，标准差约为1。</w:t>
      </w:r>
    </w:p>
    <w:tbl>
      <w:tblPr>
        <w:tblStyle w:val="32"/>
        <w:tblW w:w="924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6196E5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  <w:tblHeader/>
        </w:trPr>
        <w:tc>
          <w:tcPr>
            <w:tcW w:w="308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3DE2126D">
            <w:pPr>
              <w:keepNext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KPI</w:t>
            </w:r>
          </w:p>
        </w:tc>
        <w:tc>
          <w:tcPr>
            <w:tcW w:w="308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8EEA2B0">
            <w:pPr>
              <w:keepNext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训练集均值 μ</w:t>
            </w:r>
          </w:p>
        </w:tc>
        <w:tc>
          <w:tcPr>
            <w:tcW w:w="308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DBEDDD3">
            <w:pPr>
              <w:keepNext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训练集标准差 σ</w:t>
            </w:r>
          </w:p>
        </w:tc>
      </w:tr>
      <w:tr w14:paraId="119124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308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CCC404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DLPRB</w:t>
            </w:r>
          </w:p>
        </w:tc>
        <w:tc>
          <w:tcPr>
            <w:tcW w:w="308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4CFDDC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0.536839</w:t>
            </w:r>
          </w:p>
        </w:tc>
        <w:tc>
          <w:tcPr>
            <w:tcW w:w="308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9740D3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1.036266</w:t>
            </w:r>
          </w:p>
        </w:tc>
      </w:tr>
      <w:tr w14:paraId="064032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97248D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DLThpVol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BB6FCB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0.322617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E96764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1.096362</w:t>
            </w:r>
          </w:p>
        </w:tc>
      </w:tr>
      <w:tr w14:paraId="69AAF2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168043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DLThpTime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6D06CC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0.422703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4AAFEB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1.029392</w:t>
            </w:r>
          </w:p>
        </w:tc>
      </w:tr>
      <w:tr w14:paraId="163A00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308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5A327BF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MR_number</w:t>
            </w:r>
          </w:p>
        </w:tc>
        <w:tc>
          <w:tcPr>
            <w:tcW w:w="308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9F2802D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0.597422</w:t>
            </w:r>
          </w:p>
        </w:tc>
        <w:tc>
          <w:tcPr>
            <w:tcW w:w="308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CB95A46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1.039071</w:t>
            </w:r>
          </w:p>
        </w:tc>
      </w:tr>
    </w:tbl>
    <w:p w14:paraId="5CE615DF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7.2 MinMaxScaler</w:t>
      </w:r>
    </w:p>
    <w:p w14:paraId="5AC822CB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MinMaxScaler 根据训练集最小值与最大值构建 x_mm = (x − min_train)/(max_train − min_train)。其训练样本映射到0–1区间；测试样本不重新拟合，也不强制裁剪超出训练范围的情况。</w:t>
      </w:r>
    </w:p>
    <w:tbl>
      <w:tblPr>
        <w:tblStyle w:val="32"/>
        <w:tblW w:w="924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0"/>
        <w:gridCol w:w="2310"/>
      </w:tblGrid>
      <w:tr w14:paraId="1CEDC7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  <w:tblHeader/>
        </w:trPr>
        <w:tc>
          <w:tcPr>
            <w:tcW w:w="231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07A6FDDB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KPI</w:t>
            </w:r>
          </w:p>
        </w:tc>
        <w:tc>
          <w:tcPr>
            <w:tcW w:w="231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75AB32D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训练集最小值</w:t>
            </w:r>
          </w:p>
        </w:tc>
        <w:tc>
          <w:tcPr>
            <w:tcW w:w="231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2479D53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训练集最大值</w:t>
            </w:r>
          </w:p>
        </w:tc>
        <w:tc>
          <w:tcPr>
            <w:tcW w:w="231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5A3F928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测试集归一化最大值</w:t>
            </w:r>
          </w:p>
        </w:tc>
      </w:tr>
      <w:tr w14:paraId="206745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231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4D6671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DLPRB</w:t>
            </w:r>
          </w:p>
        </w:tc>
        <w:tc>
          <w:tcPr>
            <w:tcW w:w="231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5DF6B5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  <w:tc>
          <w:tcPr>
            <w:tcW w:w="231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F3BF8E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41.0263</w:t>
            </w:r>
          </w:p>
        </w:tc>
        <w:tc>
          <w:tcPr>
            <w:tcW w:w="231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5B66AC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0.8503</w:t>
            </w:r>
          </w:p>
        </w:tc>
      </w:tr>
      <w:tr w14:paraId="7B8705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692288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DLThpVol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C49249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B18E98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245.3746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34CB0B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0.1214</w:t>
            </w:r>
          </w:p>
        </w:tc>
      </w:tr>
      <w:tr w14:paraId="20F5EE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A08FCF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DLThpTime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9207A9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D39D57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84.2068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C6A548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0.4814</w:t>
            </w:r>
          </w:p>
        </w:tc>
      </w:tr>
      <w:tr w14:paraId="78E609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231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3C36D3A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MR_number</w:t>
            </w:r>
          </w:p>
        </w:tc>
        <w:tc>
          <w:tcPr>
            <w:tcW w:w="231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72E599B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</w:t>
            </w:r>
          </w:p>
        </w:tc>
        <w:tc>
          <w:tcPr>
            <w:tcW w:w="231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4CF4798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33.6660</w:t>
            </w:r>
          </w:p>
        </w:tc>
        <w:tc>
          <w:tcPr>
            <w:tcW w:w="231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156C85B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0.9601</w:t>
            </w:r>
          </w:p>
        </w:tc>
      </w:tr>
    </w:tbl>
    <w:p w14:paraId="179513F9">
      <w:pPr>
        <w:pStyle w:val="3"/>
        <w:keepNext/>
        <w:spacing w:before="280"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8. 数据集与20维预测特征的衔接</w:t>
      </w:r>
    </w:p>
    <w:p w14:paraId="3A5BAC3B">
      <w:pPr>
        <w:spacing w:after="60" w:line="283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本报告生成的 kpi_timeseries.csv 是包含17列的基础长表，本身不是20维机器学习特征矩阵。后续由 w2_traditional_ml_kpi_prediction_features.py 读取四类 KPI 的标准化列，在同一 beam 内构造滞后特征；下表明确了20维输入的组成，以便追溯模型训练数据的来源。</w:t>
      </w:r>
    </w:p>
    <w:p w14:paraId="591FEEAA">
      <w:pPr>
        <w:pStyle w:val="4"/>
        <w:keepNext/>
        <w:spacing w:before="140"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8.1 输入字段定义</w:t>
      </w:r>
    </w:p>
    <w:tbl>
      <w:tblPr>
        <w:tblStyle w:val="32"/>
        <w:tblW w:w="9242" w:type="dxa"/>
        <w:jc w:val="center"/>
        <w:tblBorders>
          <w:top w:val="single" w:color="222222" w:sz="14" w:space="0"/>
          <w:left w:val="none" w:color="auto" w:sz="0" w:space="0"/>
          <w:bottom w:val="single" w:color="222222" w:sz="14" w:space="0"/>
          <w:right w:val="none" w:color="auto" w:sz="0" w:space="0"/>
          <w:insideH w:val="single" w:color="8A8A8A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7485"/>
      </w:tblGrid>
      <w:tr w14:paraId="46F5CDF8">
        <w:tblPrEx>
          <w:tblBorders>
            <w:top w:val="single" w:color="222222" w:sz="14" w:space="0"/>
            <w:left w:val="none" w:color="auto" w:sz="0" w:space="0"/>
            <w:bottom w:val="single" w:color="222222" w:sz="14" w:space="0"/>
            <w:right w:val="none" w:color="auto" w:sz="0" w:space="0"/>
            <w:insideH w:val="single" w:color="8A8A8A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  <w:tblHeader/>
        </w:trPr>
        <w:tc>
          <w:tcPr>
            <w:tcW w:w="1757" w:type="dxa"/>
            <w:vAlign w:val="center"/>
          </w:tcPr>
          <w:p w14:paraId="1BFD5066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KPI</w:t>
            </w:r>
          </w:p>
        </w:tc>
        <w:tc>
          <w:tcPr>
            <w:tcW w:w="7485" w:type="dxa"/>
            <w:vAlign w:val="center"/>
          </w:tcPr>
          <w:p w14:paraId="75E69EA8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五个输入字段（均为 StandardScaler 结果）</w:t>
            </w:r>
          </w:p>
        </w:tc>
      </w:tr>
      <w:tr w14:paraId="517BD643">
        <w:tblPrEx>
          <w:tblBorders>
            <w:top w:val="single" w:color="222222" w:sz="14" w:space="0"/>
            <w:left w:val="none" w:color="auto" w:sz="0" w:space="0"/>
            <w:bottom w:val="single" w:color="222222" w:sz="14" w:space="0"/>
            <w:right w:val="none" w:color="auto" w:sz="0" w:space="0"/>
            <w:insideH w:val="single" w:color="8A8A8A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757" w:type="dxa"/>
            <w:vAlign w:val="center"/>
          </w:tcPr>
          <w:p w14:paraId="64FD1E60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DLPRB</w:t>
            </w:r>
          </w:p>
        </w:tc>
        <w:tc>
          <w:tcPr>
            <w:tcW w:w="7485" w:type="dxa"/>
            <w:vAlign w:val="center"/>
          </w:tcPr>
          <w:p w14:paraId="3DDDF7E5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DLPRB_z_t / DLPRB_z_lag1 / DLPRB_z_lag2 / DLPRB_z_lag24 / DLPRB_z_lag168</w:t>
            </w:r>
          </w:p>
        </w:tc>
      </w:tr>
      <w:tr w14:paraId="7FE58456">
        <w:tblPrEx>
          <w:tblBorders>
            <w:top w:val="single" w:color="222222" w:sz="14" w:space="0"/>
            <w:left w:val="none" w:color="auto" w:sz="0" w:space="0"/>
            <w:bottom w:val="single" w:color="222222" w:sz="14" w:space="0"/>
            <w:right w:val="none" w:color="auto" w:sz="0" w:space="0"/>
            <w:insideH w:val="single" w:color="8A8A8A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757" w:type="dxa"/>
            <w:vAlign w:val="center"/>
          </w:tcPr>
          <w:p w14:paraId="281995D8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DLThpVol</w:t>
            </w:r>
          </w:p>
        </w:tc>
        <w:tc>
          <w:tcPr>
            <w:tcW w:w="7485" w:type="dxa"/>
            <w:vAlign w:val="center"/>
          </w:tcPr>
          <w:p w14:paraId="03B2DA31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DLThpVol_z_t / DLThpVol_z_lag1 / DLThpVol_z_lag2 / DLThpVol_z_lag24 / DLThpVol_z_lag168</w:t>
            </w:r>
          </w:p>
        </w:tc>
      </w:tr>
      <w:tr w14:paraId="764A8B2E">
        <w:tblPrEx>
          <w:tblBorders>
            <w:top w:val="single" w:color="222222" w:sz="14" w:space="0"/>
            <w:left w:val="none" w:color="auto" w:sz="0" w:space="0"/>
            <w:bottom w:val="single" w:color="222222" w:sz="14" w:space="0"/>
            <w:right w:val="none" w:color="auto" w:sz="0" w:space="0"/>
            <w:insideH w:val="single" w:color="8A8A8A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757" w:type="dxa"/>
            <w:vAlign w:val="center"/>
          </w:tcPr>
          <w:p w14:paraId="6A4E1F5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DLThpTime</w:t>
            </w:r>
          </w:p>
        </w:tc>
        <w:tc>
          <w:tcPr>
            <w:tcW w:w="7485" w:type="dxa"/>
            <w:vAlign w:val="center"/>
          </w:tcPr>
          <w:p w14:paraId="4101A1C4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 xml:space="preserve">DLThpTime_z_t / DLThpTime_z_lag1 </w:t>
            </w:r>
            <w:bookmarkStart w:id="0" w:name="_GoBack"/>
            <w:bookmarkEnd w:id="0"/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/ DLThpTime_z_lag2 / DLThpTime_z_lag24 / DLThpTime_z_lag168</w:t>
            </w:r>
          </w:p>
        </w:tc>
      </w:tr>
      <w:tr w14:paraId="7BBF55BD">
        <w:tblPrEx>
          <w:tblBorders>
            <w:top w:val="single" w:color="222222" w:sz="14" w:space="0"/>
            <w:left w:val="none" w:color="auto" w:sz="0" w:space="0"/>
            <w:bottom w:val="single" w:color="222222" w:sz="14" w:space="0"/>
            <w:right w:val="none" w:color="auto" w:sz="0" w:space="0"/>
            <w:insideH w:val="single" w:color="8A8A8A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757" w:type="dxa"/>
            <w:vAlign w:val="center"/>
          </w:tcPr>
          <w:p w14:paraId="61B4C300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MR_number</w:t>
            </w:r>
          </w:p>
        </w:tc>
        <w:tc>
          <w:tcPr>
            <w:tcW w:w="7485" w:type="dxa"/>
            <w:vAlign w:val="center"/>
          </w:tcPr>
          <w:p w14:paraId="4ADE2CDA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MR_number_z_t / MR_number_z_lag1 / MR_number_z_lag2 / MR_number_z_lag24 / MR_number_z_lag168</w:t>
            </w:r>
          </w:p>
        </w:tc>
      </w:tr>
    </w:tbl>
    <w:p w14:paraId="66615A88">
      <w:pPr>
        <w:spacing w:after="60" w:line="283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其中“_z_t”表示当前时间 t 的标准化观测；“_z_lagk”表示同一 beam 在 t−k 时刻的标准化观测。四个 KPI × 每类五个时间点，共20维；模型以相应 KPI 在 t+1 的原始尺度数值为预测标签。</w:t>
      </w:r>
    </w:p>
    <w:p w14:paraId="3CA846D9">
      <w:pPr>
        <w:pStyle w:val="4"/>
        <w:keepNext/>
        <w:spacing w:before="140"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8.2 有效样本与时间约束</w:t>
      </w:r>
    </w:p>
    <w:tbl>
      <w:tblPr>
        <w:tblStyle w:val="32"/>
        <w:tblW w:w="9242" w:type="dxa"/>
        <w:jc w:val="center"/>
        <w:tblBorders>
          <w:top w:val="single" w:color="222222" w:sz="14" w:space="0"/>
          <w:left w:val="none" w:color="auto" w:sz="0" w:space="0"/>
          <w:bottom w:val="single" w:color="222222" w:sz="14" w:space="0"/>
          <w:right w:val="none" w:color="auto" w:sz="0" w:space="0"/>
          <w:insideH w:val="single" w:color="8A8A8A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1984"/>
        <w:gridCol w:w="4707"/>
      </w:tblGrid>
      <w:tr w14:paraId="02D71279">
        <w:tblPrEx>
          <w:tblBorders>
            <w:top w:val="single" w:color="222222" w:sz="14" w:space="0"/>
            <w:left w:val="none" w:color="auto" w:sz="0" w:space="0"/>
            <w:bottom w:val="single" w:color="222222" w:sz="14" w:space="0"/>
            <w:right w:val="none" w:color="auto" w:sz="0" w:space="0"/>
            <w:insideH w:val="single" w:color="8A8A8A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  <w:tblHeader/>
        </w:trPr>
        <w:tc>
          <w:tcPr>
            <w:tcW w:w="2551" w:type="dxa"/>
            <w:vAlign w:val="center"/>
          </w:tcPr>
          <w:p w14:paraId="40FAA074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项目</w:t>
            </w:r>
          </w:p>
        </w:tc>
        <w:tc>
          <w:tcPr>
            <w:tcW w:w="1984" w:type="dxa"/>
            <w:vAlign w:val="center"/>
          </w:tcPr>
          <w:p w14:paraId="00320CBC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范围或数量</w:t>
            </w:r>
          </w:p>
        </w:tc>
        <w:tc>
          <w:tcPr>
            <w:tcW w:w="4707" w:type="dxa"/>
            <w:vAlign w:val="center"/>
          </w:tcPr>
          <w:p w14:paraId="0758C50E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说明</w:t>
            </w:r>
          </w:p>
        </w:tc>
      </w:tr>
      <w:tr w14:paraId="56E2D415">
        <w:tblPrEx>
          <w:tblBorders>
            <w:top w:val="single" w:color="222222" w:sz="14" w:space="0"/>
            <w:left w:val="none" w:color="auto" w:sz="0" w:space="0"/>
            <w:bottom w:val="single" w:color="222222" w:sz="14" w:space="0"/>
            <w:right w:val="none" w:color="auto" w:sz="0" w:space="0"/>
            <w:insideH w:val="single" w:color="8A8A8A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551" w:type="dxa"/>
            <w:vAlign w:val="center"/>
          </w:tcPr>
          <w:p w14:paraId="2384921C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有效特征时间</w:t>
            </w:r>
          </w:p>
        </w:tc>
        <w:tc>
          <w:tcPr>
            <w:tcW w:w="1984" w:type="dxa"/>
            <w:vAlign w:val="center"/>
          </w:tcPr>
          <w:p w14:paraId="66C5E104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168–838</w:t>
            </w:r>
          </w:p>
        </w:tc>
        <w:tc>
          <w:tcPr>
            <w:tcW w:w="4707" w:type="dxa"/>
            <w:vAlign w:val="center"/>
          </w:tcPr>
          <w:p w14:paraId="29F18FAA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最长历史滞后168步，预测前向1步</w:t>
            </w:r>
          </w:p>
        </w:tc>
      </w:tr>
      <w:tr w14:paraId="6008EF9C">
        <w:tblPrEx>
          <w:tblBorders>
            <w:top w:val="single" w:color="222222" w:sz="14" w:space="0"/>
            <w:left w:val="none" w:color="auto" w:sz="0" w:space="0"/>
            <w:bottom w:val="single" w:color="222222" w:sz="14" w:space="0"/>
            <w:right w:val="none" w:color="auto" w:sz="0" w:space="0"/>
            <w:insideH w:val="single" w:color="8A8A8A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551" w:type="dxa"/>
            <w:vAlign w:val="center"/>
          </w:tcPr>
          <w:p w14:paraId="1CCA417B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有效目标时间</w:t>
            </w:r>
          </w:p>
        </w:tc>
        <w:tc>
          <w:tcPr>
            <w:tcW w:w="1984" w:type="dxa"/>
            <w:vAlign w:val="center"/>
          </w:tcPr>
          <w:p w14:paraId="094FFD97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169–839</w:t>
            </w:r>
          </w:p>
        </w:tc>
        <w:tc>
          <w:tcPr>
            <w:tcW w:w="4707" w:type="dxa"/>
            <w:vAlign w:val="center"/>
          </w:tcPr>
          <w:p w14:paraId="6B2F44A7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按目标时间判断训练集／测试集</w:t>
            </w:r>
          </w:p>
        </w:tc>
      </w:tr>
      <w:tr w14:paraId="3C7155BF">
        <w:tblPrEx>
          <w:tblBorders>
            <w:top w:val="single" w:color="222222" w:sz="14" w:space="0"/>
            <w:left w:val="none" w:color="auto" w:sz="0" w:space="0"/>
            <w:bottom w:val="single" w:color="222222" w:sz="14" w:space="0"/>
            <w:right w:val="none" w:color="auto" w:sz="0" w:space="0"/>
            <w:insideH w:val="single" w:color="8A8A8A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551" w:type="dxa"/>
            <w:vAlign w:val="center"/>
          </w:tcPr>
          <w:p w14:paraId="5A5997D0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有效训练样本</w:t>
            </w:r>
          </w:p>
        </w:tc>
        <w:tc>
          <w:tcPr>
            <w:tcW w:w="1984" w:type="dxa"/>
            <w:vAlign w:val="center"/>
          </w:tcPr>
          <w:p w14:paraId="49D3A46F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1,448,640</w:t>
            </w:r>
          </w:p>
        </w:tc>
        <w:tc>
          <w:tcPr>
            <w:tcW w:w="4707" w:type="dxa"/>
            <w:vAlign w:val="center"/>
          </w:tcPr>
          <w:p w14:paraId="59235087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target_time &lt; 672</w:t>
            </w:r>
          </w:p>
        </w:tc>
      </w:tr>
      <w:tr w14:paraId="2F5390D8">
        <w:tblPrEx>
          <w:tblBorders>
            <w:top w:val="single" w:color="222222" w:sz="14" w:space="0"/>
            <w:left w:val="none" w:color="auto" w:sz="0" w:space="0"/>
            <w:bottom w:val="single" w:color="222222" w:sz="14" w:space="0"/>
            <w:right w:val="none" w:color="auto" w:sz="0" w:space="0"/>
            <w:insideH w:val="single" w:color="8A8A8A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551" w:type="dxa"/>
            <w:vAlign w:val="center"/>
          </w:tcPr>
          <w:p w14:paraId="6FB5736F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留出测试样本</w:t>
            </w:r>
          </w:p>
        </w:tc>
        <w:tc>
          <w:tcPr>
            <w:tcW w:w="1984" w:type="dxa"/>
            <w:vAlign w:val="center"/>
          </w:tcPr>
          <w:p w14:paraId="4C808DF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483,840</w:t>
            </w:r>
          </w:p>
        </w:tc>
        <w:tc>
          <w:tcPr>
            <w:tcW w:w="4707" w:type="dxa"/>
            <w:vAlign w:val="center"/>
          </w:tcPr>
          <w:p w14:paraId="278ECFB4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target_time ≥ 672</w:t>
            </w:r>
          </w:p>
        </w:tc>
      </w:tr>
    </w:tbl>
    <w:p w14:paraId="1F546467">
      <w:pPr>
        <w:spacing w:after="60" w:line="283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标准化器在原始训练时段 Time 0–671 上拟合，测试集不参与其参数估计；在后来补充的三折时间序列验证中，标准化器对每一折仅利用该折训练时间窗重新拟合。上述补充属于后续预测模块的数据构造与验证口径，并不改变本报告的原始数据审计结论。</w:t>
      </w:r>
    </w:p>
    <w:p w14:paraId="59525D28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9. 结论</w:t>
      </w:r>
    </w:p>
    <w:p w14:paraId="588046D7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本阶段完成了数据获取、质量审计、结构重构与两种缩放特征的生成。四份原始 KPI 的主要结构及数值检查均通过，得到包含2,419,200行、17列的基础时间序列数据集。在此基础上，后续特征工程针对每个 beam 按四种 KPI × 五个历史时间点构造20维输入，并建立以 t+1 为目标的1,932,480条有效样本。基础数据预处理与预测特征构造属于两个连续步骤，分别由相应脚本输出与验证。</w:t>
      </w:r>
    </w:p>
    <w:p>
      <w:r>
        <w:br w:type="page"/>
      </w:r>
    </w:p>
    <w:p>
      <w:pPr>
        <w:pStyle w:val="3"/>
      </w:pPr>
      <w:r>
        <w:t>2026年10月25日算法验证与导师反馈补充</w:t>
      </w:r>
    </w:p>
    <w:p>
      <w:pPr>
        <w:spacing w:after="120"/>
      </w:pPr>
      <w:r>
        <w:t>本节为本次实际执行的补充验证。前文原留出成绩保留为历史实验，本节新成绩使用独立目录归档，不替换旧权重或旧图表。Web入口、页面、交互与后台集成源码保持不变。</w:t>
      </w:r>
    </w:p>
    <w:p>
      <w:pPr>
        <w:pStyle w:val="4"/>
      </w:pPr>
      <w:r>
        <w:t>20维输入与超参数来源</w:t>
      </w:r>
    </w:p>
    <w:tbl>
      <w:tblPr>
        <w:tblStyle w:val="33"/>
        <w:tblW w:type="dxa" w:w="9242"/>
        <w:jc w:val="center"/>
        <w:tblLayout w:type="fixed"/>
        <w:tblLook w:firstColumn="1" w:firstRow="1" w:lastColumn="0" w:lastRow="0" w:noHBand="0" w:noVBand="1" w:val="04A0"/>
      </w:tblPr>
      <w:tblGrid>
        <w:gridCol w:w="4621"/>
        <w:gridCol w:w="4621"/>
      </w:tblGrid>
      <w:tr>
        <w:trPr>
          <w:tblHeader/>
          <w:cantSplit/>
          <w:tblHeader/>
        </w:trPr>
        <w:tc>
          <w:tcPr>
            <w:tcW w:type="dxa" w:w="4621"/>
          </w:tcPr>
          <w:p>
            <w:pPr>
              <w:keepNext/>
              <w:spacing w:after="60"/>
            </w:pPr>
            <w:r>
              <w:rPr>
                <w:sz w:val="18"/>
              </w:rPr>
              <w:t>KPI</w:t>
            </w:r>
          </w:p>
        </w:tc>
        <w:tc>
          <w:tcPr>
            <w:tcW w:type="dxa" w:w="4621"/>
          </w:tcPr>
          <w:p>
            <w:pPr>
              <w:keepNext/>
              <w:spacing w:after="60"/>
            </w:pPr>
            <w:r>
              <w:rPr>
                <w:sz w:val="18"/>
              </w:rPr>
              <w:t>五个输入字段</w:t>
            </w:r>
          </w:p>
        </w:tc>
      </w:tr>
      <w:tr>
        <w:trPr>
          <w:cantSplit/>
        </w:trPr>
        <w:tc>
          <w:tcPr>
            <w:tcW w:type="dxa" w:w="4621"/>
          </w:tcPr>
          <w:p>
            <w:pPr>
              <w:spacing w:after="60"/>
            </w:pPr>
            <w:r>
              <w:rPr>
                <w:sz w:val="18"/>
              </w:rPr>
              <w:t>DLPRB</w:t>
            </w:r>
          </w:p>
        </w:tc>
        <w:tc>
          <w:tcPr>
            <w:tcW w:type="dxa" w:w="4621"/>
          </w:tcPr>
          <w:p>
            <w:pPr>
              <w:spacing w:after="60"/>
            </w:pPr>
            <w:r>
              <w:rPr>
                <w:sz w:val="18"/>
              </w:rPr>
              <w:t>DLPRB_z_t / DLPRB_z_lag1 / DLPRB_z_lag2 / DLPRB_z_lag24 / DLPRB_z_lag168</w:t>
            </w:r>
          </w:p>
        </w:tc>
      </w:tr>
      <w:tr>
        <w:trPr>
          <w:cantSplit/>
        </w:trPr>
        <w:tc>
          <w:tcPr>
            <w:tcW w:type="dxa" w:w="4621"/>
          </w:tcPr>
          <w:p>
            <w:pPr>
              <w:spacing w:after="60"/>
            </w:pPr>
            <w:r>
              <w:rPr>
                <w:sz w:val="18"/>
              </w:rPr>
              <w:t>DLThpVol</w:t>
            </w:r>
          </w:p>
        </w:tc>
        <w:tc>
          <w:tcPr>
            <w:tcW w:type="dxa" w:w="4621"/>
          </w:tcPr>
          <w:p>
            <w:pPr>
              <w:spacing w:after="60"/>
            </w:pPr>
            <w:r>
              <w:rPr>
                <w:sz w:val="18"/>
              </w:rPr>
              <w:t>DLThpVol_z_t / DLThpVol_z_lag1 / DLThpVol_z_lag2 / DLThpVol_z_lag24 / DLThpVol_z_lag168</w:t>
            </w:r>
          </w:p>
        </w:tc>
      </w:tr>
      <w:tr>
        <w:trPr>
          <w:cantSplit/>
        </w:trPr>
        <w:tc>
          <w:tcPr>
            <w:tcW w:type="dxa" w:w="4621"/>
          </w:tcPr>
          <w:p>
            <w:pPr>
              <w:spacing w:after="60"/>
            </w:pPr>
            <w:r>
              <w:rPr>
                <w:sz w:val="18"/>
              </w:rPr>
              <w:t>DLThpTime</w:t>
            </w:r>
          </w:p>
        </w:tc>
        <w:tc>
          <w:tcPr>
            <w:tcW w:type="dxa" w:w="4621"/>
          </w:tcPr>
          <w:p>
            <w:pPr>
              <w:spacing w:after="60"/>
            </w:pPr>
            <w:r>
              <w:rPr>
                <w:sz w:val="18"/>
              </w:rPr>
              <w:t>DLThpTime_z_t / DLThpTime_z_lag1 / DLThpTime_z_lag2 / DLThpTime_z_lag24 / DLThpTime_z_lag168</w:t>
            </w:r>
          </w:p>
        </w:tc>
      </w:tr>
      <w:tr>
        <w:trPr>
          <w:cantSplit/>
        </w:trPr>
        <w:tc>
          <w:tcPr>
            <w:tcW w:type="dxa" w:w="4621"/>
          </w:tcPr>
          <w:p>
            <w:pPr>
              <w:spacing w:after="60"/>
            </w:pPr>
            <w:r>
              <w:rPr>
                <w:sz w:val="18"/>
              </w:rPr>
              <w:t>MR_number</w:t>
            </w:r>
          </w:p>
        </w:tc>
        <w:tc>
          <w:tcPr>
            <w:tcW w:type="dxa" w:w="4621"/>
          </w:tcPr>
          <w:p>
            <w:pPr>
              <w:spacing w:after="60"/>
            </w:pPr>
            <w:r>
              <w:rPr>
                <w:sz w:val="18"/>
              </w:rPr>
              <w:t>MR_number_z_t / MR_number_z_lag1 / MR_number_z_lag2 / MR_number_z_lag24 / MR_number_z_lag168</w:t>
            </w:r>
          </w:p>
        </w:tc>
      </w:tr>
    </w:tbl>
    <w:p>
      <w:pPr>
        <w:spacing w:after="120"/>
      </w:pPr>
      <w:r>
        <w:t>每组按当前t、滞后1、2、24、168小时排序。z为训练期StandardScaler无量纲值，监督目标为t+1原始KPI尺度。Time和base_station/cell/beam用于时间与身份对齐，不是额外输入维度。原数据未提供可据以换算的物理量纲，本报告保留数据集数值尺度，不擅写Mbps、百分比等单位。最长滞后要求169个连续整小时；训练与推理列顺序的合成测试已通过。</w:t>
      </w:r>
    </w:p>
    <w:p>
      <w:pPr>
        <w:spacing w:after="120"/>
      </w:pPr>
      <w:r>
        <w:t>主表传统ML及三种DL均使用固定人工设置；DL的Adam与早停属于权重优化及轮次选择，不等于自动超参数搜索。只有DLPRB的RF已有Optuna TPE 12次、256 beam、三折平均RMSE搜索；范围为树数40–160、深度8–24、最小叶样本5–50、max_features∈{sqrt,0.7,1.0}、max_samples 0.5–0.9。最佳137/13/9/sqrt/0.698071及CV RMSE=0.473700没有替换本次固定30树RF；未补造调优后的全量测试成绩。逐模型参数及定义/引用见参数登记簿。</w:t>
      </w:r>
    </w:p>
    <w:p>
      <w:pPr>
        <w:pStyle w:val="4"/>
      </w:pPr>
      <w:r>
        <w:t>W4异常统计证据与联合规则</w:t>
      </w:r>
    </w:p>
    <w:p>
      <w:pPr>
        <w:spacing w:after="120"/>
      </w:pPr>
      <w:r>
        <w:t>复用既有W4统计，本次只重新核对全量标记逻辑和相关矩阵。483,840条唯一beam-hour记录中，3σ为22,059，IQR为51,318，IF为9,900，联合候选3,165。SVM仍为历史12,000条抽样测试，不参加共识投票。逐beam偏度/峰度支持偏态厚尾普遍存在，但阈值宽度、beam异质性和时间分布变化也影响标记率，不能把偏态指定为唯一因果机制。</w:t>
      </w:r>
    </w:p>
    <w:tbl>
      <w:tblPr>
        <w:tblStyle w:val="33"/>
        <w:tblW w:type="dxa" w:w="9242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rPr>
          <w:tblHeader/>
          <w:cantSplit/>
          <w:tblHeader/>
        </w:trPr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KPI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|偏度|&gt;1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超额峰度&gt;3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3σ / IQR标记率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DLPRB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86.25%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59.79%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1.77% / 4.13%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DLThpVol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98.33%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75.45%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1.60% / 4.59%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DLThpTime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96.56%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76.15%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1.85% / 4.87%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MR_number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59.76%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21.77%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1.39% / 2.76%</w:t>
            </w:r>
          </w:p>
        </w:tc>
      </w:tr>
    </w:tbl>
    <w:p>
      <w:pPr>
        <w:spacing w:after="120"/>
      </w:pPr>
      <w:r>
        <w:t>零IQR回退分布数为0。逐KPI比例的分母各为483,840，整条beam-hour的总体标记则是任意KPI触发，不能把四个逐KPI比例相加当总体比例。</w:t>
      </w:r>
    </w:p>
    <w:tbl>
      <w:tblPr>
        <w:tblStyle w:val="33"/>
        <w:tblW w:type="dxa" w:w="9242"/>
        <w:jc w:val="center"/>
        <w:tblLayout w:type="fixed"/>
        <w:tblLook w:firstColumn="1" w:firstRow="1" w:lastColumn="0" w:lastRow="0" w:noHBand="0" w:noVBand="1" w:val="04A0"/>
      </w:tblPr>
      <w:tblGrid>
        <w:gridCol w:w="4621"/>
        <w:gridCol w:w="4621"/>
      </w:tblGrid>
      <w:tr>
        <w:trPr>
          <w:tblHeader/>
          <w:cantSplit/>
          <w:tblHeader/>
        </w:trPr>
        <w:tc>
          <w:tcPr>
            <w:tcW w:type="dxa" w:w="4621"/>
          </w:tcPr>
          <w:p>
            <w:pPr>
              <w:keepNext/>
              <w:spacing w:after="60"/>
            </w:pPr>
            <w:r>
              <w:rPr>
                <w:sz w:val="18"/>
              </w:rPr>
              <w:t>逻辑组合</w:t>
            </w:r>
          </w:p>
        </w:tc>
        <w:tc>
          <w:tcPr>
            <w:tcW w:type="dxa" w:w="4621"/>
          </w:tcPr>
          <w:p>
            <w:pPr>
              <w:keepNext/>
              <w:spacing w:after="60"/>
            </w:pPr>
            <w:r>
              <w:rPr>
                <w:sz w:val="18"/>
              </w:rPr>
              <w:t>候选数</w:t>
            </w:r>
          </w:p>
        </w:tc>
      </w:tr>
      <w:tr>
        <w:trPr>
          <w:cantSplit/>
        </w:trPr>
        <w:tc>
          <w:tcPr>
            <w:tcW w:type="dxa" w:w="4621"/>
          </w:tcPr>
          <w:p>
            <w:pPr>
              <w:spacing w:after="60"/>
            </w:pPr>
            <w:r>
              <w:rPr>
                <w:sz w:val="18"/>
              </w:rPr>
              <w:t>IF AND (3σ OR IQR)</w:t>
            </w:r>
          </w:p>
        </w:tc>
        <w:tc>
          <w:tcPr>
            <w:tcW w:type="dxa" w:w="4621"/>
          </w:tcPr>
          <w:p>
            <w:pPr>
              <w:spacing w:after="60"/>
            </w:pPr>
            <w:r>
              <w:rPr>
                <w:sz w:val="18"/>
              </w:rPr>
              <w:t>3,165</w:t>
            </w:r>
          </w:p>
        </w:tc>
      </w:tr>
      <w:tr>
        <w:trPr>
          <w:cantSplit/>
        </w:trPr>
        <w:tc>
          <w:tcPr>
            <w:tcW w:type="dxa" w:w="4621"/>
          </w:tcPr>
          <w:p>
            <w:pPr>
              <w:spacing w:after="60"/>
            </w:pPr>
            <w:r>
              <w:rPr>
                <w:sz w:val="18"/>
              </w:rPr>
              <w:t>IF AND IQR</w:t>
            </w:r>
          </w:p>
        </w:tc>
        <w:tc>
          <w:tcPr>
            <w:tcW w:type="dxa" w:w="4621"/>
          </w:tcPr>
          <w:p>
            <w:pPr>
              <w:spacing w:after="60"/>
            </w:pPr>
            <w:r>
              <w:rPr>
                <w:sz w:val="18"/>
              </w:rPr>
              <w:t>3,159</w:t>
            </w:r>
          </w:p>
        </w:tc>
      </w:tr>
      <w:tr>
        <w:trPr>
          <w:cantSplit/>
        </w:trPr>
        <w:tc>
          <w:tcPr>
            <w:tcW w:type="dxa" w:w="4621"/>
          </w:tcPr>
          <w:p>
            <w:pPr>
              <w:spacing w:after="60"/>
            </w:pPr>
            <w:r>
              <w:rPr>
                <w:sz w:val="18"/>
              </w:rPr>
              <w:t>IF AND 3σ</w:t>
            </w:r>
          </w:p>
        </w:tc>
        <w:tc>
          <w:tcPr>
            <w:tcW w:type="dxa" w:w="4621"/>
          </w:tcPr>
          <w:p>
            <w:pPr>
              <w:spacing w:after="60"/>
            </w:pPr>
            <w:r>
              <w:rPr>
                <w:sz w:val="18"/>
              </w:rPr>
              <w:t>2,080</w:t>
            </w:r>
          </w:p>
        </w:tc>
      </w:tr>
      <w:tr>
        <w:trPr>
          <w:cantSplit/>
        </w:trPr>
        <w:tc>
          <w:tcPr>
            <w:tcW w:type="dxa" w:w="4621"/>
          </w:tcPr>
          <w:p>
            <w:pPr>
              <w:spacing w:after="60"/>
            </w:pPr>
            <w:r>
              <w:rPr>
                <w:sz w:val="18"/>
              </w:rPr>
              <w:t>IF AND 3σ AND IQR</w:t>
            </w:r>
          </w:p>
        </w:tc>
        <w:tc>
          <w:tcPr>
            <w:tcW w:type="dxa" w:w="4621"/>
          </w:tcPr>
          <w:p>
            <w:pPr>
              <w:spacing w:after="60"/>
            </w:pPr>
            <w:r>
              <w:rPr>
                <w:sz w:val="18"/>
              </w:rPr>
              <w:t>2,074</w:t>
            </w:r>
          </w:p>
        </w:tc>
      </w:tr>
      <w:tr>
        <w:trPr>
          <w:cantSplit/>
        </w:trPr>
        <w:tc>
          <w:tcPr>
            <w:tcW w:type="dxa" w:w="4621"/>
          </w:tcPr>
          <w:p>
            <w:pPr>
              <w:spacing w:after="60"/>
            </w:pPr>
            <w:r>
              <w:rPr>
                <w:sz w:val="18"/>
              </w:rPr>
              <w:t>IF OR 3σ OR IQR</w:t>
            </w:r>
          </w:p>
        </w:tc>
        <w:tc>
          <w:tcPr>
            <w:tcW w:type="dxa" w:w="4621"/>
          </w:tcPr>
          <w:p>
            <w:pPr>
              <w:spacing w:after="60"/>
            </w:pPr>
            <w:r>
              <w:rPr>
                <w:sz w:val="18"/>
              </w:rPr>
              <w:t>58,108</w:t>
            </w:r>
          </w:p>
        </w:tc>
      </w:tr>
    </w:tbl>
    <w:p>
      <w:pPr>
        <w:spacing w:after="120"/>
      </w:pPr>
      <w:r>
        <w:t>OR允许任一统计阈值支持，AND要求IF与统计信号共同触发。本数据最终规则比IF AND IQR仅多6条，不能夸大OR分支的实际增益。候选规模的收紧/放宽不等于故障准确率或召回率改善；没有真实故障标签，不报告这些分类指标。</w:t>
      </w:r>
    </w:p>
    <w:p>
      <w:pPr>
        <w:pStyle w:val="4"/>
      </w:pPr>
      <w:r>
        <w:t>相关矩阵样本量与统计推断</w:t>
      </w:r>
    </w:p>
    <w:tbl>
      <w:tblPr>
        <w:tblStyle w:val="33"/>
        <w:tblW w:type="dxa" w:w="9242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rPr>
          <w:tblHeader/>
          <w:cantSplit/>
          <w:tblHeader/>
        </w:trPr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KPI组合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站级bootstrap 95% CI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Holm p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DLPRB / DLThpVol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0.423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[0.169, 0.601]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7.61e-05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DLPRB / DLThpTime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0.697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[0.485, 0.795]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3.53e-10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DLPRB / MR_number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0.889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[0.841, 0.918]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1.1e-28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DLThpVol / DLThpTime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0.680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[0.535, 0.770]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2.68e-08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DLThpVol / MR_number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0.327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[0.065, 0.488]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0.0101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DLThpTime / MR_number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0.630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[0.449, 0.758]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8.36e-08</w:t>
            </w:r>
          </w:p>
        </w:tc>
      </w:tr>
    </w:tbl>
    <w:p>
      <w:pPr>
        <w:spacing w:after="120"/>
      </w:pPr>
      <w:r>
        <w:t>每对n=3,165是候选记录数；30是基站聚类数，不代表3,165条独立样本。p值来自站级聚类稳健零回归斜率检验，六对一起Holm校正；区间另用站级bootstrap估计。六对校正后p均&lt;0.05，仅说明已筛选候选中的关联。候选选择可能改变相关结构，单向站级聚类未完全处理跨站同小时共同冲击；30聚类仍为近似推断，不构成故障根因或因果证明。</w:t>
      </w:r>
    </w:p>
    <w:p>
      <w:pPr>
        <w:pStyle w:val="4"/>
      </w:pPr>
      <w:r>
        <w:t>代码修复与最新验收</w:t>
      </w:r>
    </w:p>
    <w:p>
      <w:pPr>
        <w:spacing w:after="120"/>
      </w:pPr>
      <w:r>
        <w:t>修复仅涉及底层小时数据契约、DL输出预检和scaler测试提取。训练加载器与推理拒绝共同缺小时、重复或非整数小时；保留ML 20维、DL窗口、逆标准化和IF AND (3σ OR IQR)定义。DL当前代码已仅在内部训练前缀拟合scaler；本次锁定该行为，没有把历史成绩改写为新成绩。</w:t>
      </w:r>
    </w:p>
    <w:p>
      <w:pPr>
        <w:spacing w:after="120"/>
      </w:pPr>
      <w:r>
        <w:t>本次既有自动化基线48项通过；新增算法及统计回归后最新完整测试57项通过（final_tests.txt）。六个Streamlit页面AppTest加载及切换均无异常，实际新模型回载及CSV导出通过，原异常模型5,760条检测通过。另用1轮、512条样本执行现有DL CLI仅作功能验收，不把其分数纳入模型比较。Web页面及服务源码哈希保持不变。本次未以真人浏览器重走每个上传/下载控件或实时WebSocket训练全流程，不能将自动验收冒充完整手工验收。</w:t>
      </w:r>
    </w:p>
    <w:p>
      <w:pPr>
        <w:spacing w:after="120"/>
      </w:pPr>
      <w:r>
        <w:t>证据根目录：reports/final_audit_20261025。新实验配置protocol.json、逐次runs.json、60组metrics.csv、hourly_losses.csv、48组holdout_significance.csv；实际权重及逐beam-hour配对预测位于resources/final_audit_20261025（Git忽略，需本机备份）。历史reports/和figures/数值保持原样。没有独立外部数据、全模型调参或生产实时网管接入，本次不扩大该范围。</w:t>
      </w:r>
    </w:p>
    <w:sectPr>
      <w:headerReference r:id="rId5" w:type="default"/>
      <w:footerReference r:id="rId6" w:type="default"/>
      <w:pgSz w:w="11906" w:h="16838"/>
      <w:pgMar w:top="1304" w:right="1332" w:bottom="1049" w:left="1332" w:header="737" w:footer="79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371925">
    <w:pPr>
      <w:pStyle w:val="24"/>
      <w:jc w:val="center"/>
      <w:rPr>
        <w:rFonts w:hint="default" w:ascii="Times New Roman" w:hAnsi="Times New Roman" w:eastAsia="宋体" w:cs="Times New Roman"/>
      </w:rPr>
    </w:pPr>
    <w:r>
      <w:rPr>
        <w:rFonts w:hint="default" w:ascii="Times New Roman" w:hAnsi="Times New Roman" w:eastAsia="宋体" w:cs="Times New Roman"/>
        <w:color w:val="90979E"/>
        <w:sz w:val="15"/>
      </w:rPr>
      <w:t xml:space="preserve">第 </w:t>
    </w:r>
    <w:r>
      <w:rPr>
        <w:rFonts w:hint="default" w:ascii="Times New Roman" w:hAnsi="Times New Roman" w:eastAsia="宋体" w:cs="Times New Roman"/>
      </w:rPr>
      <w:fldChar w:fldCharType="begin"/>
    </w:r>
    <w:r>
      <w:rPr>
        <w:rFonts w:hint="default" w:ascii="Times New Roman" w:hAnsi="Times New Roman" w:eastAsia="宋体" w:cs="Times New Roman"/>
      </w:rPr>
      <w:instrText xml:space="preserve">PAGE</w:instrText>
    </w:r>
    <w:r>
      <w:rPr>
        <w:rFonts w:hint="default" w:ascii="Times New Roman" w:hAnsi="Times New Roman" w:eastAsia="宋体" w:cs="Times New Roman"/>
      </w:rPr>
      <w:fldChar w:fldCharType="separate"/>
    </w:r>
    <w:r>
      <w:rPr>
        <w:rFonts w:hint="default" w:ascii="Times New Roman" w:hAnsi="Times New Roman" w:eastAsia="宋体" w:cs="Times New Roman"/>
      </w:rPr>
      <w:fldChar w:fldCharType="end"/>
    </w:r>
    <w:r>
      <w:rPr>
        <w:rFonts w:hint="default" w:ascii="Times New Roman" w:hAnsi="Times New Roman" w:eastAsia="宋体" w:cs="Times New Roman"/>
        <w:color w:val="90979E"/>
        <w:sz w:val="15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6D419F">
    <w:pPr>
      <w:pStyle w:val="25"/>
      <w:jc w:val="right"/>
      <w:rPr>
        <w:rFonts w:hint="default" w:ascii="Times New Roman" w:hAnsi="Times New Roman" w:eastAsia="宋体" w:cs="Times New Roman"/>
      </w:rPr>
    </w:pPr>
    <w:r>
      <w:rPr>
        <w:rFonts w:hint="default" w:ascii="Times New Roman" w:hAnsi="Times New Roman" w:eastAsia="宋体" w:cs="Times New Roman"/>
        <w:color w:val="858B95"/>
        <w:sz w:val="15"/>
      </w:rPr>
      <w:t>Week2|数据集统计分析报告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A755D0"/>
    <w:rsid w:val="14051707"/>
    <w:rsid w:val="20E42E2F"/>
    <w:rsid w:val="37D402E9"/>
    <w:rsid w:val="3DE37306"/>
    <w:rsid w:val="42383191"/>
    <w:rsid w:val="54EE318F"/>
    <w:rsid w:val="5553606B"/>
    <w:rsid w:val="656A6C87"/>
    <w:rsid w:val="6BC95325"/>
    <w:rsid w:val="70446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80" w:line="300" w:lineRule="auto"/>
    </w:pPr>
    <w:rPr>
      <w:rFonts w:ascii="Times New Roman" w:hAnsi="Times New Roman" w:eastAsia="宋体" w:cs="Times New Roman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b/>
      <w:bCs/>
      <w:color w:val="163A5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b/>
      <w:bCs/>
      <w:color w:val="2F5597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40" w:after="60"/>
      <w:outlineLvl w:val="2"/>
    </w:pPr>
    <w:rPr>
      <w:rFonts w:asciiTheme="majorHAnsi" w:hAnsiTheme="majorHAnsi" w:eastAsiaTheme="majorEastAsia" w:cstheme="majorBidi"/>
      <w:b/>
      <w:bCs/>
      <w:color w:val="153D68"/>
      <w:sz w:val="2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after="160" w:line="240" w:lineRule="auto"/>
    </w:pPr>
    <w:rPr>
      <w:rFonts w:ascii="Noto Serif CJK SC" w:hAnsi="Noto Serif CJK SC" w:eastAsia="Noto Serif CJK SC"/>
      <w:bCs/>
      <w:color w:val="3F4C5A"/>
      <w:sz w:val="16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180" w:after="360" w:line="240" w:lineRule="auto"/>
      <w:contextualSpacing/>
    </w:pPr>
    <w:rPr>
      <w:rFonts w:asciiTheme="majorHAnsi" w:hAnsiTheme="majorHAnsi" w:eastAsiaTheme="majorEastAsia" w:cstheme="majorBidi"/>
      <w:b/>
      <w:color w:val="153D68"/>
      <w:spacing w:val="5"/>
      <w:kern w:val="28"/>
      <w:sz w:val="3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link w:val="3"/>
    <w:qFormat/>
    <w:uiPriority w:val="9"/>
    <w:rPr>
      <w:rFonts w:ascii="Times New Roman" w:hAnsi="Times New Roman" w:eastAsia="宋体" w:cs="Times New Roman"/>
      <w:b/>
      <w:bCs/>
      <w:color w:val="163A5F"/>
      <w:sz w:val="30"/>
      <w:szCs w:val="28"/>
      <w:lang w:val="en-US" w:eastAsia="en-US" w:bidi="ar-SA"/>
    </w:rPr>
  </w:style>
  <w:style w:type="character" w:customStyle="1" w:styleId="139">
    <w:name w:val="Heading 2 Char"/>
    <w:link w:val="4"/>
    <w:qFormat/>
    <w:uiPriority w:val="9"/>
    <w:rPr>
      <w:rFonts w:ascii="Times New Roman" w:hAnsi="Times New Roman" w:eastAsia="宋体" w:cs="Times New Roman"/>
      <w:b/>
      <w:bCs/>
      <w:color w:val="2F5597"/>
      <w:sz w:val="24"/>
      <w:szCs w:val="26"/>
      <w:lang w:val="en-US" w:eastAsia="en-US" w:bidi="ar-SA"/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mallText"/>
    <w:qFormat/>
    <w:uiPriority w:val="0"/>
    <w:pPr>
      <w:spacing w:after="200" w:line="276" w:lineRule="auto"/>
    </w:pPr>
    <w:rPr>
      <w:rFonts w:ascii="Noto Serif CJK SC" w:hAnsi="Noto Serif CJK SC" w:eastAsia="Noto Serif CJK SC" w:cstheme="minorBidi"/>
      <w:color w:val="4C5B6E"/>
      <w:sz w:val="17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1699</Words>
  <Characters>3101</Characters>
  <Lines>0</Lines>
  <Paragraphs>0</Paragraphs>
  <TotalTime>7</TotalTime>
  <ScaleCrop>false</ScaleCrop>
  <LinksUpToDate>false</LinksUpToDate>
  <CharactersWithSpaces>3318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白鸟</cp:lastModifiedBy>
  <dcterms:modified xsi:type="dcterms:W3CDTF">2026-10-18T10:49:30Z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eyJoZGlkIjoiM2NkYThkNzk1NjRiY2FkMmQxYTI1NDIwYTAwZTc5NjYiLCJ1c2VySWQiOiIyODgyMzk1NzcifQ==</vt:lpwstr>
  </property>
  <property fmtid="{D5CDD505-2E9C-101B-9397-08002B2CF9AE}" pid="3" name="KSOProductBuildVer">
    <vt:lpwstr>2052-12.1.0.28599</vt:lpwstr>
  </property>
  <property fmtid="{D5CDD505-2E9C-101B-9397-08002B2CF9AE}" pid="4" name="ICV">
    <vt:lpwstr>543255DB80FD4C27A4B46FE7CAA9D4E8_12</vt:lpwstr>
  </property>
</Properties>
</file>