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pPr>
      <w:r>
        <w:t>2026年10月25日核验修订版  前文历史成绩保留 新实验及最新状态见末节补充验证</w:t>
      </w:r>
    </w:p>
    <w:p w14:paraId="4C8EC0CD">
      <w:pPr>
        <w:spacing w:before="1600" w:after="80" w:line="300" w:lineRule="auto"/>
        <w:jc w:val="center"/>
        <w:rPr>
          <w:rFonts w:hint="default" w:ascii="Times New Roman" w:hAnsi="Times New Roman" w:eastAsia="宋体" w:cs="Times New Roman"/>
          <w:b/>
          <w:color w:val="2F5597"/>
          <w:sz w:val="32"/>
          <w:lang w:eastAsia="zh-CN"/>
        </w:rPr>
      </w:pPr>
      <w:r>
        <w:rPr>
          <w:rFonts w:hint="default" w:ascii="Times New Roman" w:hAnsi="Times New Roman" w:eastAsia="宋体" w:cs="Times New Roman"/>
          <w:b/>
          <w:color w:val="2F5597"/>
          <w:sz w:val="32"/>
          <w:lang w:eastAsia="zh-CN"/>
        </w:rPr>
        <w:t>基于 AI 的 5G 网络关键性能指标预测与异常检测系统</w:t>
      </w:r>
    </w:p>
    <w:p w14:paraId="7A56B78D">
      <w:pPr>
        <w:spacing w:before="360" w:after="80" w:line="300" w:lineRule="auto"/>
        <w:jc w:val="center"/>
        <w:rPr>
          <w:rFonts w:hint="default" w:ascii="Times New Roman" w:hAnsi="Times New Roman" w:eastAsia="宋体" w:cs="Times New Roman"/>
          <w:b w:val="0"/>
          <w:sz w:val="21"/>
          <w:lang w:eastAsia="zh-CN"/>
        </w:rPr>
      </w:pPr>
    </w:p>
    <w:p w14:paraId="0A1BB750">
      <w:pPr>
        <w:spacing w:before="360" w:after="80" w:line="300" w:lineRule="auto"/>
        <w:jc w:val="center"/>
        <w:rPr>
          <w:rFonts w:hint="default" w:ascii="Times New Roman" w:hAnsi="Times New Roman" w:eastAsia="宋体" w:cs="Times New Roman"/>
          <w:b/>
          <w:color w:val="163A5F"/>
          <w:sz w:val="50"/>
          <w:lang w:eastAsia="zh-CN"/>
        </w:rPr>
      </w:pPr>
      <w:r>
        <w:rPr>
          <w:rFonts w:hint="default" w:ascii="Times New Roman" w:hAnsi="Times New Roman" w:eastAsia="宋体" w:cs="Times New Roman"/>
          <w:b/>
          <w:color w:val="163A5F"/>
          <w:sz w:val="50"/>
          <w:lang w:eastAsia="zh-CN"/>
        </w:rPr>
        <w:t>异常检测结果报告</w:t>
      </w:r>
    </w:p>
    <w:p w14:paraId="606FA5F7">
      <w:pPr>
        <w:spacing w:before="700" w:after="80" w:line="300" w:lineRule="auto"/>
        <w:jc w:val="center"/>
        <w:rPr>
          <w:rFonts w:hint="default" w:ascii="Times New Roman" w:hAnsi="Times New Roman" w:eastAsia="宋体" w:cs="Times New Roman"/>
          <w:b w:val="0"/>
          <w:sz w:val="24"/>
        </w:rPr>
      </w:pPr>
      <w:r>
        <w:rPr>
          <w:rFonts w:hint="default" w:ascii="Times New Roman" w:hAnsi="Times New Roman" w:eastAsia="宋体" w:cs="Times New Roman"/>
          <w:b w:val="0"/>
          <w:sz w:val="24"/>
        </w:rPr>
        <w:t>3σ、IQR、Isolation Forest、One-Class SVM 与联合筛选</w:t>
      </w:r>
    </w:p>
    <w:p w14:paraId="38C3449F">
      <w:pPr>
        <w:spacing w:before="2000" w:after="80" w:line="300" w:lineRule="auto"/>
        <w:jc w:val="center"/>
        <w:rPr>
          <w:rFonts w:hint="default" w:ascii="Times New Roman" w:hAnsi="Times New Roman" w:eastAsia="宋体" w:cs="Times New Roman"/>
          <w:b w:val="0"/>
          <w:color w:val="5A5A5A"/>
          <w:sz w:val="20"/>
        </w:rPr>
      </w:pPr>
      <w:r>
        <w:rPr>
          <w:rFonts w:hint="default" w:ascii="Times New Roman" w:hAnsi="Times New Roman" w:eastAsia="宋体" w:cs="Times New Roman"/>
          <w:b w:val="0"/>
          <w:color w:val="5A5A5A"/>
          <w:sz w:val="20"/>
        </w:rPr>
        <w:t>数据集：gotsf-ds / 四类 KPI</w:t>
      </w:r>
      <w:r>
        <w:rPr>
          <w:rFonts w:hint="default" w:ascii="Times New Roman" w:hAnsi="Times New Roman" w:eastAsia="宋体" w:cs="Times New Roman"/>
          <w:b w:val="0"/>
          <w:color w:val="5A5A5A"/>
          <w:sz w:val="20"/>
        </w:rPr>
        <w:br w:type="textWrapping"/>
      </w:r>
      <w:r>
        <w:rPr>
          <w:rFonts w:hint="default" w:ascii="Times New Roman" w:hAnsi="Times New Roman" w:eastAsia="宋体" w:cs="Times New Roman"/>
          <w:b w:val="0"/>
          <w:color w:val="5A5A5A"/>
          <w:sz w:val="20"/>
        </w:rPr>
        <w:t>测试范围：Time 672–839；2,880 beam × 168 小时</w:t>
      </w:r>
      <w:r>
        <w:rPr>
          <w:rFonts w:hint="default" w:ascii="Times New Roman" w:hAnsi="Times New Roman" w:eastAsia="宋体" w:cs="Times New Roman"/>
          <w:b w:val="0"/>
          <w:color w:val="5A5A5A"/>
          <w:sz w:val="20"/>
        </w:rPr>
        <w:br w:type="textWrapping"/>
      </w:r>
      <w:r>
        <w:rPr>
          <w:rFonts w:hint="default" w:ascii="Times New Roman" w:hAnsi="Times New Roman" w:eastAsia="宋体" w:cs="Times New Roman"/>
          <w:b w:val="0"/>
          <w:color w:val="5A5A5A"/>
          <w:sz w:val="20"/>
        </w:rPr>
        <w:t>检测方法：3σ / IQR / Isolation Forest / One-Class SVM</w:t>
      </w:r>
      <w:r>
        <w:rPr>
          <w:rFonts w:hint="default" w:ascii="Times New Roman" w:hAnsi="Times New Roman" w:eastAsia="宋体" w:cs="Times New Roman"/>
          <w:b w:val="0"/>
          <w:color w:val="5A5A5A"/>
          <w:sz w:val="20"/>
        </w:rPr>
        <w:br w:type="textWrapping"/>
      </w:r>
    </w:p>
    <w:p w14:paraId="187A415E">
      <w:pPr>
        <w:rPr>
          <w:rFonts w:hint="default" w:ascii="Times New Roman" w:hAnsi="Times New Roman" w:eastAsia="宋体" w:cs="Times New Roman"/>
        </w:rPr>
      </w:pPr>
      <w:r>
        <w:rPr>
          <w:rFonts w:hint="default" w:ascii="Times New Roman" w:hAnsi="Times New Roman" w:eastAsia="宋体" w:cs="Times New Roman"/>
        </w:rPr>
        <w:br w:type="page"/>
      </w:r>
    </w:p>
    <w:p w14:paraId="35320EA3">
      <w:pPr>
        <w:pStyle w:val="3"/>
        <w:bidi w:val="0"/>
        <w:rPr>
          <w:rFonts w:hint="default"/>
        </w:rPr>
      </w:pPr>
      <w:r>
        <w:rPr>
          <w:rFonts w:hint="default"/>
        </w:rPr>
        <w:t>1. 实验目的与检测对象</w:t>
      </w:r>
    </w:p>
    <w:p w14:paraId="0DAE319C">
      <w:pPr>
        <w:bidi w:val="0"/>
        <w:rPr>
          <w:rFonts w:hint="default"/>
        </w:rPr>
      </w:pPr>
      <w:r>
        <w:rPr>
          <w:rFonts w:hint="default"/>
        </w:rPr>
        <w:t>本实验面向 5G beam 级 KPI 时间序列，采用统计阈值方法与无监督机器学习方法筛选偏离历史正常观测分布的记录，并分析异常标记在测试时间上的变化。数据集中没有经过故障工单核验的真实异常标签，因此结果均称为“疑似异常候选”，不作为真实故障发生率。</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442830DE">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02D5CBC8">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项目</w:t>
            </w:r>
          </w:p>
        </w:tc>
        <w:tc>
          <w:tcPr>
            <w:tcW w:w="3081" w:type="dxa"/>
            <w:tcBorders>
              <w:top w:val="single" w:color="000000" w:sz="12" w:space="0"/>
              <w:left w:val="nil"/>
              <w:bottom w:val="single" w:color="000000" w:sz="4" w:space="0"/>
              <w:right w:val="nil"/>
            </w:tcBorders>
            <w:shd w:val="clear" w:color="auto" w:fill="FFFFFF"/>
            <w:vAlign w:val="center"/>
          </w:tcPr>
          <w:p w14:paraId="77F702A9">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设置</w:t>
            </w:r>
          </w:p>
        </w:tc>
        <w:tc>
          <w:tcPr>
            <w:tcW w:w="3081" w:type="dxa"/>
            <w:tcBorders>
              <w:top w:val="single" w:color="000000" w:sz="12" w:space="0"/>
              <w:left w:val="nil"/>
              <w:bottom w:val="single" w:color="000000" w:sz="4" w:space="0"/>
              <w:right w:val="nil"/>
            </w:tcBorders>
            <w:shd w:val="clear" w:color="auto" w:fill="FFFFFF"/>
            <w:vAlign w:val="center"/>
          </w:tcPr>
          <w:p w14:paraId="1C174AFE">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说明</w:t>
            </w:r>
          </w:p>
        </w:tc>
      </w:tr>
      <w:tr w14:paraId="139D1190">
        <w:tblPrEx>
          <w:tblCellMar>
            <w:top w:w="0" w:type="dxa"/>
            <w:left w:w="108" w:type="dxa"/>
            <w:bottom w:w="0" w:type="dxa"/>
            <w:right w:w="108" w:type="dxa"/>
          </w:tblCellMar>
        </w:tblPrEx>
        <w:trPr>
          <w:jc w:val="center"/>
          <w:cantSplit/>
        </w:trPr>
        <w:tc>
          <w:tcPr>
            <w:tcW w:w="3081" w:type="dxa"/>
            <w:tcBorders>
              <w:top w:val="single" w:color="000000" w:sz="4" w:space="0"/>
              <w:left w:val="nil"/>
              <w:bottom w:val="nil"/>
              <w:right w:val="nil"/>
            </w:tcBorders>
            <w:shd w:val="clear" w:color="auto" w:fill="FFFFFF"/>
            <w:vAlign w:val="center"/>
          </w:tcPr>
          <w:p w14:paraId="2D6E72F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KPI</w:t>
            </w:r>
          </w:p>
        </w:tc>
        <w:tc>
          <w:tcPr>
            <w:tcW w:w="3081" w:type="dxa"/>
            <w:tcBorders>
              <w:top w:val="single" w:color="000000" w:sz="4" w:space="0"/>
              <w:left w:val="nil"/>
              <w:bottom w:val="nil"/>
              <w:right w:val="nil"/>
            </w:tcBorders>
            <w:shd w:val="clear" w:color="auto" w:fill="FFFFFF"/>
            <w:vAlign w:val="center"/>
          </w:tcPr>
          <w:p w14:paraId="7ED51B4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 / DLThpVol / DLThpTime / MR_number</w:t>
            </w:r>
          </w:p>
        </w:tc>
        <w:tc>
          <w:tcPr>
            <w:tcW w:w="3081" w:type="dxa"/>
            <w:tcBorders>
              <w:top w:val="single" w:color="000000" w:sz="4" w:space="0"/>
              <w:left w:val="nil"/>
              <w:bottom w:val="nil"/>
              <w:right w:val="nil"/>
            </w:tcBorders>
            <w:shd w:val="clear" w:color="auto" w:fill="FFFFFF"/>
            <w:vAlign w:val="center"/>
          </w:tcPr>
          <w:p w14:paraId="12142C4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同一 beam-hour 的四维观测</w:t>
            </w:r>
          </w:p>
        </w:tc>
      </w:tr>
      <w:tr w14:paraId="42106B64">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4F7E982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训练时段</w:t>
            </w:r>
          </w:p>
        </w:tc>
        <w:tc>
          <w:tcPr>
            <w:tcW w:w="3081" w:type="dxa"/>
            <w:tcBorders>
              <w:top w:val="nil"/>
              <w:left w:val="nil"/>
              <w:bottom w:val="nil"/>
              <w:right w:val="nil"/>
            </w:tcBorders>
            <w:shd w:val="clear" w:color="auto" w:fill="FFFFFF"/>
            <w:vAlign w:val="center"/>
          </w:tcPr>
          <w:p w14:paraId="1AA589F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0–671</w:t>
            </w:r>
          </w:p>
        </w:tc>
        <w:tc>
          <w:tcPr>
            <w:tcW w:w="3081" w:type="dxa"/>
            <w:tcBorders>
              <w:top w:val="nil"/>
              <w:left w:val="nil"/>
              <w:bottom w:val="nil"/>
              <w:right w:val="nil"/>
            </w:tcBorders>
            <w:shd w:val="clear" w:color="auto" w:fill="FFFFFF"/>
            <w:vAlign w:val="center"/>
          </w:tcPr>
          <w:p w14:paraId="6472DD2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672 小时，拟合阈值和模型</w:t>
            </w:r>
          </w:p>
        </w:tc>
      </w:tr>
      <w:tr w14:paraId="78C97E8E">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7A0D8DE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测试时段</w:t>
            </w:r>
          </w:p>
        </w:tc>
        <w:tc>
          <w:tcPr>
            <w:tcW w:w="3081" w:type="dxa"/>
            <w:tcBorders>
              <w:top w:val="nil"/>
              <w:left w:val="nil"/>
              <w:bottom w:val="nil"/>
              <w:right w:val="nil"/>
            </w:tcBorders>
            <w:shd w:val="clear" w:color="auto" w:fill="FFFFFF"/>
            <w:vAlign w:val="center"/>
          </w:tcPr>
          <w:p w14:paraId="45EF8C4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672–839</w:t>
            </w:r>
          </w:p>
        </w:tc>
        <w:tc>
          <w:tcPr>
            <w:tcW w:w="3081" w:type="dxa"/>
            <w:tcBorders>
              <w:top w:val="nil"/>
              <w:left w:val="nil"/>
              <w:bottom w:val="nil"/>
              <w:right w:val="nil"/>
            </w:tcBorders>
            <w:shd w:val="clear" w:color="auto" w:fill="FFFFFF"/>
            <w:vAlign w:val="center"/>
          </w:tcPr>
          <w:p w14:paraId="3017603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168 小时，合计 483,840 beam-hour</w:t>
            </w:r>
          </w:p>
        </w:tc>
      </w:tr>
      <w:tr w14:paraId="19DD7AA8">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27872C9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Isolation Forest</w:t>
            </w:r>
          </w:p>
        </w:tc>
        <w:tc>
          <w:tcPr>
            <w:tcW w:w="3081" w:type="dxa"/>
            <w:tcBorders>
              <w:top w:val="nil"/>
              <w:left w:val="nil"/>
              <w:bottom w:val="nil"/>
              <w:right w:val="nil"/>
            </w:tcBorders>
            <w:shd w:val="clear" w:color="auto" w:fill="FFFFFF"/>
            <w:vAlign w:val="center"/>
          </w:tcPr>
          <w:p w14:paraId="0E49D6C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8 维特征 / 80,000 训练样本</w:t>
            </w:r>
          </w:p>
        </w:tc>
        <w:tc>
          <w:tcPr>
            <w:tcW w:w="3081" w:type="dxa"/>
            <w:tcBorders>
              <w:top w:val="nil"/>
              <w:left w:val="nil"/>
              <w:bottom w:val="nil"/>
              <w:right w:val="nil"/>
            </w:tcBorders>
            <w:shd w:val="clear" w:color="auto" w:fill="FFFFFF"/>
            <w:vAlign w:val="center"/>
          </w:tcPr>
          <w:p w14:paraId="7E40259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四个 KPI 标准化值及一阶差分</w:t>
            </w:r>
          </w:p>
        </w:tc>
      </w:tr>
      <w:tr w14:paraId="202D1CF1">
        <w:tblPrEx>
          <w:tblCellMar>
            <w:top w:w="0" w:type="dxa"/>
            <w:left w:w="108" w:type="dxa"/>
            <w:bottom w:w="0" w:type="dxa"/>
            <w:right w:w="108" w:type="dxa"/>
          </w:tblCellMar>
        </w:tblPrEx>
        <w:trPr>
          <w:jc w:val="center"/>
          <w:cantSplit/>
        </w:trPr>
        <w:tc>
          <w:tcPr>
            <w:tcW w:w="3081" w:type="dxa"/>
            <w:tcBorders>
              <w:top w:val="nil"/>
              <w:left w:val="nil"/>
              <w:bottom w:val="single" w:color="000000" w:sz="12" w:space="0"/>
              <w:right w:val="nil"/>
            </w:tcBorders>
            <w:shd w:val="clear" w:color="auto" w:fill="FFFFFF"/>
            <w:vAlign w:val="center"/>
          </w:tcPr>
          <w:p w14:paraId="40F2991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One-Class SVM</w:t>
            </w:r>
          </w:p>
        </w:tc>
        <w:tc>
          <w:tcPr>
            <w:tcW w:w="3081" w:type="dxa"/>
            <w:tcBorders>
              <w:top w:val="nil"/>
              <w:left w:val="nil"/>
              <w:bottom w:val="single" w:color="000000" w:sz="12" w:space="0"/>
              <w:right w:val="nil"/>
            </w:tcBorders>
            <w:shd w:val="clear" w:color="auto" w:fill="FFFFFF"/>
            <w:vAlign w:val="center"/>
          </w:tcPr>
          <w:p w14:paraId="7C6C0AF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2,500 训练 / 12,000 测试子样本</w:t>
            </w:r>
          </w:p>
        </w:tc>
        <w:tc>
          <w:tcPr>
            <w:tcW w:w="3081" w:type="dxa"/>
            <w:tcBorders>
              <w:top w:val="nil"/>
              <w:left w:val="nil"/>
              <w:bottom w:val="single" w:color="000000" w:sz="12" w:space="0"/>
              <w:right w:val="nil"/>
            </w:tcBorders>
            <w:shd w:val="clear" w:color="auto" w:fill="FFFFFF"/>
            <w:vAlign w:val="center"/>
          </w:tcPr>
          <w:p w14:paraId="325CDFA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RBF 核；单独注明抽样口径</w:t>
            </w:r>
          </w:p>
        </w:tc>
      </w:tr>
    </w:tbl>
    <w:p w14:paraId="2CD70F6B">
      <w:pPr>
        <w:pStyle w:val="3"/>
        <w:rPr>
          <w:rFonts w:hint="default" w:ascii="Times New Roman" w:hAnsi="Times New Roman" w:eastAsia="宋体" w:cs="Times New Roman"/>
        </w:rPr>
      </w:pPr>
      <w:r>
        <w:rPr>
          <w:rFonts w:hint="default" w:ascii="Times New Roman" w:hAnsi="Times New Roman" w:eastAsia="宋体" w:cs="Times New Roman"/>
        </w:rPr>
        <w:t>2. 异常检测算法与联合判定规则</w:t>
      </w:r>
    </w:p>
    <w:p w14:paraId="1D941CE5">
      <w:pPr>
        <w:rPr>
          <w:rFonts w:hint="default" w:ascii="Times New Roman" w:hAnsi="Times New Roman" w:eastAsia="宋体" w:cs="Times New Roman"/>
        </w:rPr>
      </w:pPr>
      <w:r>
        <w:rPr>
          <w:rFonts w:hint="default" w:ascii="Times New Roman" w:hAnsi="Times New Roman" w:eastAsia="宋体" w:cs="Times New Roman"/>
        </w:rPr>
        <w:t>3σ 方法使用各 beam 在训练时段的 KPI 均值与标准差，任一 KPI 超过 3 倍标准差即标记该 beam-hour；IQR 方法使用各 beam 训练期的四分位数和 1.5×IQR 围栏，任一 KPI 越界即标记。Isolation Forest 使用当前四 KPI 与其一阶差分组成的 8 维特征，训练配置中的 contamination=0.02 是算法设计先验而非真实异常发生率。One-Class SVM 在抽样测试子集上评估。</w:t>
      </w:r>
    </w:p>
    <w:p w14:paraId="37AE9806">
      <w:pPr>
        <w:rPr>
          <w:rFonts w:hint="default" w:ascii="Times New Roman" w:hAnsi="Times New Roman" w:eastAsia="宋体" w:cs="Times New Roman"/>
        </w:rPr>
      </w:pPr>
      <w:r>
        <w:rPr>
          <w:rFonts w:hint="default" w:ascii="Times New Roman" w:hAnsi="Times New Roman" w:eastAsia="宋体" w:cs="Times New Roman"/>
        </w:rPr>
        <w:t>联合筛选规则为：Isolation Forest 标记 AND（3σ 标记 OR IQR 标记）。此规则要求同时出现多变量检测信号和至少一种单变量统计异常，旨在构造较高优先级的人工排查队列，并不等于已验证的故障分类器。</w:t>
      </w:r>
    </w:p>
    <w:p w14:paraId="5429053C">
      <w:pPr>
        <w:pStyle w:val="3"/>
        <w:rPr>
          <w:rFonts w:hint="default" w:ascii="Times New Roman" w:hAnsi="Times New Roman" w:eastAsia="宋体" w:cs="Times New Roman"/>
        </w:rPr>
      </w:pPr>
      <w:r>
        <w:rPr>
          <w:rFonts w:hint="default" w:ascii="Times New Roman" w:hAnsi="Times New Roman" w:eastAsia="宋体" w:cs="Times New Roman"/>
        </w:rPr>
        <w:t>3. 四种方法的检测结果</w:t>
      </w:r>
    </w:p>
    <w:tbl>
      <w:tblPr>
        <w:tblStyle w:val="32"/>
        <w:tblW w:w="9242" w:type="dxa"/>
        <w:jc w:val="center"/>
        <w:tblLayout w:type="fixed"/>
        <w:tblCellMar>
          <w:top w:w="0" w:type="dxa"/>
          <w:left w:w="108" w:type="dxa"/>
          <w:bottom w:w="0" w:type="dxa"/>
          <w:right w:w="108" w:type="dxa"/>
        </w:tblCellMar>
      </w:tblPr>
      <w:tblGrid>
        <w:gridCol w:w="1848"/>
        <w:gridCol w:w="1848"/>
        <w:gridCol w:w="1848"/>
        <w:gridCol w:w="1848"/>
        <w:gridCol w:w="1848"/>
      </w:tblGrid>
      <w:tr w14:paraId="79E44566">
        <w:tblPrEx>
          <w:tblCellMar>
            <w:top w:w="0" w:type="dxa"/>
            <w:left w:w="108" w:type="dxa"/>
            <w:bottom w:w="0" w:type="dxa"/>
            <w:right w:w="108" w:type="dxa"/>
          </w:tblCellMar>
        </w:tblPrEx>
        <w:trPr>
          <w:tblHeader/>
          <w:jc w:val="center"/>
          <w:cantSplit/>
          <w:tblHeader/>
        </w:trPr>
        <w:tc>
          <w:tcPr>
            <w:tcW w:w="1848" w:type="dxa"/>
            <w:tcBorders>
              <w:top w:val="single" w:color="000000" w:sz="12" w:space="0"/>
              <w:left w:val="nil"/>
              <w:bottom w:val="single" w:color="000000" w:sz="4" w:space="0"/>
              <w:right w:val="nil"/>
              <w:tl2br w:val="nil"/>
            </w:tcBorders>
            <w:shd w:val="clear" w:color="auto" w:fill="FFFFFF"/>
            <w:vAlign w:val="center"/>
          </w:tcPr>
          <w:p w14:paraId="6E3239E9">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方法</w:t>
            </w:r>
          </w:p>
        </w:tc>
        <w:tc>
          <w:tcPr>
            <w:tcW w:w="1848" w:type="dxa"/>
            <w:tcBorders>
              <w:top w:val="single" w:color="000000" w:sz="12" w:space="0"/>
              <w:left w:val="nil"/>
              <w:bottom w:val="single" w:color="000000" w:sz="4" w:space="0"/>
              <w:right w:val="nil"/>
            </w:tcBorders>
            <w:shd w:val="clear" w:color="auto" w:fill="FFFFFF"/>
            <w:vAlign w:val="center"/>
          </w:tcPr>
          <w:p w14:paraId="52867FB4">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测试量</w:t>
            </w:r>
          </w:p>
        </w:tc>
        <w:tc>
          <w:tcPr>
            <w:tcW w:w="1848" w:type="dxa"/>
            <w:tcBorders>
              <w:top w:val="single" w:color="000000" w:sz="12" w:space="0"/>
              <w:left w:val="nil"/>
              <w:bottom w:val="single" w:color="000000" w:sz="4" w:space="0"/>
              <w:right w:val="nil"/>
            </w:tcBorders>
            <w:shd w:val="clear" w:color="auto" w:fill="FFFFFF"/>
            <w:vAlign w:val="center"/>
          </w:tcPr>
          <w:p w14:paraId="24D202F9">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标记数</w:t>
            </w:r>
          </w:p>
        </w:tc>
        <w:tc>
          <w:tcPr>
            <w:tcW w:w="1848" w:type="dxa"/>
            <w:tcBorders>
              <w:top w:val="single" w:color="000000" w:sz="12" w:space="0"/>
              <w:left w:val="nil"/>
              <w:bottom w:val="single" w:color="000000" w:sz="4" w:space="0"/>
              <w:right w:val="nil"/>
            </w:tcBorders>
            <w:shd w:val="clear" w:color="auto" w:fill="FFFFFF"/>
            <w:vAlign w:val="center"/>
          </w:tcPr>
          <w:p w14:paraId="6CDD1A47">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标记率</w:t>
            </w:r>
          </w:p>
        </w:tc>
        <w:tc>
          <w:tcPr>
            <w:tcW w:w="1848" w:type="dxa"/>
            <w:tcBorders>
              <w:top w:val="single" w:color="000000" w:sz="12" w:space="0"/>
              <w:left w:val="nil"/>
              <w:bottom w:val="single" w:color="000000" w:sz="4" w:space="0"/>
              <w:right w:val="nil"/>
            </w:tcBorders>
            <w:shd w:val="clear" w:color="auto" w:fill="FFFFFF"/>
            <w:vAlign w:val="center"/>
          </w:tcPr>
          <w:p w14:paraId="72D9C055">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范围</w:t>
            </w:r>
          </w:p>
        </w:tc>
      </w:tr>
      <w:tr w14:paraId="55B305CF">
        <w:tblPrEx>
          <w:tblCellMar>
            <w:top w:w="0" w:type="dxa"/>
            <w:left w:w="108" w:type="dxa"/>
            <w:bottom w:w="0" w:type="dxa"/>
            <w:right w:w="108" w:type="dxa"/>
          </w:tblCellMar>
        </w:tblPrEx>
        <w:trPr>
          <w:jc w:val="center"/>
          <w:cantSplit/>
        </w:trPr>
        <w:tc>
          <w:tcPr>
            <w:tcW w:w="1848" w:type="dxa"/>
            <w:tcBorders>
              <w:top w:val="single" w:color="000000" w:sz="4" w:space="0"/>
              <w:left w:val="nil"/>
              <w:bottom w:val="nil"/>
              <w:right w:val="nil"/>
            </w:tcBorders>
            <w:shd w:val="clear" w:color="auto" w:fill="FFFFFF"/>
            <w:vAlign w:val="center"/>
          </w:tcPr>
          <w:p w14:paraId="53A082E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3σ</w:t>
            </w:r>
          </w:p>
        </w:tc>
        <w:tc>
          <w:tcPr>
            <w:tcW w:w="1848" w:type="dxa"/>
            <w:tcBorders>
              <w:top w:val="single" w:color="000000" w:sz="4" w:space="0"/>
              <w:left w:val="nil"/>
              <w:bottom w:val="nil"/>
              <w:right w:val="nil"/>
            </w:tcBorders>
            <w:shd w:val="clear" w:color="auto" w:fill="FFFFFF"/>
            <w:vAlign w:val="center"/>
          </w:tcPr>
          <w:p w14:paraId="6D26C19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w:t>
            </w:r>
          </w:p>
        </w:tc>
        <w:tc>
          <w:tcPr>
            <w:tcW w:w="1848" w:type="dxa"/>
            <w:tcBorders>
              <w:top w:val="single" w:color="000000" w:sz="4" w:space="0"/>
              <w:left w:val="nil"/>
              <w:bottom w:val="nil"/>
              <w:right w:val="nil"/>
            </w:tcBorders>
            <w:shd w:val="clear" w:color="auto" w:fill="FFFFFF"/>
            <w:vAlign w:val="center"/>
          </w:tcPr>
          <w:p w14:paraId="0A6A0EA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22,059</w:t>
            </w:r>
          </w:p>
        </w:tc>
        <w:tc>
          <w:tcPr>
            <w:tcW w:w="1848" w:type="dxa"/>
            <w:tcBorders>
              <w:top w:val="single" w:color="000000" w:sz="4" w:space="0"/>
              <w:left w:val="nil"/>
              <w:bottom w:val="nil"/>
              <w:right w:val="nil"/>
            </w:tcBorders>
            <w:shd w:val="clear" w:color="auto" w:fill="FFFFFF"/>
            <w:vAlign w:val="center"/>
          </w:tcPr>
          <w:p w14:paraId="48B28CD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4.56%</w:t>
            </w:r>
          </w:p>
        </w:tc>
        <w:tc>
          <w:tcPr>
            <w:tcW w:w="1848" w:type="dxa"/>
            <w:tcBorders>
              <w:top w:val="single" w:color="000000" w:sz="4" w:space="0"/>
              <w:left w:val="nil"/>
              <w:bottom w:val="nil"/>
              <w:right w:val="nil"/>
            </w:tcBorders>
            <w:shd w:val="clear" w:color="auto" w:fill="FFFFFF"/>
            <w:vAlign w:val="center"/>
          </w:tcPr>
          <w:p w14:paraId="525270E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w:t>
            </w:r>
          </w:p>
        </w:tc>
      </w:tr>
      <w:tr w14:paraId="31F59C23">
        <w:tblPrEx>
          <w:tblCellMar>
            <w:top w:w="0" w:type="dxa"/>
            <w:left w:w="108" w:type="dxa"/>
            <w:bottom w:w="0" w:type="dxa"/>
            <w:right w:w="108" w:type="dxa"/>
          </w:tblCellMar>
        </w:tblPrEx>
        <w:trPr>
          <w:jc w:val="center"/>
          <w:cantSplit/>
        </w:trPr>
        <w:tc>
          <w:tcPr>
            <w:tcW w:w="1848" w:type="dxa"/>
            <w:tcBorders>
              <w:top w:val="nil"/>
              <w:left w:val="nil"/>
              <w:bottom w:val="nil"/>
              <w:right w:val="nil"/>
            </w:tcBorders>
            <w:shd w:val="clear" w:color="auto" w:fill="FFFFFF"/>
            <w:vAlign w:val="center"/>
          </w:tcPr>
          <w:p w14:paraId="575535F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IQR</w:t>
            </w:r>
          </w:p>
        </w:tc>
        <w:tc>
          <w:tcPr>
            <w:tcW w:w="1848" w:type="dxa"/>
            <w:tcBorders>
              <w:top w:val="nil"/>
              <w:left w:val="nil"/>
              <w:bottom w:val="nil"/>
              <w:right w:val="nil"/>
            </w:tcBorders>
            <w:shd w:val="clear" w:color="auto" w:fill="FFFFFF"/>
            <w:vAlign w:val="center"/>
          </w:tcPr>
          <w:p w14:paraId="2405CC93">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w:t>
            </w:r>
          </w:p>
        </w:tc>
        <w:tc>
          <w:tcPr>
            <w:tcW w:w="1848" w:type="dxa"/>
            <w:tcBorders>
              <w:top w:val="nil"/>
              <w:left w:val="nil"/>
              <w:bottom w:val="nil"/>
              <w:right w:val="nil"/>
            </w:tcBorders>
            <w:shd w:val="clear" w:color="auto" w:fill="FFFFFF"/>
            <w:vAlign w:val="center"/>
          </w:tcPr>
          <w:p w14:paraId="3E78CF1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51,318</w:t>
            </w:r>
          </w:p>
        </w:tc>
        <w:tc>
          <w:tcPr>
            <w:tcW w:w="1848" w:type="dxa"/>
            <w:tcBorders>
              <w:top w:val="nil"/>
              <w:left w:val="nil"/>
              <w:bottom w:val="nil"/>
              <w:right w:val="nil"/>
            </w:tcBorders>
            <w:shd w:val="clear" w:color="auto" w:fill="FFFFFF"/>
            <w:vAlign w:val="center"/>
          </w:tcPr>
          <w:p w14:paraId="775576C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10.61%</w:t>
            </w:r>
          </w:p>
        </w:tc>
        <w:tc>
          <w:tcPr>
            <w:tcW w:w="1848" w:type="dxa"/>
            <w:tcBorders>
              <w:top w:val="nil"/>
              <w:left w:val="nil"/>
              <w:bottom w:val="nil"/>
              <w:right w:val="nil"/>
            </w:tcBorders>
            <w:shd w:val="clear" w:color="auto" w:fill="FFFFFF"/>
            <w:vAlign w:val="center"/>
          </w:tcPr>
          <w:p w14:paraId="58A3D21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w:t>
            </w:r>
          </w:p>
        </w:tc>
      </w:tr>
      <w:tr w14:paraId="5B879220">
        <w:tblPrEx>
          <w:tblCellMar>
            <w:top w:w="0" w:type="dxa"/>
            <w:left w:w="108" w:type="dxa"/>
            <w:bottom w:w="0" w:type="dxa"/>
            <w:right w:w="108" w:type="dxa"/>
          </w:tblCellMar>
        </w:tblPrEx>
        <w:trPr>
          <w:jc w:val="center"/>
          <w:cantSplit/>
        </w:trPr>
        <w:tc>
          <w:tcPr>
            <w:tcW w:w="1848" w:type="dxa"/>
            <w:tcBorders>
              <w:top w:val="nil"/>
              <w:left w:val="nil"/>
              <w:bottom w:val="nil"/>
              <w:right w:val="nil"/>
            </w:tcBorders>
            <w:shd w:val="clear" w:color="auto" w:fill="FFFFFF"/>
            <w:vAlign w:val="center"/>
          </w:tcPr>
          <w:p w14:paraId="26AFDA9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Isolation Forest</w:t>
            </w:r>
          </w:p>
        </w:tc>
        <w:tc>
          <w:tcPr>
            <w:tcW w:w="1848" w:type="dxa"/>
            <w:tcBorders>
              <w:top w:val="nil"/>
              <w:left w:val="nil"/>
              <w:bottom w:val="nil"/>
              <w:right w:val="nil"/>
            </w:tcBorders>
            <w:shd w:val="clear" w:color="auto" w:fill="FFFFFF"/>
            <w:vAlign w:val="center"/>
          </w:tcPr>
          <w:p w14:paraId="7E0C04E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w:t>
            </w:r>
          </w:p>
        </w:tc>
        <w:tc>
          <w:tcPr>
            <w:tcW w:w="1848" w:type="dxa"/>
            <w:tcBorders>
              <w:top w:val="nil"/>
              <w:left w:val="nil"/>
              <w:bottom w:val="nil"/>
              <w:right w:val="nil"/>
            </w:tcBorders>
            <w:shd w:val="clear" w:color="auto" w:fill="FFFFFF"/>
            <w:vAlign w:val="center"/>
          </w:tcPr>
          <w:p w14:paraId="73749CE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9,900</w:t>
            </w:r>
          </w:p>
        </w:tc>
        <w:tc>
          <w:tcPr>
            <w:tcW w:w="1848" w:type="dxa"/>
            <w:tcBorders>
              <w:top w:val="nil"/>
              <w:left w:val="nil"/>
              <w:bottom w:val="nil"/>
              <w:right w:val="nil"/>
            </w:tcBorders>
            <w:shd w:val="clear" w:color="auto" w:fill="FFFFFF"/>
            <w:vAlign w:val="center"/>
          </w:tcPr>
          <w:p w14:paraId="24FE516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2.05%</w:t>
            </w:r>
          </w:p>
        </w:tc>
        <w:tc>
          <w:tcPr>
            <w:tcW w:w="1848" w:type="dxa"/>
            <w:tcBorders>
              <w:top w:val="nil"/>
              <w:left w:val="nil"/>
              <w:bottom w:val="nil"/>
              <w:right w:val="nil"/>
            </w:tcBorders>
            <w:shd w:val="clear" w:color="auto" w:fill="FFFFFF"/>
            <w:vAlign w:val="center"/>
          </w:tcPr>
          <w:p w14:paraId="4B81459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w:t>
            </w:r>
          </w:p>
        </w:tc>
      </w:tr>
      <w:tr w14:paraId="57E96EA8">
        <w:tblPrEx>
          <w:tblCellMar>
            <w:top w:w="0" w:type="dxa"/>
            <w:left w:w="108" w:type="dxa"/>
            <w:bottom w:w="0" w:type="dxa"/>
            <w:right w:w="108" w:type="dxa"/>
          </w:tblCellMar>
        </w:tblPrEx>
        <w:trPr>
          <w:jc w:val="center"/>
          <w:cantSplit/>
        </w:trPr>
        <w:tc>
          <w:tcPr>
            <w:tcW w:w="1848" w:type="dxa"/>
            <w:tcBorders>
              <w:top w:val="nil"/>
              <w:left w:val="nil"/>
              <w:bottom w:val="single" w:color="000000" w:sz="12" w:space="0"/>
              <w:right w:val="nil"/>
            </w:tcBorders>
            <w:shd w:val="clear" w:color="auto" w:fill="FFFFFF"/>
            <w:vAlign w:val="center"/>
          </w:tcPr>
          <w:p w14:paraId="5B073F2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One-Class SVM</w:t>
            </w:r>
          </w:p>
        </w:tc>
        <w:tc>
          <w:tcPr>
            <w:tcW w:w="1848" w:type="dxa"/>
            <w:tcBorders>
              <w:top w:val="nil"/>
              <w:left w:val="nil"/>
              <w:bottom w:val="single" w:color="000000" w:sz="12" w:space="0"/>
              <w:right w:val="nil"/>
            </w:tcBorders>
            <w:shd w:val="clear" w:color="auto" w:fill="FFFFFF"/>
            <w:vAlign w:val="center"/>
          </w:tcPr>
          <w:p w14:paraId="7FBEACC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12,000</w:t>
            </w:r>
          </w:p>
        </w:tc>
        <w:tc>
          <w:tcPr>
            <w:tcW w:w="1848" w:type="dxa"/>
            <w:tcBorders>
              <w:top w:val="nil"/>
              <w:left w:val="nil"/>
              <w:bottom w:val="single" w:color="000000" w:sz="12" w:space="0"/>
              <w:right w:val="nil"/>
            </w:tcBorders>
            <w:shd w:val="clear" w:color="auto" w:fill="FFFFFF"/>
            <w:vAlign w:val="center"/>
          </w:tcPr>
          <w:p w14:paraId="04D6CB1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552</w:t>
            </w:r>
          </w:p>
        </w:tc>
        <w:tc>
          <w:tcPr>
            <w:tcW w:w="1848" w:type="dxa"/>
            <w:tcBorders>
              <w:top w:val="nil"/>
              <w:left w:val="nil"/>
              <w:bottom w:val="single" w:color="000000" w:sz="12" w:space="0"/>
              <w:right w:val="nil"/>
            </w:tcBorders>
            <w:shd w:val="clear" w:color="auto" w:fill="FFFFFF"/>
            <w:vAlign w:val="center"/>
          </w:tcPr>
          <w:p w14:paraId="66749E7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4.60%</w:t>
            </w:r>
          </w:p>
        </w:tc>
        <w:tc>
          <w:tcPr>
            <w:tcW w:w="1848" w:type="dxa"/>
            <w:tcBorders>
              <w:top w:val="nil"/>
              <w:left w:val="nil"/>
              <w:bottom w:val="single" w:color="000000" w:sz="12" w:space="0"/>
              <w:right w:val="nil"/>
            </w:tcBorders>
            <w:shd w:val="clear" w:color="auto" w:fill="FFFFFF"/>
            <w:vAlign w:val="center"/>
          </w:tcPr>
          <w:p w14:paraId="130D777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抽样</w:t>
            </w:r>
          </w:p>
        </w:tc>
      </w:tr>
    </w:tbl>
    <w:p w14:paraId="6D915A0A">
      <w:pPr>
        <w:spacing w:after="20"/>
        <w:rPr>
          <w:rFonts w:hint="default" w:ascii="Times New Roman" w:hAnsi="Times New Roman" w:eastAsia="宋体" w:cs="Times New Roman"/>
        </w:rPr>
      </w:pPr>
    </w:p>
    <w:p w14:paraId="1B57166C">
      <w:pPr>
        <w:spacing w:before="40" w:after="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075555" cy="1831975"/>
            <wp:effectExtent l="0" t="0" r="1460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76000" cy="1832596"/>
                    </a:xfrm>
                    <a:prstGeom prst="rect">
                      <a:avLst/>
                    </a:prstGeom>
                  </pic:spPr>
                </pic:pic>
              </a:graphicData>
            </a:graphic>
          </wp:inline>
        </w:drawing>
      </w:r>
    </w:p>
    <w:p w14:paraId="4BF4C03A">
      <w:pPr>
        <w:spacing w:after="140"/>
        <w:jc w:val="center"/>
        <w:rPr>
          <w:rFonts w:hint="default" w:ascii="Times New Roman" w:hAnsi="Times New Roman" w:eastAsia="宋体" w:cs="Times New Roman"/>
        </w:rPr>
      </w:pPr>
      <w:r>
        <w:rPr>
          <w:rFonts w:hint="default" w:ascii="Times New Roman" w:hAnsi="Times New Roman" w:eastAsia="宋体" w:cs="Times New Roman"/>
          <w:sz w:val="18"/>
        </w:rPr>
        <w:t>图1 四种算法的异常标记率（*SVM 为抽样测试结果）</w:t>
        <w:br/>
        <w:t>图注补充：历史全量分母483,840 beam-hour；SVM另为12,000抽样；候选率不代表真实故障率。</w:t>
      </w:r>
      <w:r>
        <w:rPr>
          <w:rFonts w:hint="default" w:ascii="Times New Roman" w:hAnsi="Times New Roman" w:eastAsia="宋体" w:cs="Times New Roman"/>
          <w:sz w:val="18"/>
        </w:rPr>
      </w:r>
    </w:p>
    <w:p w14:paraId="78B7782D">
      <w:pPr>
        <w:rPr>
          <w:rFonts w:hint="default" w:ascii="Times New Roman" w:hAnsi="Times New Roman" w:eastAsia="宋体" w:cs="Times New Roman"/>
        </w:rPr>
      </w:pPr>
      <w:r>
        <w:rPr>
          <w:rFonts w:hint="default" w:ascii="Times New Roman" w:hAnsi="Times New Roman" w:eastAsia="宋体" w:cs="Times New Roman"/>
        </w:rPr>
        <w:t>IQR 的标记率最高，为 10.61%；3σ 为 4.56%；Isolation Forest 为 2.05%。One-Class SVM 在 12,000 条抽样记录中标记 552 条，标记率 4.60%。各算法采用不同边界定义和不同样本范围，标记数量不能直接作为准确率或优劣排名。</w:t>
      </w:r>
    </w:p>
    <w:p w14:paraId="0870E62D">
      <w:pPr>
        <w:pStyle w:val="3"/>
        <w:rPr>
          <w:rFonts w:hint="default" w:ascii="Times New Roman" w:hAnsi="Times New Roman" w:eastAsia="宋体" w:cs="Times New Roman"/>
        </w:rPr>
      </w:pPr>
      <w:r>
        <w:rPr>
          <w:rFonts w:hint="default" w:ascii="Times New Roman" w:hAnsi="Times New Roman" w:eastAsia="宋体" w:cs="Times New Roman"/>
        </w:rPr>
        <w:t>4. 联合异常与时间聚集</w:t>
      </w:r>
    </w:p>
    <w:p w14:paraId="497055CE">
      <w:pPr>
        <w:rPr>
          <w:rFonts w:hint="default" w:ascii="Times New Roman" w:hAnsi="Times New Roman" w:eastAsia="宋体" w:cs="Times New Roman"/>
        </w:rPr>
      </w:pPr>
      <w:r>
        <w:rPr>
          <w:rFonts w:hint="default" w:ascii="Times New Roman" w:hAnsi="Times New Roman" w:eastAsia="宋体" w:cs="Times New Roman"/>
        </w:rPr>
        <w:t>联合筛选从完整的 483,840 条测试记录中找到 3,165 条候选，占比 0.654%。在 Isolation Forest 的 9,900 条标记中，约 31.97% 同时满足一种统计阈值异常条件。</w:t>
      </w:r>
      <w:bookmarkStart w:id="0" w:name="_GoBack"/>
      <w:bookmarkEnd w:id="0"/>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058430B8">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326350E2">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索引</w:t>
            </w:r>
          </w:p>
        </w:tc>
        <w:tc>
          <w:tcPr>
            <w:tcW w:w="3081" w:type="dxa"/>
            <w:tcBorders>
              <w:top w:val="single" w:color="000000" w:sz="12" w:space="0"/>
              <w:left w:val="nil"/>
              <w:bottom w:val="single" w:color="000000" w:sz="4" w:space="0"/>
              <w:right w:val="nil"/>
            </w:tcBorders>
            <w:shd w:val="clear" w:color="auto" w:fill="FFFFFF"/>
            <w:vAlign w:val="center"/>
          </w:tcPr>
          <w:p w14:paraId="04BEBB6E">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候选数</w:t>
            </w:r>
          </w:p>
        </w:tc>
        <w:tc>
          <w:tcPr>
            <w:tcW w:w="3081" w:type="dxa"/>
            <w:tcBorders>
              <w:top w:val="single" w:color="000000" w:sz="12" w:space="0"/>
              <w:left w:val="nil"/>
              <w:bottom w:val="single" w:color="000000" w:sz="4" w:space="0"/>
              <w:right w:val="nil"/>
            </w:tcBorders>
            <w:shd w:val="clear" w:color="auto" w:fill="FFFFFF"/>
            <w:vAlign w:val="center"/>
          </w:tcPr>
          <w:p w14:paraId="2FB7D119">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占该小时 2880 beam 的比例</w:t>
            </w:r>
          </w:p>
        </w:tc>
      </w:tr>
      <w:tr w14:paraId="4861362F">
        <w:tblPrEx>
          <w:tblCellMar>
            <w:top w:w="0" w:type="dxa"/>
            <w:left w:w="108" w:type="dxa"/>
            <w:bottom w:w="0" w:type="dxa"/>
            <w:right w:w="108" w:type="dxa"/>
          </w:tblCellMar>
        </w:tblPrEx>
        <w:trPr>
          <w:jc w:val="center"/>
          <w:cantSplit/>
        </w:trPr>
        <w:tc>
          <w:tcPr>
            <w:tcW w:w="3081" w:type="dxa"/>
            <w:tcBorders>
              <w:top w:val="single" w:color="000000" w:sz="4" w:space="0"/>
              <w:left w:val="nil"/>
              <w:bottom w:val="nil"/>
              <w:right w:val="nil"/>
            </w:tcBorders>
            <w:shd w:val="clear" w:color="auto" w:fill="FFFFFF"/>
            <w:vAlign w:val="center"/>
          </w:tcPr>
          <w:p w14:paraId="159980C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692</w:t>
            </w:r>
          </w:p>
        </w:tc>
        <w:tc>
          <w:tcPr>
            <w:tcW w:w="3081" w:type="dxa"/>
            <w:tcBorders>
              <w:top w:val="single" w:color="000000" w:sz="4" w:space="0"/>
              <w:left w:val="nil"/>
              <w:bottom w:val="nil"/>
              <w:right w:val="nil"/>
            </w:tcBorders>
            <w:shd w:val="clear" w:color="auto" w:fill="FFFFFF"/>
            <w:vAlign w:val="center"/>
          </w:tcPr>
          <w:p w14:paraId="70A8425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71</w:t>
            </w:r>
          </w:p>
        </w:tc>
        <w:tc>
          <w:tcPr>
            <w:tcW w:w="3081" w:type="dxa"/>
            <w:tcBorders>
              <w:top w:val="single" w:color="000000" w:sz="4" w:space="0"/>
              <w:left w:val="nil"/>
              <w:bottom w:val="nil"/>
              <w:right w:val="nil"/>
            </w:tcBorders>
            <w:shd w:val="clear" w:color="auto" w:fill="FFFFFF"/>
            <w:vAlign w:val="center"/>
          </w:tcPr>
          <w:p w14:paraId="2ACAE56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2.47%</w:t>
            </w:r>
          </w:p>
        </w:tc>
      </w:tr>
      <w:tr w14:paraId="15314EBD">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14F505D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715</w:t>
            </w:r>
          </w:p>
        </w:tc>
        <w:tc>
          <w:tcPr>
            <w:tcW w:w="3081" w:type="dxa"/>
            <w:tcBorders>
              <w:top w:val="nil"/>
              <w:left w:val="nil"/>
              <w:bottom w:val="nil"/>
              <w:right w:val="nil"/>
            </w:tcBorders>
            <w:shd w:val="clear" w:color="auto" w:fill="FFFFFF"/>
            <w:vAlign w:val="center"/>
          </w:tcPr>
          <w:p w14:paraId="2B81B2E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68</w:t>
            </w:r>
          </w:p>
        </w:tc>
        <w:tc>
          <w:tcPr>
            <w:tcW w:w="3081" w:type="dxa"/>
            <w:tcBorders>
              <w:top w:val="nil"/>
              <w:left w:val="nil"/>
              <w:bottom w:val="nil"/>
              <w:right w:val="nil"/>
            </w:tcBorders>
            <w:shd w:val="clear" w:color="auto" w:fill="FFFFFF"/>
            <w:vAlign w:val="center"/>
          </w:tcPr>
          <w:p w14:paraId="797CD3F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2.36%</w:t>
            </w:r>
          </w:p>
        </w:tc>
      </w:tr>
      <w:tr w14:paraId="703753CC">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0A46AD0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739</w:t>
            </w:r>
          </w:p>
        </w:tc>
        <w:tc>
          <w:tcPr>
            <w:tcW w:w="3081" w:type="dxa"/>
            <w:tcBorders>
              <w:top w:val="nil"/>
              <w:left w:val="nil"/>
              <w:bottom w:val="nil"/>
              <w:right w:val="nil"/>
            </w:tcBorders>
            <w:shd w:val="clear" w:color="auto" w:fill="FFFFFF"/>
            <w:vAlign w:val="center"/>
          </w:tcPr>
          <w:p w14:paraId="66706FD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68</w:t>
            </w:r>
          </w:p>
        </w:tc>
        <w:tc>
          <w:tcPr>
            <w:tcW w:w="3081" w:type="dxa"/>
            <w:tcBorders>
              <w:top w:val="nil"/>
              <w:left w:val="nil"/>
              <w:bottom w:val="nil"/>
              <w:right w:val="nil"/>
            </w:tcBorders>
            <w:shd w:val="clear" w:color="auto" w:fill="FFFFFF"/>
            <w:vAlign w:val="center"/>
          </w:tcPr>
          <w:p w14:paraId="61EDBAE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2.36%</w:t>
            </w:r>
          </w:p>
        </w:tc>
      </w:tr>
      <w:tr w14:paraId="72B8DF0A">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5C2EE6E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691</w:t>
            </w:r>
          </w:p>
        </w:tc>
        <w:tc>
          <w:tcPr>
            <w:tcW w:w="3081" w:type="dxa"/>
            <w:tcBorders>
              <w:top w:val="nil"/>
              <w:left w:val="nil"/>
              <w:bottom w:val="nil"/>
              <w:right w:val="nil"/>
            </w:tcBorders>
            <w:shd w:val="clear" w:color="auto" w:fill="FFFFFF"/>
            <w:vAlign w:val="center"/>
          </w:tcPr>
          <w:p w14:paraId="462F118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66</w:t>
            </w:r>
          </w:p>
        </w:tc>
        <w:tc>
          <w:tcPr>
            <w:tcW w:w="3081" w:type="dxa"/>
            <w:tcBorders>
              <w:top w:val="nil"/>
              <w:left w:val="nil"/>
              <w:bottom w:val="nil"/>
              <w:right w:val="nil"/>
            </w:tcBorders>
            <w:shd w:val="clear" w:color="auto" w:fill="FFFFFF"/>
            <w:vAlign w:val="center"/>
          </w:tcPr>
          <w:p w14:paraId="0439BF2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2.29%</w:t>
            </w:r>
          </w:p>
        </w:tc>
      </w:tr>
      <w:tr w14:paraId="358D8389">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487533C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740 / 836</w:t>
            </w:r>
          </w:p>
        </w:tc>
        <w:tc>
          <w:tcPr>
            <w:tcW w:w="3081" w:type="dxa"/>
            <w:tcBorders>
              <w:top w:val="nil"/>
              <w:left w:val="nil"/>
              <w:bottom w:val="nil"/>
              <w:right w:val="nil"/>
            </w:tcBorders>
            <w:shd w:val="clear" w:color="auto" w:fill="FFFFFF"/>
            <w:vAlign w:val="center"/>
          </w:tcPr>
          <w:p w14:paraId="4160170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各61</w:t>
            </w:r>
          </w:p>
        </w:tc>
        <w:tc>
          <w:tcPr>
            <w:tcW w:w="3081" w:type="dxa"/>
            <w:tcBorders>
              <w:top w:val="nil"/>
              <w:left w:val="nil"/>
              <w:bottom w:val="nil"/>
              <w:right w:val="nil"/>
            </w:tcBorders>
            <w:shd w:val="clear" w:color="auto" w:fill="FFFFFF"/>
            <w:vAlign w:val="center"/>
          </w:tcPr>
          <w:p w14:paraId="33B136B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各2.12%</w:t>
            </w:r>
          </w:p>
        </w:tc>
      </w:tr>
      <w:tr w14:paraId="013093CB">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0BE9AA2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835</w:t>
            </w:r>
          </w:p>
        </w:tc>
        <w:tc>
          <w:tcPr>
            <w:tcW w:w="3081" w:type="dxa"/>
            <w:tcBorders>
              <w:top w:val="nil"/>
              <w:left w:val="nil"/>
              <w:bottom w:val="nil"/>
              <w:right w:val="nil"/>
            </w:tcBorders>
            <w:shd w:val="clear" w:color="auto" w:fill="FFFFFF"/>
            <w:vAlign w:val="center"/>
          </w:tcPr>
          <w:p w14:paraId="76E1246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60</w:t>
            </w:r>
          </w:p>
        </w:tc>
        <w:tc>
          <w:tcPr>
            <w:tcW w:w="3081" w:type="dxa"/>
            <w:tcBorders>
              <w:top w:val="nil"/>
              <w:left w:val="nil"/>
              <w:bottom w:val="nil"/>
              <w:right w:val="nil"/>
            </w:tcBorders>
            <w:shd w:val="clear" w:color="auto" w:fill="FFFFFF"/>
            <w:vAlign w:val="center"/>
          </w:tcPr>
          <w:p w14:paraId="02A8AA1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2.08%</w:t>
            </w:r>
          </w:p>
        </w:tc>
      </w:tr>
      <w:tr w14:paraId="433BBAEC">
        <w:tblPrEx>
          <w:tblCellMar>
            <w:top w:w="0" w:type="dxa"/>
            <w:left w:w="108" w:type="dxa"/>
            <w:bottom w:w="0" w:type="dxa"/>
            <w:right w:w="108" w:type="dxa"/>
          </w:tblCellMar>
        </w:tblPrEx>
        <w:trPr>
          <w:jc w:val="center"/>
          <w:cantSplit/>
        </w:trPr>
        <w:tc>
          <w:tcPr>
            <w:tcW w:w="3081" w:type="dxa"/>
            <w:tcBorders>
              <w:top w:val="nil"/>
              <w:left w:val="nil"/>
              <w:bottom w:val="single" w:color="000000" w:sz="12" w:space="0"/>
              <w:right w:val="nil"/>
            </w:tcBorders>
            <w:shd w:val="clear" w:color="auto" w:fill="FFFFFF"/>
            <w:vAlign w:val="center"/>
          </w:tcPr>
          <w:p w14:paraId="134F3CD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763</w:t>
            </w:r>
          </w:p>
        </w:tc>
        <w:tc>
          <w:tcPr>
            <w:tcW w:w="3081" w:type="dxa"/>
            <w:tcBorders>
              <w:top w:val="nil"/>
              <w:left w:val="nil"/>
              <w:bottom w:val="single" w:color="000000" w:sz="12" w:space="0"/>
              <w:right w:val="nil"/>
            </w:tcBorders>
            <w:shd w:val="clear" w:color="auto" w:fill="FFFFFF"/>
            <w:vAlign w:val="center"/>
          </w:tcPr>
          <w:p w14:paraId="37F4118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53</w:t>
            </w:r>
          </w:p>
        </w:tc>
        <w:tc>
          <w:tcPr>
            <w:tcW w:w="3081" w:type="dxa"/>
            <w:tcBorders>
              <w:top w:val="nil"/>
              <w:left w:val="nil"/>
              <w:bottom w:val="single" w:color="000000" w:sz="12" w:space="0"/>
              <w:right w:val="nil"/>
            </w:tcBorders>
            <w:shd w:val="clear" w:color="auto" w:fill="FFFFFF"/>
            <w:vAlign w:val="center"/>
          </w:tcPr>
          <w:p w14:paraId="6BE2023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1.84%</w:t>
            </w:r>
          </w:p>
        </w:tc>
      </w:tr>
    </w:tbl>
    <w:p w14:paraId="48A6D3FF">
      <w:pPr>
        <w:widowControl/>
        <w:rPr>
          <w:rFonts w:hint="default" w:ascii="Times New Roman" w:hAnsi="Times New Roman" w:eastAsia="宋体" w:cs="Times New Roman"/>
          <w:b w:val="0"/>
          <w:color w:val="000000"/>
        </w:rPr>
      </w:pPr>
    </w:p>
    <w:p w14:paraId="21CE8217">
      <w:pPr>
        <w:spacing w:before="40" w:after="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075555" cy="1831975"/>
            <wp:effectExtent l="0" t="0" r="146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76000" cy="1832596"/>
                    </a:xfrm>
                    <a:prstGeom prst="rect">
                      <a:avLst/>
                    </a:prstGeom>
                  </pic:spPr>
                </pic:pic>
              </a:graphicData>
            </a:graphic>
          </wp:inline>
        </w:drawing>
      </w:r>
    </w:p>
    <w:p w14:paraId="6AEA6AC3">
      <w:pPr>
        <w:spacing w:after="140"/>
        <w:jc w:val="center"/>
        <w:rPr>
          <w:rFonts w:hint="default" w:ascii="Times New Roman" w:hAnsi="Times New Roman" w:eastAsia="宋体" w:cs="Times New Roman"/>
        </w:rPr>
      </w:pPr>
      <w:r>
        <w:rPr>
          <w:rFonts w:hint="default" w:ascii="Times New Roman" w:hAnsi="Times New Roman" w:eastAsia="宋体" w:cs="Times New Roman"/>
          <w:sz w:val="18"/>
        </w:rPr>
        <w:t>图2 联合异常数量最高的八个测试小时</w:t>
        <w:br/>
        <w:t>图注补充：483,840条历史测试记录中筛出3,165条共识候选，按目标小时计数；每小时分母2,880 beam，最高Time 692有71条。</w:t>
      </w:r>
      <w:r>
        <w:rPr>
          <w:rFonts w:hint="default" w:ascii="Times New Roman" w:hAnsi="Times New Roman" w:eastAsia="宋体" w:cs="Times New Roman"/>
          <w:sz w:val="18"/>
        </w:rPr>
      </w:r>
    </w:p>
    <w:p w14:paraId="654BAD19">
      <w:pPr>
        <w:rPr>
          <w:rFonts w:hint="default" w:ascii="Times New Roman" w:hAnsi="Times New Roman" w:eastAsia="宋体" w:cs="Times New Roman"/>
        </w:rPr>
      </w:pPr>
      <w:r>
        <w:rPr>
          <w:rFonts w:hint="default" w:ascii="Times New Roman" w:hAnsi="Times New Roman" w:eastAsia="宋体" w:cs="Times New Roman"/>
        </w:rPr>
        <w:t>候选事件在 Time 691–692、715、739–740、835–836 等时段较为集中。相邻时刻发生异常率抬升，可能由共同的业务变化、统计分布迁移或网络事件驱动，但仅凭时间聚集不能区分正常负载波动与实际故障。</w:t>
      </w:r>
    </w:p>
    <w:p w14:paraId="30CFDB65">
      <w:pPr>
        <w:pStyle w:val="3"/>
        <w:rPr>
          <w:rFonts w:hint="default" w:ascii="Times New Roman" w:hAnsi="Times New Roman" w:eastAsia="宋体" w:cs="Times New Roman"/>
        </w:rPr>
      </w:pPr>
      <w:r>
        <w:rPr>
          <w:rFonts w:hint="default" w:ascii="Times New Roman" w:hAnsi="Times New Roman" w:eastAsia="宋体" w:cs="Times New Roman"/>
        </w:rPr>
        <w:t>5. 结果解释与研究限制</w:t>
      </w:r>
    </w:p>
    <w:p w14:paraId="7FA0DD69">
      <w:pPr>
        <w:rPr>
          <w:rFonts w:hint="default" w:ascii="Times New Roman" w:hAnsi="Times New Roman" w:eastAsia="宋体" w:cs="Times New Roman"/>
        </w:rPr>
      </w:pPr>
      <w:r>
        <w:rPr>
          <w:rFonts w:hint="default" w:ascii="Times New Roman" w:hAnsi="Times New Roman" w:eastAsia="宋体" w:cs="Times New Roman"/>
        </w:rPr>
        <w:t>四类 KPI 在原始审计中存在合法零值、明显右偏和长尾；因此 IQR、3σ 会将某些正常高负载事件标记为统计异常。不同 beam 的历史分布差异通过逐 beam 阈值部分缓解，但该方法尚未处理小时周期等时变基线问题；多变量 Isolation Forest 也未引入外部设备告警或信号质量指标。</w:t>
      </w:r>
    </w:p>
    <w:p w14:paraId="160C88BA">
      <w:pPr>
        <w:rPr>
          <w:rFonts w:hint="default" w:ascii="Times New Roman" w:hAnsi="Times New Roman" w:eastAsia="宋体" w:cs="Times New Roman"/>
        </w:rPr>
      </w:pPr>
      <w:r>
        <w:rPr>
          <w:rFonts w:hint="default" w:ascii="Times New Roman" w:hAnsi="Times New Roman" w:eastAsia="宋体" w:cs="Times New Roman"/>
        </w:rPr>
        <w:t>当前报告不计算 Precision、Recall、F1 或 AUC，因为缺乏真实故障标签。现有导出脚本默认仅保存异常评分最靠前的 2,000 条候选事件到 w3_anomaly_candidate_events.csv，虽然检测总量为 3,165 条；统计时段的异常率以全量 w3_anomaly_rate_by_hour.csv 为准。</w:t>
      </w:r>
    </w:p>
    <w:p w14:paraId="48A3C0D6">
      <w:pPr>
        <w:pStyle w:val="3"/>
        <w:rPr>
          <w:rFonts w:hint="default" w:ascii="Times New Roman" w:hAnsi="Times New Roman" w:eastAsia="宋体" w:cs="Times New Roman"/>
        </w:rPr>
      </w:pPr>
      <w:r>
        <w:rPr>
          <w:rFonts w:hint="default" w:ascii="Times New Roman" w:hAnsi="Times New Roman" w:eastAsia="宋体" w:cs="Times New Roman"/>
        </w:rPr>
        <w:t>6. 参数选取、结果口径与方法一致性核查</w:t>
      </w:r>
    </w:p>
    <w:p w14:paraId="5E874ECE">
      <w:pPr>
        <w:spacing w:after="100"/>
        <w:rPr>
          <w:rFonts w:hint="default" w:ascii="Times New Roman" w:hAnsi="Times New Roman" w:eastAsia="宋体" w:cs="Times New Roman"/>
        </w:rPr>
      </w:pPr>
      <w:r>
        <w:rPr>
          <w:rFonts w:hint="default" w:ascii="Times New Roman" w:hAnsi="Times New Roman" w:eastAsia="宋体" w:cs="Times New Roman"/>
        </w:rPr>
        <w:t>四种方法在相同测试时期提供异常筛选视角，但各方法阈值和特征构造不同。以下明确已用的超参数与使用范围，以支持实验复现。</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37393F4A">
        <w:tblPrEx>
          <w:tblCellMar>
            <w:top w:w="0" w:type="dxa"/>
            <w:left w:w="108" w:type="dxa"/>
            <w:bottom w:w="0" w:type="dxa"/>
            <w:right w:w="108" w:type="dxa"/>
          </w:tblCellMar>
        </w:tblPrEx>
        <w:trPr>
          <w:cantSplit/>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51E2C10A">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检测方法</w:t>
            </w:r>
          </w:p>
        </w:tc>
        <w:tc>
          <w:tcPr>
            <w:tcW w:w="3081" w:type="dxa"/>
            <w:tcBorders>
              <w:top w:val="single" w:color="000000" w:sz="12" w:space="0"/>
              <w:left w:val="nil"/>
              <w:bottom w:val="single" w:color="000000" w:sz="4" w:space="0"/>
              <w:right w:val="nil"/>
            </w:tcBorders>
            <w:shd w:val="clear" w:color="auto" w:fill="FFFFFF"/>
            <w:vAlign w:val="center"/>
          </w:tcPr>
          <w:p w14:paraId="5FFEE3E3">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关键配置</w:t>
            </w:r>
          </w:p>
        </w:tc>
        <w:tc>
          <w:tcPr>
            <w:tcW w:w="3081" w:type="dxa"/>
            <w:tcBorders>
              <w:top w:val="single" w:color="000000" w:sz="12" w:space="0"/>
              <w:left w:val="nil"/>
              <w:bottom w:val="single" w:color="000000" w:sz="4" w:space="0"/>
              <w:right w:val="nil"/>
            </w:tcBorders>
            <w:shd w:val="clear" w:color="auto" w:fill="FFFFFF"/>
            <w:vAlign w:val="center"/>
          </w:tcPr>
          <w:p w14:paraId="10466AC7">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统计/拟合范围</w:t>
            </w:r>
          </w:p>
        </w:tc>
      </w:tr>
      <w:tr w14:paraId="23DA2EAA">
        <w:tblPrEx>
          <w:tblCellMar>
            <w:top w:w="0" w:type="dxa"/>
            <w:left w:w="108" w:type="dxa"/>
            <w:bottom w:w="0" w:type="dxa"/>
            <w:right w:w="108" w:type="dxa"/>
          </w:tblCellMar>
        </w:tblPrEx>
        <w:trPr>
          <w:cantSplit/>
          <w:jc w:val="center"/>
          <w:cantSplit/>
        </w:trPr>
        <w:tc>
          <w:tcPr>
            <w:tcW w:w="3081" w:type="dxa"/>
            <w:tcBorders>
              <w:top w:val="single" w:color="000000" w:sz="4" w:space="0"/>
              <w:left w:val="nil"/>
              <w:bottom w:val="nil"/>
              <w:right w:val="nil"/>
            </w:tcBorders>
            <w:shd w:val="clear" w:color="auto" w:fill="FFFFFF"/>
            <w:vAlign w:val="center"/>
          </w:tcPr>
          <w:p w14:paraId="54770A5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3σ</w:t>
            </w:r>
          </w:p>
        </w:tc>
        <w:tc>
          <w:tcPr>
            <w:tcW w:w="3081" w:type="dxa"/>
            <w:tcBorders>
              <w:top w:val="single" w:color="000000" w:sz="4" w:space="0"/>
              <w:left w:val="nil"/>
              <w:bottom w:val="nil"/>
              <w:right w:val="nil"/>
            </w:tcBorders>
            <w:shd w:val="clear" w:color="auto" w:fill="FFFFFF"/>
            <w:vAlign w:val="center"/>
          </w:tcPr>
          <w:p w14:paraId="6E831E8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逐beam、逐KPI；训练均值±3×标准差</w:t>
            </w:r>
          </w:p>
        </w:tc>
        <w:tc>
          <w:tcPr>
            <w:tcW w:w="3081" w:type="dxa"/>
            <w:tcBorders>
              <w:top w:val="single" w:color="000000" w:sz="4" w:space="0"/>
              <w:left w:val="nil"/>
              <w:bottom w:val="nil"/>
              <w:right w:val="nil"/>
            </w:tcBorders>
            <w:shd w:val="clear" w:color="auto" w:fill="FFFFFF"/>
            <w:vAlign w:val="center"/>
          </w:tcPr>
          <w:p w14:paraId="14BEAFF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训练672小时；全量测试</w:t>
            </w:r>
          </w:p>
        </w:tc>
      </w:tr>
      <w:tr w14:paraId="54E9BB5A">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1D7DB2E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IQR</w:t>
            </w:r>
          </w:p>
        </w:tc>
        <w:tc>
          <w:tcPr>
            <w:tcW w:w="3081" w:type="dxa"/>
            <w:tcBorders>
              <w:top w:val="nil"/>
              <w:left w:val="nil"/>
              <w:bottom w:val="nil"/>
              <w:right w:val="nil"/>
            </w:tcBorders>
            <w:shd w:val="clear" w:color="auto" w:fill="FFFFFF"/>
            <w:vAlign w:val="center"/>
          </w:tcPr>
          <w:p w14:paraId="1D8CAA4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Q1−1.5×IQR / Q3+1.5×IQR</w:t>
            </w:r>
          </w:p>
        </w:tc>
        <w:tc>
          <w:tcPr>
            <w:tcW w:w="3081" w:type="dxa"/>
            <w:tcBorders>
              <w:top w:val="nil"/>
              <w:left w:val="nil"/>
              <w:bottom w:val="nil"/>
              <w:right w:val="nil"/>
            </w:tcBorders>
            <w:shd w:val="clear" w:color="auto" w:fill="FFFFFF"/>
            <w:vAlign w:val="center"/>
          </w:tcPr>
          <w:p w14:paraId="15C22D5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训练672小时；全量测试</w:t>
            </w:r>
          </w:p>
        </w:tc>
      </w:tr>
      <w:tr w14:paraId="5DCC57C7">
        <w:tblPrEx>
          <w:tblCellMar>
            <w:top w:w="0" w:type="dxa"/>
            <w:left w:w="108" w:type="dxa"/>
            <w:bottom w:w="0" w:type="dxa"/>
            <w:right w:w="108" w:type="dxa"/>
          </w:tblCellMar>
        </w:tblPrEx>
        <w:trPr>
          <w:cantSplit/>
          <w:jc w:val="center"/>
          <w:cantSplit/>
        </w:trPr>
        <w:tc>
          <w:tcPr>
            <w:tcW w:w="3081" w:type="dxa"/>
            <w:tcBorders>
              <w:top w:val="nil"/>
              <w:left w:val="nil"/>
              <w:bottom w:val="nil"/>
              <w:right w:val="nil"/>
            </w:tcBorders>
            <w:shd w:val="clear" w:color="auto" w:fill="FFFFFF"/>
            <w:vAlign w:val="center"/>
          </w:tcPr>
          <w:p w14:paraId="3A07E43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Isolation Forest</w:t>
            </w:r>
          </w:p>
        </w:tc>
        <w:tc>
          <w:tcPr>
            <w:tcW w:w="3081" w:type="dxa"/>
            <w:tcBorders>
              <w:top w:val="nil"/>
              <w:left w:val="nil"/>
              <w:bottom w:val="nil"/>
              <w:right w:val="nil"/>
            </w:tcBorders>
            <w:shd w:val="clear" w:color="auto" w:fill="FFFFFF"/>
            <w:vAlign w:val="center"/>
          </w:tcPr>
          <w:p w14:paraId="54E2B06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150棵树，max_samples=256，contamination=0.02</w:t>
            </w:r>
          </w:p>
        </w:tc>
        <w:tc>
          <w:tcPr>
            <w:tcW w:w="3081" w:type="dxa"/>
            <w:tcBorders>
              <w:top w:val="nil"/>
              <w:left w:val="nil"/>
              <w:bottom w:val="nil"/>
              <w:right w:val="nil"/>
            </w:tcBorders>
            <w:shd w:val="clear" w:color="auto" w:fill="FFFFFF"/>
            <w:vAlign w:val="center"/>
          </w:tcPr>
          <w:p w14:paraId="513E187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随机训练80,000；全量测试</w:t>
            </w:r>
          </w:p>
        </w:tc>
      </w:tr>
      <w:tr w14:paraId="388A6692">
        <w:tblPrEx>
          <w:tblCellMar>
            <w:top w:w="0" w:type="dxa"/>
            <w:left w:w="108" w:type="dxa"/>
            <w:bottom w:w="0" w:type="dxa"/>
            <w:right w:w="108" w:type="dxa"/>
          </w:tblCellMar>
        </w:tblPrEx>
        <w:trPr>
          <w:cantSplit/>
          <w:jc w:val="center"/>
          <w:cantSplit/>
        </w:trPr>
        <w:tc>
          <w:tcPr>
            <w:tcW w:w="3081" w:type="dxa"/>
            <w:tcBorders>
              <w:top w:val="nil"/>
              <w:left w:val="nil"/>
              <w:bottom w:val="single" w:color="000000" w:sz="12" w:space="0"/>
              <w:right w:val="nil"/>
            </w:tcBorders>
            <w:shd w:val="clear" w:color="auto" w:fill="FFFFFF"/>
            <w:vAlign w:val="center"/>
          </w:tcPr>
          <w:p w14:paraId="73214BC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One-Class SVM</w:t>
            </w:r>
          </w:p>
        </w:tc>
        <w:tc>
          <w:tcPr>
            <w:tcW w:w="3081" w:type="dxa"/>
            <w:tcBorders>
              <w:top w:val="nil"/>
              <w:left w:val="nil"/>
              <w:bottom w:val="single" w:color="000000" w:sz="12" w:space="0"/>
              <w:right w:val="nil"/>
            </w:tcBorders>
            <w:shd w:val="clear" w:color="auto" w:fill="FFFFFF"/>
            <w:vAlign w:val="center"/>
          </w:tcPr>
          <w:p w14:paraId="2C9A649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RBF核；nu=0.02；gamma=scale</w:t>
            </w:r>
          </w:p>
        </w:tc>
        <w:tc>
          <w:tcPr>
            <w:tcW w:w="3081" w:type="dxa"/>
            <w:tcBorders>
              <w:top w:val="nil"/>
              <w:left w:val="nil"/>
              <w:bottom w:val="single" w:color="000000" w:sz="12" w:space="0"/>
              <w:right w:val="nil"/>
            </w:tcBorders>
            <w:shd w:val="clear" w:color="auto" w:fill="FFFFFF"/>
            <w:vAlign w:val="center"/>
          </w:tcPr>
          <w:p w14:paraId="39438E9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训练2,500；测试抽样12,000</w:t>
            </w:r>
          </w:p>
        </w:tc>
      </w:tr>
    </w:tbl>
    <w:p w14:paraId="52397793">
      <w:pPr>
        <w:spacing w:after="100"/>
        <w:rPr>
          <w:rFonts w:hint="default" w:ascii="Times New Roman" w:hAnsi="Times New Roman" w:eastAsia="宋体" w:cs="Times New Roman"/>
        </w:rPr>
      </w:pPr>
      <w:r>
        <w:rPr>
          <w:rFonts w:hint="default" w:ascii="Times New Roman" w:hAnsi="Times New Roman" w:eastAsia="宋体" w:cs="Times New Roman"/>
        </w:rPr>
        <w:t>3σ、IQR 的训练阈值按 beam 单独估计，任一 KPI 超阈值即标记该 beam-hour。IQR 实现对零四分位距配置了1%/99%分位回退边界，本次运行记录的回退数为0。Isolation Forest 的8维输入为四种标准化当前值与四种一阶变化；SVM 使用同一特征结构，但只输出抽样测试结果。</w:t>
      </w:r>
    </w:p>
    <w:p w14:paraId="46430525">
      <w:pPr>
        <w:spacing w:after="100"/>
        <w:rPr>
          <w:rFonts w:hint="default" w:ascii="Times New Roman" w:hAnsi="Times New Roman" w:eastAsia="宋体" w:cs="Times New Roman"/>
        </w:rPr>
      </w:pPr>
      <w:r>
        <w:rPr>
          <w:rFonts w:hint="default" w:ascii="Times New Roman" w:hAnsi="Times New Roman" w:eastAsia="宋体" w:cs="Times New Roman"/>
        </w:rPr>
        <w:t>Isolation Forest 的 contamination=0.02 是设置的训练异常占比假设，并非客观网络故障率。3σ、IQR 也未依据带标签样本做阈值寻优，故不能用当前异常率声称检测准确率、召回率或哪个模型更好。</w:t>
      </w:r>
    </w:p>
    <w:p w14:paraId="3035EB82">
      <w:pPr>
        <w:pStyle w:val="4"/>
        <w:spacing w:before="140" w:after="60"/>
        <w:rPr>
          <w:rFonts w:hint="default" w:ascii="Times New Roman" w:hAnsi="Times New Roman" w:eastAsia="宋体" w:cs="Times New Roman"/>
        </w:rPr>
      </w:pPr>
      <w:r>
        <w:rPr>
          <w:rFonts w:hint="default" w:ascii="Times New Roman" w:hAnsi="Times New Roman" w:eastAsia="宋体" w:cs="Times New Roman"/>
        </w:rPr>
        <w:t>6.1 全量与抽样结果不可混用</w:t>
      </w:r>
    </w:p>
    <w:p w14:paraId="6EF20882">
      <w:pPr>
        <w:spacing w:after="100"/>
        <w:rPr>
          <w:rFonts w:hint="default" w:ascii="Times New Roman" w:hAnsi="Times New Roman" w:eastAsia="宋体" w:cs="Times New Roman"/>
        </w:rPr>
      </w:pPr>
      <w:r>
        <w:rPr>
          <w:rFonts w:hint="default" w:ascii="Times New Roman" w:hAnsi="Times New Roman" w:eastAsia="宋体" w:cs="Times New Roman"/>
        </w:rPr>
        <w:t>3σ 22,059 / 483,840（4.56%）；IQR 51,318 / 483,840（10.61%）；Isolation Forest 9,900 / 483,840（2.05%）；One-Class SVM 552 / 12,000（4.60%，抽样）。联合候选3,165 / 483,840（0.654%），其筛选条件是 IF AND (3σ OR IQR)，不包含 One-Class SVM 投票。</w:t>
      </w:r>
    </w:p>
    <w:p w14:paraId="33301C5F">
      <w:pPr>
        <w:spacing w:after="100"/>
        <w:rPr>
          <w:rFonts w:hint="default" w:ascii="Times New Roman" w:hAnsi="Times New Roman" w:eastAsia="宋体" w:cs="Times New Roman"/>
        </w:rPr>
      </w:pPr>
      <w:r>
        <w:rPr>
          <w:rFonts w:hint="default" w:ascii="Times New Roman" w:hAnsi="Times New Roman" w:eastAsia="宋体" w:cs="Times New Roman"/>
        </w:rPr>
        <w:t>当前 w3_anomaly_candidate_events.csv 只导出按 Isolation Forest 评分排序的前2,000条，而非3,165条全量候选；全量逐小时数量应从 w3_anomaly_rate_by_hour.csv 计算。后续若评估基站或beam风险率，应先导出全部候选并与各层级观测总数核对。</w:t>
      </w:r>
    </w:p>
    <w:p w14:paraId="1506373C">
      <w:pPr>
        <w:pStyle w:val="3"/>
        <w:rPr>
          <w:rFonts w:hint="default" w:ascii="Times New Roman" w:hAnsi="Times New Roman" w:eastAsia="宋体" w:cs="Times New Roman"/>
        </w:rPr>
      </w:pPr>
      <w:r>
        <w:rPr>
          <w:rFonts w:hint="default" w:ascii="Times New Roman" w:hAnsi="Times New Roman" w:eastAsia="宋体" w:cs="Times New Roman"/>
        </w:rPr>
        <w:t>7. 结论与交付文件</w:t>
      </w:r>
    </w:p>
    <w:p w14:paraId="69E413FB">
      <w:pPr>
        <w:rPr>
          <w:rFonts w:hint="default" w:ascii="Times New Roman" w:hAnsi="Times New Roman" w:eastAsia="宋体" w:cs="Times New Roman"/>
        </w:rPr>
      </w:pPr>
      <w:r>
        <w:rPr>
          <w:rFonts w:hint="default" w:ascii="Times New Roman" w:hAnsi="Times New Roman" w:eastAsia="宋体" w:cs="Times New Roman"/>
        </w:rPr>
        <w:t>本阶段按既定时间切分完成四类异常筛选方法，获得统计方法与无监督学习算法的标记率、全量逐小时异常变化和 3,165 条联合候选事件。结果可支持初步排查优先级分配和 KPI 联动分析，但不能替代故障工单核验。</w:t>
      </w:r>
    </w:p>
    <w:p>
      <w:r>
        <w:br w:type="page"/>
      </w:r>
    </w:p>
    <w:p>
      <w:pPr>
        <w:pStyle w:val="3"/>
      </w:pPr>
      <w:r>
        <w:t>2026年10月25日算法验证与导师反馈补充</w:t>
      </w:r>
    </w:p>
    <w:p>
      <w:pPr>
        <w:spacing w:after="120"/>
      </w:pPr>
      <w:r>
        <w:t>本节为本次实际执行的补充验证。前文原留出成绩保留为历史实验，本节新成绩使用独立目录归档，不替换旧权重或旧图表。Web入口、页面、交互与后台集成源码保持不变。</w:t>
      </w:r>
    </w:p>
    <w:p>
      <w:pPr>
        <w:pStyle w:val="4"/>
      </w:pPr>
      <w:r>
        <w:t>W4异常统计证据与联合规则</w:t>
      </w:r>
    </w:p>
    <w:p>
      <w:pPr>
        <w:spacing w:after="120"/>
      </w:pPr>
      <w:r>
        <w:t>复用既有W4统计，本次只重新核对全量标记逻辑和相关矩阵。483,840条唯一beam-hour记录中，3σ为22,059，IQR为51,318，IF为9,900，联合候选3,165。SVM仍为历史12,000条抽样测试，不参加共识投票。逐beam偏度/峰度支持偏态厚尾普遍存在，但阈值宽度、beam异质性和时间分布变化也影响标记率，不能把偏态指定为唯一因果机制。</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w:t>
            </w:r>
          </w:p>
        </w:tc>
        <w:tc>
          <w:tcPr>
            <w:tcW w:type="dxa" w:w="2310"/>
          </w:tcPr>
          <w:p>
            <w:pPr>
              <w:keepNext/>
              <w:spacing w:after="60"/>
            </w:pPr>
            <w:r>
              <w:rPr>
                <w:sz w:val="18"/>
              </w:rPr>
              <w:t>|偏度|&gt;1</w:t>
            </w:r>
          </w:p>
        </w:tc>
        <w:tc>
          <w:tcPr>
            <w:tcW w:type="dxa" w:w="2310"/>
          </w:tcPr>
          <w:p>
            <w:pPr>
              <w:keepNext/>
              <w:spacing w:after="60"/>
            </w:pPr>
            <w:r>
              <w:rPr>
                <w:sz w:val="18"/>
              </w:rPr>
              <w:t>超额峰度&gt;3</w:t>
            </w:r>
          </w:p>
        </w:tc>
        <w:tc>
          <w:tcPr>
            <w:tcW w:type="dxa" w:w="2310"/>
          </w:tcPr>
          <w:p>
            <w:pPr>
              <w:keepNext/>
              <w:spacing w:after="60"/>
            </w:pPr>
            <w:r>
              <w:rPr>
                <w:sz w:val="18"/>
              </w:rPr>
              <w:t>3σ / IQR标记率</w:t>
            </w:r>
          </w:p>
        </w:tc>
      </w:tr>
      <w:tr>
        <w:trPr>
          <w:cantSplit/>
        </w:trPr>
        <w:tc>
          <w:tcPr>
            <w:tcW w:type="dxa" w:w="2310"/>
          </w:tcPr>
          <w:p>
            <w:pPr>
              <w:spacing w:after="60"/>
            </w:pPr>
            <w:r>
              <w:rPr>
                <w:sz w:val="18"/>
              </w:rPr>
              <w:t>DLPRB</w:t>
            </w:r>
          </w:p>
        </w:tc>
        <w:tc>
          <w:tcPr>
            <w:tcW w:type="dxa" w:w="2310"/>
          </w:tcPr>
          <w:p>
            <w:pPr>
              <w:spacing w:after="60"/>
            </w:pPr>
            <w:r>
              <w:rPr>
                <w:sz w:val="18"/>
              </w:rPr>
              <w:t>86.25%</w:t>
            </w:r>
          </w:p>
        </w:tc>
        <w:tc>
          <w:tcPr>
            <w:tcW w:type="dxa" w:w="2310"/>
          </w:tcPr>
          <w:p>
            <w:pPr>
              <w:spacing w:after="60"/>
            </w:pPr>
            <w:r>
              <w:rPr>
                <w:sz w:val="18"/>
              </w:rPr>
              <w:t>59.79%</w:t>
            </w:r>
          </w:p>
        </w:tc>
        <w:tc>
          <w:tcPr>
            <w:tcW w:type="dxa" w:w="2310"/>
          </w:tcPr>
          <w:p>
            <w:pPr>
              <w:spacing w:after="60"/>
            </w:pPr>
            <w:r>
              <w:rPr>
                <w:sz w:val="18"/>
              </w:rPr>
              <w:t>1.77% / 4.13%</w:t>
            </w:r>
          </w:p>
        </w:tc>
      </w:tr>
      <w:tr>
        <w:trPr>
          <w:cantSplit/>
        </w:trPr>
        <w:tc>
          <w:tcPr>
            <w:tcW w:type="dxa" w:w="2310"/>
          </w:tcPr>
          <w:p>
            <w:pPr>
              <w:spacing w:after="60"/>
            </w:pPr>
            <w:r>
              <w:rPr>
                <w:sz w:val="18"/>
              </w:rPr>
              <w:t>DLThpVol</w:t>
            </w:r>
          </w:p>
        </w:tc>
        <w:tc>
          <w:tcPr>
            <w:tcW w:type="dxa" w:w="2310"/>
          </w:tcPr>
          <w:p>
            <w:pPr>
              <w:spacing w:after="60"/>
            </w:pPr>
            <w:r>
              <w:rPr>
                <w:sz w:val="18"/>
              </w:rPr>
              <w:t>98.33%</w:t>
            </w:r>
          </w:p>
        </w:tc>
        <w:tc>
          <w:tcPr>
            <w:tcW w:type="dxa" w:w="2310"/>
          </w:tcPr>
          <w:p>
            <w:pPr>
              <w:spacing w:after="60"/>
            </w:pPr>
            <w:r>
              <w:rPr>
                <w:sz w:val="18"/>
              </w:rPr>
              <w:t>75.45%</w:t>
            </w:r>
          </w:p>
        </w:tc>
        <w:tc>
          <w:tcPr>
            <w:tcW w:type="dxa" w:w="2310"/>
          </w:tcPr>
          <w:p>
            <w:pPr>
              <w:spacing w:after="60"/>
            </w:pPr>
            <w:r>
              <w:rPr>
                <w:sz w:val="18"/>
              </w:rPr>
              <w:t>1.60% / 4.59%</w:t>
            </w:r>
          </w:p>
        </w:tc>
      </w:tr>
      <w:tr>
        <w:trPr>
          <w:cantSplit/>
        </w:trPr>
        <w:tc>
          <w:tcPr>
            <w:tcW w:type="dxa" w:w="2310"/>
          </w:tcPr>
          <w:p>
            <w:pPr>
              <w:spacing w:after="60"/>
            </w:pPr>
            <w:r>
              <w:rPr>
                <w:sz w:val="18"/>
              </w:rPr>
              <w:t>DLThpTime</w:t>
            </w:r>
          </w:p>
        </w:tc>
        <w:tc>
          <w:tcPr>
            <w:tcW w:type="dxa" w:w="2310"/>
          </w:tcPr>
          <w:p>
            <w:pPr>
              <w:spacing w:after="60"/>
            </w:pPr>
            <w:r>
              <w:rPr>
                <w:sz w:val="18"/>
              </w:rPr>
              <w:t>96.56%</w:t>
            </w:r>
          </w:p>
        </w:tc>
        <w:tc>
          <w:tcPr>
            <w:tcW w:type="dxa" w:w="2310"/>
          </w:tcPr>
          <w:p>
            <w:pPr>
              <w:spacing w:after="60"/>
            </w:pPr>
            <w:r>
              <w:rPr>
                <w:sz w:val="18"/>
              </w:rPr>
              <w:t>76.15%</w:t>
            </w:r>
          </w:p>
        </w:tc>
        <w:tc>
          <w:tcPr>
            <w:tcW w:type="dxa" w:w="2310"/>
          </w:tcPr>
          <w:p>
            <w:pPr>
              <w:spacing w:after="60"/>
            </w:pPr>
            <w:r>
              <w:rPr>
                <w:sz w:val="18"/>
              </w:rPr>
              <w:t>1.85% / 4.87%</w:t>
            </w:r>
          </w:p>
        </w:tc>
      </w:tr>
      <w:tr>
        <w:trPr>
          <w:cantSplit/>
        </w:trPr>
        <w:tc>
          <w:tcPr>
            <w:tcW w:type="dxa" w:w="2310"/>
          </w:tcPr>
          <w:p>
            <w:pPr>
              <w:spacing w:after="60"/>
            </w:pPr>
            <w:r>
              <w:rPr>
                <w:sz w:val="18"/>
              </w:rPr>
              <w:t>MR_number</w:t>
            </w:r>
          </w:p>
        </w:tc>
        <w:tc>
          <w:tcPr>
            <w:tcW w:type="dxa" w:w="2310"/>
          </w:tcPr>
          <w:p>
            <w:pPr>
              <w:spacing w:after="60"/>
            </w:pPr>
            <w:r>
              <w:rPr>
                <w:sz w:val="18"/>
              </w:rPr>
              <w:t>59.76%</w:t>
            </w:r>
          </w:p>
        </w:tc>
        <w:tc>
          <w:tcPr>
            <w:tcW w:type="dxa" w:w="2310"/>
          </w:tcPr>
          <w:p>
            <w:pPr>
              <w:spacing w:after="60"/>
            </w:pPr>
            <w:r>
              <w:rPr>
                <w:sz w:val="18"/>
              </w:rPr>
              <w:t>21.77%</w:t>
            </w:r>
          </w:p>
        </w:tc>
        <w:tc>
          <w:tcPr>
            <w:tcW w:type="dxa" w:w="2310"/>
          </w:tcPr>
          <w:p>
            <w:pPr>
              <w:spacing w:after="60"/>
            </w:pPr>
            <w:r>
              <w:rPr>
                <w:sz w:val="18"/>
              </w:rPr>
              <w:t>1.39% / 2.76%</w:t>
            </w:r>
          </w:p>
        </w:tc>
      </w:tr>
    </w:tbl>
    <w:p>
      <w:pPr>
        <w:spacing w:after="120"/>
      </w:pPr>
      <w:r>
        <w:t>零IQR回退分布数为0。逐KPI比例的分母各为483,840，整条beam-hour的总体标记则是任意KPI触发，不能把四个逐KPI比例相加当总体比例。</w:t>
      </w:r>
    </w:p>
    <w:tbl>
      <w:tblPr>
        <w:tblStyle w:val="33"/>
        <w:tblW w:type="dxa" w:w="9242"/>
        <w:jc w:val="center"/>
        <w:tblLayout w:type="fixed"/>
        <w:tblLook w:firstColumn="1" w:firstRow="1" w:lastColumn="0" w:lastRow="0" w:noHBand="0" w:noVBand="1" w:val="04A0"/>
      </w:tblPr>
      <w:tblGrid>
        <w:gridCol w:w="4621"/>
        <w:gridCol w:w="4621"/>
      </w:tblGrid>
      <w:tr>
        <w:trPr>
          <w:tblHeader/>
          <w:cantSplit/>
          <w:tblHeader/>
        </w:trPr>
        <w:tc>
          <w:tcPr>
            <w:tcW w:type="dxa" w:w="4621"/>
          </w:tcPr>
          <w:p>
            <w:pPr>
              <w:keepNext/>
              <w:spacing w:after="60"/>
            </w:pPr>
            <w:r>
              <w:rPr>
                <w:sz w:val="18"/>
              </w:rPr>
              <w:t>逻辑组合</w:t>
            </w:r>
          </w:p>
        </w:tc>
        <w:tc>
          <w:tcPr>
            <w:tcW w:type="dxa" w:w="4621"/>
          </w:tcPr>
          <w:p>
            <w:pPr>
              <w:keepNext/>
              <w:spacing w:after="60"/>
            </w:pPr>
            <w:r>
              <w:rPr>
                <w:sz w:val="18"/>
              </w:rPr>
              <w:t>候选数</w:t>
            </w:r>
          </w:p>
        </w:tc>
      </w:tr>
      <w:tr>
        <w:trPr>
          <w:cantSplit/>
        </w:trPr>
        <w:tc>
          <w:tcPr>
            <w:tcW w:type="dxa" w:w="4621"/>
          </w:tcPr>
          <w:p>
            <w:pPr>
              <w:spacing w:after="60"/>
            </w:pPr>
            <w:r>
              <w:rPr>
                <w:sz w:val="18"/>
              </w:rPr>
              <w:t>IF AND (3σ OR IQR)</w:t>
            </w:r>
          </w:p>
        </w:tc>
        <w:tc>
          <w:tcPr>
            <w:tcW w:type="dxa" w:w="4621"/>
          </w:tcPr>
          <w:p>
            <w:pPr>
              <w:spacing w:after="60"/>
            </w:pPr>
            <w:r>
              <w:rPr>
                <w:sz w:val="18"/>
              </w:rPr>
              <w:t>3,165</w:t>
            </w:r>
          </w:p>
        </w:tc>
      </w:tr>
      <w:tr>
        <w:trPr>
          <w:cantSplit/>
        </w:trPr>
        <w:tc>
          <w:tcPr>
            <w:tcW w:type="dxa" w:w="4621"/>
          </w:tcPr>
          <w:p>
            <w:pPr>
              <w:spacing w:after="60"/>
            </w:pPr>
            <w:r>
              <w:rPr>
                <w:sz w:val="18"/>
              </w:rPr>
              <w:t>IF AND IQR</w:t>
            </w:r>
          </w:p>
        </w:tc>
        <w:tc>
          <w:tcPr>
            <w:tcW w:type="dxa" w:w="4621"/>
          </w:tcPr>
          <w:p>
            <w:pPr>
              <w:spacing w:after="60"/>
            </w:pPr>
            <w:r>
              <w:rPr>
                <w:sz w:val="18"/>
              </w:rPr>
              <w:t>3,159</w:t>
            </w:r>
          </w:p>
        </w:tc>
      </w:tr>
      <w:tr>
        <w:trPr>
          <w:cantSplit/>
        </w:trPr>
        <w:tc>
          <w:tcPr>
            <w:tcW w:type="dxa" w:w="4621"/>
          </w:tcPr>
          <w:p>
            <w:pPr>
              <w:spacing w:after="60"/>
            </w:pPr>
            <w:r>
              <w:rPr>
                <w:sz w:val="18"/>
              </w:rPr>
              <w:t>IF AND 3σ</w:t>
            </w:r>
          </w:p>
        </w:tc>
        <w:tc>
          <w:tcPr>
            <w:tcW w:type="dxa" w:w="4621"/>
          </w:tcPr>
          <w:p>
            <w:pPr>
              <w:spacing w:after="60"/>
            </w:pPr>
            <w:r>
              <w:rPr>
                <w:sz w:val="18"/>
              </w:rPr>
              <w:t>2,080</w:t>
            </w:r>
          </w:p>
        </w:tc>
      </w:tr>
      <w:tr>
        <w:trPr>
          <w:cantSplit/>
        </w:trPr>
        <w:tc>
          <w:tcPr>
            <w:tcW w:type="dxa" w:w="4621"/>
          </w:tcPr>
          <w:p>
            <w:pPr>
              <w:spacing w:after="60"/>
            </w:pPr>
            <w:r>
              <w:rPr>
                <w:sz w:val="18"/>
              </w:rPr>
              <w:t>IF AND 3σ AND IQR</w:t>
            </w:r>
          </w:p>
        </w:tc>
        <w:tc>
          <w:tcPr>
            <w:tcW w:type="dxa" w:w="4621"/>
          </w:tcPr>
          <w:p>
            <w:pPr>
              <w:spacing w:after="60"/>
            </w:pPr>
            <w:r>
              <w:rPr>
                <w:sz w:val="18"/>
              </w:rPr>
              <w:t>2,074</w:t>
            </w:r>
          </w:p>
        </w:tc>
      </w:tr>
      <w:tr>
        <w:trPr>
          <w:cantSplit/>
        </w:trPr>
        <w:tc>
          <w:tcPr>
            <w:tcW w:type="dxa" w:w="4621"/>
          </w:tcPr>
          <w:p>
            <w:pPr>
              <w:spacing w:after="60"/>
            </w:pPr>
            <w:r>
              <w:rPr>
                <w:sz w:val="18"/>
              </w:rPr>
              <w:t>IF OR 3σ OR IQR</w:t>
            </w:r>
          </w:p>
        </w:tc>
        <w:tc>
          <w:tcPr>
            <w:tcW w:type="dxa" w:w="4621"/>
          </w:tcPr>
          <w:p>
            <w:pPr>
              <w:spacing w:after="60"/>
            </w:pPr>
            <w:r>
              <w:rPr>
                <w:sz w:val="18"/>
              </w:rPr>
              <w:t>58,108</w:t>
            </w:r>
          </w:p>
        </w:tc>
      </w:tr>
    </w:tbl>
    <w:p>
      <w:pPr>
        <w:spacing w:after="120"/>
      </w:pPr>
      <w:r>
        <w:t>OR允许任一统计阈值支持，AND要求IF与统计信号共同触发。本数据最终规则比IF AND IQR仅多6条，不能夸大OR分支的实际增益。候选规模的收紧/放宽不等于故障准确率或召回率改善；没有真实故障标签，不报告这些分类指标。</w:t>
      </w:r>
    </w:p>
    <w:p>
      <w:pPr>
        <w:pStyle w:val="4"/>
      </w:pPr>
      <w:r>
        <w:t>相关矩阵样本量与统计推断</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KPI组合</w:t>
            </w:r>
          </w:p>
        </w:tc>
        <w:tc>
          <w:tcPr>
            <w:tcW w:type="dxa" w:w="2310"/>
          </w:tcPr>
          <w:p>
            <w:pPr>
              <w:keepNext/>
              <w:spacing w:after="60"/>
            </w:pPr>
            <w:r>
              <w:rPr>
                <w:sz w:val="18"/>
              </w:rPr>
              <w:t>r</w:t>
            </w:r>
          </w:p>
        </w:tc>
        <w:tc>
          <w:tcPr>
            <w:tcW w:type="dxa" w:w="2310"/>
          </w:tcPr>
          <w:p>
            <w:pPr>
              <w:keepNext/>
              <w:spacing w:after="60"/>
            </w:pPr>
            <w:r>
              <w:rPr>
                <w:sz w:val="18"/>
              </w:rPr>
              <w:t>站级bootstrap 95% CI</w:t>
            </w:r>
          </w:p>
        </w:tc>
        <w:tc>
          <w:tcPr>
            <w:tcW w:type="dxa" w:w="2310"/>
          </w:tcPr>
          <w:p>
            <w:pPr>
              <w:keepNext/>
              <w:spacing w:after="60"/>
            </w:pPr>
            <w:r>
              <w:rPr>
                <w:sz w:val="18"/>
              </w:rPr>
              <w:t>Holm p</w:t>
            </w:r>
          </w:p>
        </w:tc>
      </w:tr>
      <w:tr>
        <w:trPr>
          <w:cantSplit/>
        </w:trPr>
        <w:tc>
          <w:tcPr>
            <w:tcW w:type="dxa" w:w="2310"/>
          </w:tcPr>
          <w:p>
            <w:pPr>
              <w:spacing w:after="60"/>
            </w:pPr>
            <w:r>
              <w:rPr>
                <w:sz w:val="18"/>
              </w:rPr>
              <w:t>DLPRB / DLThpVol</w:t>
            </w:r>
          </w:p>
        </w:tc>
        <w:tc>
          <w:tcPr>
            <w:tcW w:type="dxa" w:w="2310"/>
          </w:tcPr>
          <w:p>
            <w:pPr>
              <w:spacing w:after="60"/>
            </w:pPr>
            <w:r>
              <w:rPr>
                <w:sz w:val="18"/>
              </w:rPr>
              <w:t>0.423</w:t>
            </w:r>
          </w:p>
        </w:tc>
        <w:tc>
          <w:tcPr>
            <w:tcW w:type="dxa" w:w="2310"/>
          </w:tcPr>
          <w:p>
            <w:pPr>
              <w:spacing w:after="60"/>
            </w:pPr>
            <w:r>
              <w:rPr>
                <w:sz w:val="18"/>
              </w:rPr>
              <w:t>[0.169, 0.601]</w:t>
            </w:r>
          </w:p>
        </w:tc>
        <w:tc>
          <w:tcPr>
            <w:tcW w:type="dxa" w:w="2310"/>
          </w:tcPr>
          <w:p>
            <w:pPr>
              <w:spacing w:after="60"/>
            </w:pPr>
            <w:r>
              <w:rPr>
                <w:sz w:val="18"/>
              </w:rPr>
              <w:t>7.61e-05</w:t>
            </w:r>
          </w:p>
        </w:tc>
      </w:tr>
      <w:tr>
        <w:trPr>
          <w:cantSplit/>
        </w:trPr>
        <w:tc>
          <w:tcPr>
            <w:tcW w:type="dxa" w:w="2310"/>
          </w:tcPr>
          <w:p>
            <w:pPr>
              <w:spacing w:after="60"/>
            </w:pPr>
            <w:r>
              <w:rPr>
                <w:sz w:val="18"/>
              </w:rPr>
              <w:t>DLPRB / DLThpTime</w:t>
            </w:r>
          </w:p>
        </w:tc>
        <w:tc>
          <w:tcPr>
            <w:tcW w:type="dxa" w:w="2310"/>
          </w:tcPr>
          <w:p>
            <w:pPr>
              <w:spacing w:after="60"/>
            </w:pPr>
            <w:r>
              <w:rPr>
                <w:sz w:val="18"/>
              </w:rPr>
              <w:t>0.697</w:t>
            </w:r>
          </w:p>
        </w:tc>
        <w:tc>
          <w:tcPr>
            <w:tcW w:type="dxa" w:w="2310"/>
          </w:tcPr>
          <w:p>
            <w:pPr>
              <w:spacing w:after="60"/>
            </w:pPr>
            <w:r>
              <w:rPr>
                <w:sz w:val="18"/>
              </w:rPr>
              <w:t>[0.485, 0.795]</w:t>
            </w:r>
          </w:p>
        </w:tc>
        <w:tc>
          <w:tcPr>
            <w:tcW w:type="dxa" w:w="2310"/>
          </w:tcPr>
          <w:p>
            <w:pPr>
              <w:spacing w:after="60"/>
            </w:pPr>
            <w:r>
              <w:rPr>
                <w:sz w:val="18"/>
              </w:rPr>
              <w:t>3.53e-10</w:t>
            </w:r>
          </w:p>
        </w:tc>
      </w:tr>
      <w:tr>
        <w:trPr>
          <w:cantSplit/>
        </w:trPr>
        <w:tc>
          <w:tcPr>
            <w:tcW w:type="dxa" w:w="2310"/>
          </w:tcPr>
          <w:p>
            <w:pPr>
              <w:spacing w:after="60"/>
            </w:pPr>
            <w:r>
              <w:rPr>
                <w:sz w:val="18"/>
              </w:rPr>
              <w:t>DLPRB / MR_number</w:t>
            </w:r>
          </w:p>
        </w:tc>
        <w:tc>
          <w:tcPr>
            <w:tcW w:type="dxa" w:w="2310"/>
          </w:tcPr>
          <w:p>
            <w:pPr>
              <w:spacing w:after="60"/>
            </w:pPr>
            <w:r>
              <w:rPr>
                <w:sz w:val="18"/>
              </w:rPr>
              <w:t>0.889</w:t>
            </w:r>
          </w:p>
        </w:tc>
        <w:tc>
          <w:tcPr>
            <w:tcW w:type="dxa" w:w="2310"/>
          </w:tcPr>
          <w:p>
            <w:pPr>
              <w:spacing w:after="60"/>
            </w:pPr>
            <w:r>
              <w:rPr>
                <w:sz w:val="18"/>
              </w:rPr>
              <w:t>[0.841, 0.918]</w:t>
            </w:r>
          </w:p>
        </w:tc>
        <w:tc>
          <w:tcPr>
            <w:tcW w:type="dxa" w:w="2310"/>
          </w:tcPr>
          <w:p>
            <w:pPr>
              <w:spacing w:after="60"/>
            </w:pPr>
            <w:r>
              <w:rPr>
                <w:sz w:val="18"/>
              </w:rPr>
              <w:t>1.1e-28</w:t>
            </w:r>
          </w:p>
        </w:tc>
      </w:tr>
      <w:tr>
        <w:trPr>
          <w:cantSplit/>
        </w:trPr>
        <w:tc>
          <w:tcPr>
            <w:tcW w:type="dxa" w:w="2310"/>
          </w:tcPr>
          <w:p>
            <w:pPr>
              <w:spacing w:after="60"/>
            </w:pPr>
            <w:r>
              <w:rPr>
                <w:sz w:val="18"/>
              </w:rPr>
              <w:t>DLThpVol / DLThpTime</w:t>
            </w:r>
          </w:p>
        </w:tc>
        <w:tc>
          <w:tcPr>
            <w:tcW w:type="dxa" w:w="2310"/>
          </w:tcPr>
          <w:p>
            <w:pPr>
              <w:spacing w:after="60"/>
            </w:pPr>
            <w:r>
              <w:rPr>
                <w:sz w:val="18"/>
              </w:rPr>
              <w:t>0.680</w:t>
            </w:r>
          </w:p>
        </w:tc>
        <w:tc>
          <w:tcPr>
            <w:tcW w:type="dxa" w:w="2310"/>
          </w:tcPr>
          <w:p>
            <w:pPr>
              <w:spacing w:after="60"/>
            </w:pPr>
            <w:r>
              <w:rPr>
                <w:sz w:val="18"/>
              </w:rPr>
              <w:t>[0.535, 0.770]</w:t>
            </w:r>
          </w:p>
        </w:tc>
        <w:tc>
          <w:tcPr>
            <w:tcW w:type="dxa" w:w="2310"/>
          </w:tcPr>
          <w:p>
            <w:pPr>
              <w:spacing w:after="60"/>
            </w:pPr>
            <w:r>
              <w:rPr>
                <w:sz w:val="18"/>
              </w:rPr>
              <w:t>2.68e-08</w:t>
            </w:r>
          </w:p>
        </w:tc>
      </w:tr>
      <w:tr>
        <w:trPr>
          <w:cantSplit/>
        </w:trPr>
        <w:tc>
          <w:tcPr>
            <w:tcW w:type="dxa" w:w="2310"/>
          </w:tcPr>
          <w:p>
            <w:pPr>
              <w:spacing w:after="60"/>
            </w:pPr>
            <w:r>
              <w:rPr>
                <w:sz w:val="18"/>
              </w:rPr>
              <w:t>DLThpVol / MR_number</w:t>
            </w:r>
          </w:p>
        </w:tc>
        <w:tc>
          <w:tcPr>
            <w:tcW w:type="dxa" w:w="2310"/>
          </w:tcPr>
          <w:p>
            <w:pPr>
              <w:spacing w:after="60"/>
            </w:pPr>
            <w:r>
              <w:rPr>
                <w:sz w:val="18"/>
              </w:rPr>
              <w:t>0.327</w:t>
            </w:r>
          </w:p>
        </w:tc>
        <w:tc>
          <w:tcPr>
            <w:tcW w:type="dxa" w:w="2310"/>
          </w:tcPr>
          <w:p>
            <w:pPr>
              <w:spacing w:after="60"/>
            </w:pPr>
            <w:r>
              <w:rPr>
                <w:sz w:val="18"/>
              </w:rPr>
              <w:t>[0.065, 0.488]</w:t>
            </w:r>
          </w:p>
        </w:tc>
        <w:tc>
          <w:tcPr>
            <w:tcW w:type="dxa" w:w="2310"/>
          </w:tcPr>
          <w:p>
            <w:pPr>
              <w:spacing w:after="60"/>
            </w:pPr>
            <w:r>
              <w:rPr>
                <w:sz w:val="18"/>
              </w:rPr>
              <w:t>0.0101</w:t>
            </w:r>
          </w:p>
        </w:tc>
      </w:tr>
      <w:tr>
        <w:trPr>
          <w:cantSplit/>
        </w:trPr>
        <w:tc>
          <w:tcPr>
            <w:tcW w:type="dxa" w:w="2310"/>
          </w:tcPr>
          <w:p>
            <w:pPr>
              <w:spacing w:after="60"/>
            </w:pPr>
            <w:r>
              <w:rPr>
                <w:sz w:val="18"/>
              </w:rPr>
              <w:t>DLThpTime / MR_number</w:t>
            </w:r>
          </w:p>
        </w:tc>
        <w:tc>
          <w:tcPr>
            <w:tcW w:type="dxa" w:w="2310"/>
          </w:tcPr>
          <w:p>
            <w:pPr>
              <w:spacing w:after="60"/>
            </w:pPr>
            <w:r>
              <w:rPr>
                <w:sz w:val="18"/>
              </w:rPr>
              <w:t>0.630</w:t>
            </w:r>
          </w:p>
        </w:tc>
        <w:tc>
          <w:tcPr>
            <w:tcW w:type="dxa" w:w="2310"/>
          </w:tcPr>
          <w:p>
            <w:pPr>
              <w:spacing w:after="60"/>
            </w:pPr>
            <w:r>
              <w:rPr>
                <w:sz w:val="18"/>
              </w:rPr>
              <w:t>[0.449, 0.758]</w:t>
            </w:r>
          </w:p>
        </w:tc>
        <w:tc>
          <w:tcPr>
            <w:tcW w:type="dxa" w:w="2310"/>
          </w:tcPr>
          <w:p>
            <w:pPr>
              <w:spacing w:after="60"/>
            </w:pPr>
            <w:r>
              <w:rPr>
                <w:sz w:val="18"/>
              </w:rPr>
              <w:t>8.36e-08</w:t>
            </w:r>
          </w:p>
        </w:tc>
      </w:tr>
    </w:tbl>
    <w:p>
      <w:pPr>
        <w:spacing w:after="120"/>
      </w:pPr>
      <w:r>
        <w:t>每对n=3,165是候选记录数；30是基站聚类数，不代表3,165条独立样本。p值来自站级聚类稳健零回归斜率检验，六对一起Holm校正；区间另用站级bootstrap估计。六对校正后p均&lt;0.05，仅说明已筛选候选中的关联。候选选择可能改变相关结构，单向站级聚类未完全处理跨站同小时共同冲击；30聚类仍为近似推断，不构成故障根因或因果证明。</w:t>
      </w:r>
    </w:p>
    <w:p>
      <w:pPr>
        <w:pStyle w:val="4"/>
      </w:pPr>
      <w:r>
        <w:t>代码修复与最新验收</w:t>
      </w:r>
    </w:p>
    <w:p>
      <w:pPr>
        <w:spacing w:after="120"/>
      </w:pPr>
      <w:r>
        <w:t>修复仅涉及底层小时数据契约、DL输出预检和scaler测试提取。训练加载器与推理拒绝共同缺小时、重复或非整数小时；保留ML 20维、DL窗口、逆标准化和IF AND (3σ OR IQR)定义。DL当前代码已仅在内部训练前缀拟合scaler；本次锁定该行为，没有把历史成绩改写为新成绩。</w:t>
      </w:r>
    </w:p>
    <w:p>
      <w:pPr>
        <w:spacing w:after="120"/>
      </w:pPr>
      <w:r>
        <w:t>本次既有自动化基线48项通过；新增算法及统计回归后最新完整测试57项通过（final_tests.txt）。六个Streamlit页面AppTest加载及切换均无异常，实际新模型回载及CSV导出通过，原异常模型5,760条检测通过。另用1轮、512条样本执行现有DL CLI仅作功能验收，不把其分数纳入模型比较。Web页面及服务源码哈希保持不变。本次未以真人浏览器重走每个上传/下载控件或实时WebSocket训练全流程，不能将自动验收冒充完整手工验收。</w:t>
      </w:r>
    </w:p>
    <w:p>
      <w:pPr>
        <w:spacing w:after="120"/>
      </w:pPr>
      <w:r>
        <w:t>证据根目录：reports/final_audit_20261025。新实验配置protocol.json、逐次runs.json、60组metrics.csv、hourly_losses.csv、48组holdout_significance.csv；实际权重及逐beam-hour配对预测位于resources/final_audit_20261025（Git忽略，需本机备份）。历史reports/和figures/数值保持原样。没有独立外部数据、全模型调参或生产实时网管接入，本次不扩大该范围。</w:t>
      </w:r>
    </w:p>
    <w:sectPr>
      <w:headerReference r:id="rId5" w:type="default"/>
      <w:footerReference r:id="rId6" w:type="default"/>
      <w:pgSz w:w="11906" w:h="16838"/>
      <w:pgMar w:top="1304" w:right="1332" w:bottom="1049" w:left="1332" w:header="425"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89E4C">
    <w:pPr>
      <w:pStyle w:val="24"/>
      <w:jc w:val="center"/>
    </w:pPr>
    <w:r>
      <w:rPr>
        <w:sz w:val="18"/>
      </w:rPr>
      <w:t xml:space="preserve">第 </w:t>
    </w:r>
    <w:r>
      <w:fldChar w:fldCharType="begin"/>
    </w:r>
    <w:r>
      <w:instrText xml:space="preserve">PAGE</w:instrText>
    </w:r>
    <w:r>
      <w:fldChar w:fldCharType="separate"/>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5480">
    <w:pPr>
      <w:pStyle w:val="25"/>
      <w:jc w:val="right"/>
      <w:rPr>
        <w:rFonts w:hint="default" w:ascii="Times New Roman" w:hAnsi="Times New Roman" w:eastAsia="宋体" w:cs="Times New Roman"/>
      </w:rPr>
    </w:pPr>
    <w:r>
      <w:rPr>
        <w:rFonts w:hint="default" w:ascii="Times New Roman" w:hAnsi="Times New Roman" w:eastAsia="宋体" w:cs="Times New Roman"/>
        <w:color w:val="878C93"/>
        <w:sz w:val="16"/>
      </w:rPr>
      <w:t>Week3|异常检测结果报告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FA401E"/>
    <w:rsid w:val="0A526D12"/>
    <w:rsid w:val="318F667E"/>
    <w:rsid w:val="4103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line="300" w:lineRule="auto"/>
      <w:outlineLvl w:val="0"/>
    </w:pPr>
    <w:rPr>
      <w:rFonts w:cs="Times New Roman"/>
      <w:b/>
      <w:bCs/>
      <w:color w:val="163A5F"/>
      <w:sz w:val="30"/>
      <w:szCs w:val="28"/>
    </w:rPr>
  </w:style>
  <w:style w:type="paragraph" w:styleId="4">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2F5597"/>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Times New Roman" w:hAnsi="Times New Roman" w:eastAsia="宋体" w:cs="Times New Roman"/>
      <w:b/>
      <w:bCs/>
      <w:color w:val="163A5F"/>
      <w:sz w:val="30"/>
      <w:szCs w:val="28"/>
      <w:lang w:val="en-US" w:eastAsia="en-US" w:bidi="ar-SA"/>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1737</Words>
  <Characters>2958</Characters>
  <Lines>0</Lines>
  <Paragraphs>0</Paragraphs>
  <TotalTime>2</TotalTime>
  <ScaleCrop>false</ScaleCrop>
  <LinksUpToDate>false</LinksUpToDate>
  <CharactersWithSpaces>3171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白鸟</cp:lastModifiedBy>
  <dcterms:modified xsi:type="dcterms:W3CDTF">2026-10-18T13:19:37Z</dcterms:modified>
  <dc:subject>基于 AI 的 5G 网络关键性能指标预测与异常检测系统（压缩项目第三阶段）</dc:subject>
  <dc:title>异常检测结果报告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eyJoZGlkIjoiM2NkYThkNzk1NjRiY2FkMmQxYTI1NDIwYTAwZTc5NjYiLCJ1c2VySWQiOiIyODgyMzk1NzcifQ==</vt:lpwstr>
  </property>
  <property fmtid="{D5CDD505-2E9C-101B-9397-08002B2CF9AE}" pid="3" name="KSOProductBuildVer">
    <vt:lpwstr>2052-12.1.0.28599</vt:lpwstr>
  </property>
  <property fmtid="{D5CDD505-2E9C-101B-9397-08002B2CF9AE}" pid="4" name="ICV">
    <vt:lpwstr>0A8CF3D385F54DFF808529AD2C8D4255_12</vt:lpwstr>
  </property>
</Properties>
</file>