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B57B3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16E383C2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第二周实验报告</w:t>
      </w:r>
    </w:p>
    <w:p w14:paraId="046AE0EA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KPI 数据处理及传统机器学习预测</w:t>
      </w:r>
    </w:p>
    <w:p w14:paraId="771CF49B">
      <w:pPr>
        <w:rPr>
          <w:rFonts w:hint="default" w:ascii="Times New Roman" w:hAnsi="Times New Roman" w:eastAsia="宋体" w:cs="Times New Roman"/>
        </w:rPr>
      </w:pPr>
    </w:p>
    <w:p w14:paraId="3D133624">
      <w:pPr>
        <w:rPr>
          <w:rFonts w:hint="default" w:ascii="Times New Roman" w:hAnsi="Times New Roman" w:eastAsia="宋体" w:cs="Times New Roman"/>
        </w:rPr>
      </w:pPr>
    </w:p>
    <w:p w14:paraId="54F51020">
      <w:pPr>
        <w:rPr>
          <w:rFonts w:hint="default" w:ascii="Times New Roman" w:hAnsi="Times New Roman" w:eastAsia="宋体" w:cs="Times New Roman"/>
        </w:rPr>
      </w:pPr>
    </w:p>
    <w:p w14:paraId="433C52D1">
      <w:pPr>
        <w:rPr>
          <w:rFonts w:hint="default" w:ascii="Times New Roman" w:hAnsi="Times New Roman" w:eastAsia="宋体" w:cs="Times New Roman"/>
        </w:rPr>
      </w:pPr>
    </w:p>
    <w:p w14:paraId="1FBC4DD4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数据处理 / 预测模型 / 模型评估与图表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实验依据：代码及报告记录</w:t>
      </w:r>
    </w:p>
    <w:p w14:paraId="66C7567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28EA9F9">
      <w:pPr>
        <w:pStyle w:val="3"/>
        <w:bidi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  <w:lang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本周</w:t>
      </w:r>
      <w:r>
        <w:rPr>
          <w:rFonts w:hint="default" w:ascii="Times New Roman" w:hAnsi="Times New Roman" w:eastAsia="宋体" w:cs="Times New Roman"/>
        </w:rPr>
        <w:t>任务和进展</w:t>
      </w:r>
    </w:p>
    <w:p w14:paraId="71FB540D">
      <w:pPr>
        <w:widowControl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b w:val="0"/>
        </w:rPr>
        <w:t>本周完成了数据获取、预处理与统计分析任务，以及传统机器学习 KPI 预测与评估任务。</w:t>
      </w:r>
    </w:p>
    <w:p w14:paraId="512EC668">
      <w:pPr>
        <w:pStyle w:val="3"/>
        <w:bidi w:val="0"/>
        <w:rPr>
          <w:rFonts w:hint="default" w:ascii="Times New Roman" w:hAnsi="Times New Roman" w:eastAsia="宋体" w:cs="Times New Roman"/>
          <w:color w:val="163A5F"/>
          <w:sz w:val="30"/>
        </w:rPr>
      </w:pPr>
      <w:r>
        <w:rPr>
          <w:rFonts w:hint="default" w:ascii="Times New Roman" w:hAnsi="Times New Roman" w:eastAsia="宋体" w:cs="Times New Roman"/>
          <w:color w:val="163A5F"/>
          <w:sz w:val="30"/>
        </w:rPr>
        <w:t>2</w:t>
      </w:r>
      <w:r>
        <w:rPr>
          <w:rFonts w:hint="default" w:ascii="Times New Roman" w:hAnsi="Times New Roman" w:eastAsia="宋体" w:cs="Times New Roman"/>
          <w:color w:val="163A5F"/>
          <w:sz w:val="30"/>
          <w:lang w:eastAsia="zh-CN"/>
        </w:rPr>
        <w:t>.</w:t>
      </w:r>
      <w:r>
        <w:rPr>
          <w:rFonts w:hint="default" w:ascii="Times New Roman" w:hAnsi="Times New Roman" w:eastAsia="宋体" w:cs="Times New Roman"/>
          <w:color w:val="163A5F"/>
          <w:sz w:val="30"/>
        </w:rPr>
        <w:t xml:space="preserve"> 数据预处理结果</w:t>
      </w:r>
    </w:p>
    <w:p w14:paraId="78792B24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在 gotsf-ds 四类 KPI（DLPRB、DLThpVol、DLThpTime、MR_number）上执行完整性审计，均未发现缺失、无穷、负值、重复时间或时间缺口。将4份原始宽表整合为统一的 beam-level 长表，得到2,419,200行、17列数据。Train使用时间0–671，Test使用672–839，StandardScaler与MinMaxScaler只在训练期拟合。</w:t>
      </w:r>
    </w:p>
    <w:p w14:paraId="168A4FC1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03800" cy="184023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18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B4EF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图1 四类 KPI 原始观测中的零值比例</w:t>
      </w:r>
    </w:p>
    <w:p w14:paraId="59D111B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图1说明四类KPI均存在较多零值，DLThpVol的占比最高（31.76%）。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保留</w:t>
      </w:r>
      <w:r>
        <w:rPr>
          <w:rFonts w:hint="default" w:ascii="Times New Roman" w:hAnsi="Times New Roman" w:eastAsia="宋体" w:cs="Times New Roman"/>
          <w:b w:val="0"/>
        </w:rPr>
        <w:t>合法零值与高值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以</w:t>
      </w:r>
      <w:r>
        <w:rPr>
          <w:rFonts w:hint="default" w:ascii="Times New Roman" w:hAnsi="Times New Roman" w:eastAsia="宋体" w:cs="Times New Roman"/>
          <w:b w:val="0"/>
        </w:rPr>
        <w:t>保留其可能包含的网络活动信息。</w:t>
      </w:r>
    </w:p>
    <w:p w14:paraId="79C5459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传统机器学习预测</w:t>
      </w:r>
    </w:p>
    <w:p w14:paraId="5B1AFE48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对每个 beam 的4类KPI构建t、t−1、t−2、t−24、t−168共20维输入特征，以t+1为预测目标。完成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了</w:t>
      </w:r>
      <w:r>
        <w:rPr>
          <w:rFonts w:hint="default" w:ascii="Times New Roman" w:hAnsi="Times New Roman" w:eastAsia="宋体" w:cs="Times New Roman"/>
          <w:b w:val="0"/>
        </w:rPr>
        <w:t>Persistence、Linear Regression、Decision Tree、Random Forest、XGBoost及LightGBM六种方法的对比；模型有效训练样本1,448,640条，测试样本483,840条。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5B3A2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2C9CAE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27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107E7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最小 MAE（模型）</w:t>
            </w:r>
          </w:p>
        </w:tc>
        <w:tc>
          <w:tcPr>
            <w:tcW w:w="27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C989E6D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最小 RMSE（模型）</w:t>
            </w:r>
          </w:p>
        </w:tc>
        <w:tc>
          <w:tcPr>
            <w:tcW w:w="18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9931F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最高 R²</w:t>
            </w:r>
          </w:p>
        </w:tc>
      </w:tr>
      <w:tr w14:paraId="1BD3E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B3AD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27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EDCB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0.261817（XGBoost）</w:t>
            </w:r>
          </w:p>
        </w:tc>
        <w:tc>
          <w:tcPr>
            <w:tcW w:w="27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CAADC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0.493705（RF）</w:t>
            </w:r>
          </w:p>
        </w:tc>
        <w:tc>
          <w:tcPr>
            <w:tcW w:w="18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B4D8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0.787133</w:t>
            </w:r>
          </w:p>
        </w:tc>
      </w:tr>
      <w:tr w14:paraId="344A5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851AA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DBFF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0.207615（RF）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EDB23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0.460162（RF）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7B8F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0.615323</w:t>
            </w:r>
          </w:p>
        </w:tc>
      </w:tr>
      <w:tr w14:paraId="5BD4C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0B24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D5D6E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0.243576（XGBoost）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158DA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0.524467（RF）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6780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0.702391</w:t>
            </w:r>
          </w:p>
        </w:tc>
      </w:tr>
      <w:tr w14:paraId="39001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8EC2F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2DF0C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0.224767（XGBoost）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27E7F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0.395647（RF）</w:t>
            </w:r>
          </w:p>
        </w:tc>
        <w:tc>
          <w:tcPr>
            <w:tcW w:w="18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C940D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0.867182</w:t>
            </w:r>
          </w:p>
        </w:tc>
      </w:tr>
    </w:tbl>
    <w:p w14:paraId="5DF8968F">
      <w:pPr>
        <w:keepNext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866765" cy="2891790"/>
            <wp:effectExtent l="0" t="0" r="635" b="3810"/>
            <wp:docPr id="4" name="图片 4" descr="model_comparison_R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del_comparison_RM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28DA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图2 四类 KPI 的 RMSE 模型比较</w:t>
      </w:r>
    </w:p>
    <w:p w14:paraId="4D866BD0">
      <w:pPr>
        <w:keepNext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drawing>
          <wp:inline distT="0" distB="0" distL="114300" distR="114300">
            <wp:extent cx="5859145" cy="2886075"/>
            <wp:effectExtent l="0" t="0" r="8255" b="9525"/>
            <wp:docPr id="3" name="图片 3" descr="model_comparison_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_comparison_M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0165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图3 MAE 模型对比</w:t>
      </w:r>
    </w:p>
    <w:p w14:paraId="71C5A9ED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drawing>
          <wp:inline distT="0" distB="0" distL="114300" distR="114300">
            <wp:extent cx="5866765" cy="2891790"/>
            <wp:effectExtent l="0" t="0" r="635" b="3810"/>
            <wp:docPr id="5" name="图片 5" descr="model_comparison_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l_comparison_R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0481">
      <w:pPr>
        <w:jc w:val="center"/>
        <w:rPr>
          <w:rFonts w:hint="default" w:ascii="Times New Roman" w:hAnsi="Times New Roman" w:eastAsia="宋体" w:cs="Times New Roman"/>
          <w:b w:val="0"/>
          <w:lang w:eastAsia="zh-CN"/>
        </w:rPr>
      </w:pPr>
      <w:r>
        <w:rPr>
          <w:rFonts w:hint="default" w:ascii="Times New Roman" w:hAnsi="Times New Roman" w:eastAsia="宋体" w:cs="Times New Roman"/>
          <w:b w:val="0"/>
          <w:lang w:eastAsia="zh-CN"/>
        </w:rPr>
        <w:t>图</w:t>
      </w:r>
      <w:r>
        <w:rPr>
          <w:rFonts w:hint="default" w:ascii="Times New Roman" w:hAnsi="Times New Roman" w:eastAsia="宋体" w:cs="Times New Roman"/>
          <w:b w:val="0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lang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</w:rPr>
        <w:t>R²</w:t>
      </w:r>
      <w:r>
        <w:rPr>
          <w:rFonts w:hint="default" w:ascii="Times New Roman" w:hAnsi="Times New Roman" w:eastAsia="宋体" w:cs="Times New Roman"/>
          <w:b w:val="0"/>
          <w:lang w:eastAsia="zh-CN"/>
        </w:rPr>
        <w:t xml:space="preserve"> 模型对比</w:t>
      </w:r>
    </w:p>
    <w:p w14:paraId="0D7E141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随机森林在四类KPI的RMSE和R²上均为最优；XGBoost在三类KPI的MAE上略优。MR_number的LinearRegression性能比Persistence基线差，说明模型复杂度增加不保证效果改进。</w:t>
      </w:r>
    </w:p>
    <w:p w14:paraId="2AFCA179">
      <w:pPr>
        <w:jc w:val="both"/>
        <w:rPr>
          <w:rFonts w:hint="default" w:ascii="Times New Roman" w:hAnsi="Times New Roman" w:eastAsia="宋体" w:cs="Times New Roman"/>
          <w:b w:val="0"/>
          <w:lang w:eastAsia="zh-CN"/>
        </w:rPr>
      </w:pPr>
    </w:p>
    <w:p w14:paraId="0E5B20B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技术问题与阶段局限</w:t>
      </w:r>
    </w:p>
    <w:p w14:paraId="222BB974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（1）避免信息泄漏：数据集按时间留出，scaler仅在基础训练期拟合；特征与标签按同一beam分组构造。</w:t>
      </w:r>
    </w:p>
    <w:p w14:paraId="47DE8201">
      <w:pPr>
        <w:widowControl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b w:val="0"/>
        </w:rPr>
        <w:t>（2）评估口径： MAE、RMSE 和 R² 均基于测试集中的逐 beam 样本计算；模型性能评估报告中的预测时序图则展示同一时间索引下所有 beam 的真实值与预测值均值。两者的统计粒度不同，不能直接根据聚合后的曲线判断逐 beam 预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</w:rPr>
        <w:t>测性能。</w:t>
      </w:r>
    </w:p>
    <w:p w14:paraId="2ABA2B57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（3）泛化边界：仅有一个来源内部的时间留出段，尚未建立滚动回测与独立外部测试，不应夸大模型部署性能。</w:t>
      </w:r>
    </w:p>
    <w:p w14:paraId="12EBD11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E70FA0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交付物核对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4456"/>
      </w:tblGrid>
      <w:tr w14:paraId="16CFF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DD935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任务书交付物</w:t>
            </w:r>
          </w:p>
        </w:tc>
        <w:tc>
          <w:tcPr>
            <w:tcW w:w="4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B55F6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可核对的文件</w:t>
            </w:r>
          </w:p>
        </w:tc>
      </w:tr>
      <w:tr w14:paraId="6417C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09B9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1. 数据预处理Python脚本</w:t>
            </w:r>
          </w:p>
        </w:tc>
        <w:tc>
          <w:tcPr>
            <w:tcW w:w="4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8CF6E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w2_data_preprocessing_download.py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w2_data_preprocessing_audit.py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w2_data_preprocessing_pipeline.py</w:t>
            </w:r>
          </w:p>
        </w:tc>
      </w:tr>
      <w:tr w14:paraId="3755B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67368C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 预处理 KPI 数据集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5AB6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kpi_timeseries.csv</w:t>
            </w:r>
          </w:p>
        </w:tc>
      </w:tr>
      <w:tr w14:paraId="1A330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FEC17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3. 数据集统计分析报告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9856E">
            <w:pPr>
              <w:rPr>
                <w:rFonts w:hint="default" w:ascii="Times New Roman" w:hAnsi="Times New Roman" w:eastAsia="宋体" w:cs="Times New Roman"/>
                <w:b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PDF</w:t>
            </w:r>
          </w:p>
        </w:tc>
      </w:tr>
      <w:tr w14:paraId="3E036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9739E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 传统 ML KPI 预测模型代码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CA112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w2_traditional_ml_kpi_prediction_features.py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w2_traditional_ml_kpi_prediction_training.py</w:t>
            </w:r>
          </w:p>
        </w:tc>
      </w:tr>
      <w:tr w14:paraId="36380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EEE31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5. 模型性能评估报告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275C3F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PDF</w:t>
            </w:r>
          </w:p>
        </w:tc>
      </w:tr>
      <w:tr w14:paraId="03B7E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6788B9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6. 预测结果可视化</w:t>
            </w:r>
          </w:p>
        </w:tc>
        <w:tc>
          <w:tcPr>
            <w:tcW w:w="4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FCFA7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lang w:val="en-US" w:eastAsia="zh-CN"/>
              </w:rPr>
              <w:t>图片与</w:t>
            </w: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prediction_timeseries.csv</w:t>
            </w:r>
          </w:p>
        </w:tc>
      </w:tr>
      <w:tr w14:paraId="24E8A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B1E9C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脚本名称</w:t>
            </w:r>
          </w:p>
        </w:tc>
        <w:tc>
          <w:tcPr>
            <w:tcW w:w="4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0184F5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功能说明</w:t>
            </w:r>
          </w:p>
        </w:tc>
      </w:tr>
      <w:tr w14:paraId="515D4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E0FF66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w2_data_preprocessing_download.py</w:t>
            </w:r>
          </w:p>
        </w:tc>
        <w:tc>
          <w:tcPr>
            <w:tcW w:w="4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2DE4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获取四类原始 KPI 数据</w:t>
            </w:r>
          </w:p>
        </w:tc>
      </w:tr>
      <w:tr w14:paraId="4352F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93309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w2_data_preprocessing_audit.py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4025B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审计缺失、重复、非法值及时间连续性</w:t>
            </w:r>
          </w:p>
        </w:tc>
      </w:tr>
      <w:tr w14:paraId="576EC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FD473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w2_data_preprocessing_pipeline.py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26179">
            <w:pPr>
              <w:rPr>
                <w:rFonts w:hint="default" w:ascii="Times New Roman" w:hAnsi="Times New Roman" w:eastAsia="宋体" w:cs="Times New Roman"/>
                <w:b w:val="0"/>
                <w:color w:val="00000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构建时间序列长表，完成数据划分、标准化和归一化</w:t>
            </w:r>
          </w:p>
        </w:tc>
      </w:tr>
      <w:tr w14:paraId="35686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E8710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w2_traditional_ml_kpi_prediction_features.py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DE61C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构造20维历史时序特征及下一时间步标签</w:t>
            </w:r>
          </w:p>
        </w:tc>
      </w:tr>
      <w:tr w14:paraId="746CE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04F71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w2_traditional_ml_kpi_prediction_training.py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F8918">
            <w:pPr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运行六种预测方法，评估性能并输出可视化结果</w:t>
            </w:r>
          </w:p>
        </w:tc>
      </w:tr>
    </w:tbl>
    <w:p w14:paraId="136C0FC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</w:t>
      </w:r>
      <w:r>
        <w:rPr>
          <w:rFonts w:hint="default" w:ascii="Times New Roman" w:hAnsi="Times New Roman" w:eastAsia="宋体" w:cs="Times New Roman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 xml:space="preserve"> 下一周工作</w:t>
      </w:r>
    </w:p>
    <w:p w14:paraId="5207422F">
      <w:pPr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</w:rPr>
        <w:t>下一阶段将构建LSTM/GRU时序预测基线并探索Transformer，同时开展统计阈值、Isolation Forest和One-Class SVM异常检测，初步分析KPI之间的异常关联。跨阶段比较需使用一致的测试时段、预测标签与指标计算方式。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737" w:footer="79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22579">
    <w:pPr>
      <w:pStyle w:val="24"/>
      <w:jc w:val="center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90979E"/>
        <w:sz w:val="15"/>
      </w:rPr>
      <w:t xml:space="preserve">第 </w:t>
    </w:r>
    <w:r>
      <w:rPr>
        <w:rFonts w:hint="default" w:ascii="Times New Roman" w:hAnsi="Times New Roman" w:eastAsia="宋体" w:cs="Times New Roman"/>
      </w:rPr>
      <w:fldChar w:fldCharType="begin"/>
    </w:r>
    <w:r>
      <w:rPr>
        <w:rFonts w:hint="default" w:ascii="Times New Roman" w:hAnsi="Times New Roman" w:eastAsia="宋体" w:cs="Times New Roman"/>
      </w:rPr>
      <w:instrText xml:space="preserve">PAGE</w:instrText>
    </w:r>
    <w:r>
      <w:rPr>
        <w:rFonts w:hint="default" w:ascii="Times New Roman" w:hAnsi="Times New Roman" w:eastAsia="宋体" w:cs="Times New Roman"/>
      </w:rPr>
      <w:fldChar w:fldCharType="separate"/>
    </w:r>
    <w:r>
      <w:rPr>
        <w:rFonts w:hint="default" w:ascii="Times New Roman" w:hAnsi="Times New Roman" w:eastAsia="宋体" w:cs="Times New Roman"/>
      </w:rPr>
      <w:fldChar w:fldCharType="end"/>
    </w:r>
    <w:r>
      <w:rPr>
        <w:rFonts w:hint="default" w:ascii="Times New Roman" w:hAnsi="Times New Roman" w:eastAsia="宋体" w:cs="Times New Roman"/>
        <w:color w:val="90979E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B5A6">
    <w:pPr>
      <w:pStyle w:val="25"/>
      <w:jc w:val="right"/>
      <w:rPr>
        <w:rFonts w:hint="default" w:ascii="Times New Roman" w:hAnsi="Times New Roman" w:eastAsia="宋体" w:cs="Times New Roman"/>
      </w:rPr>
    </w:pPr>
    <w:r>
      <w:rPr>
        <w:rFonts w:hint="default" w:ascii="Times New Roman" w:hAnsi="Times New Roman" w:eastAsia="宋体" w:cs="Times New Roman"/>
        <w:color w:val="858B95"/>
        <w:sz w:val="15"/>
      </w:rPr>
      <w:t>Week2|第二周实验报告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929"/>
    <w:rsid w:val="00AA1D8D"/>
    <w:rsid w:val="00B47730"/>
    <w:rsid w:val="00CB0664"/>
    <w:rsid w:val="00FC693F"/>
    <w:rsid w:val="06BA6E2B"/>
    <w:rsid w:val="0CB95777"/>
    <w:rsid w:val="13BE44BB"/>
    <w:rsid w:val="15252F8C"/>
    <w:rsid w:val="190F7D00"/>
    <w:rsid w:val="1B5B0843"/>
    <w:rsid w:val="1BA23AE5"/>
    <w:rsid w:val="2CCE1A9C"/>
    <w:rsid w:val="38E242AF"/>
    <w:rsid w:val="3D9C58D4"/>
    <w:rsid w:val="4BAC12C9"/>
    <w:rsid w:val="50356F62"/>
    <w:rsid w:val="50766D67"/>
    <w:rsid w:val="55F36621"/>
    <w:rsid w:val="581E27FC"/>
    <w:rsid w:val="58DA1098"/>
    <w:rsid w:val="60684FBE"/>
    <w:rsid w:val="61283F3B"/>
    <w:rsid w:val="6BE578C4"/>
    <w:rsid w:val="739B16FB"/>
    <w:rsid w:val="75184DC0"/>
    <w:rsid w:val="7BD922C2"/>
    <w:rsid w:val="7D525D45"/>
    <w:rsid w:val="7FD9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00" w:lineRule="auto"/>
      <w:outlineLvl w:val="0"/>
    </w:pPr>
    <w:rPr>
      <w:rFonts w:ascii="Times New Roman" w:hAnsi="Times New Roman" w:eastAsia="宋体" w:cs="Times New Roman"/>
      <w:b/>
      <w:bCs/>
      <w:color w:val="163A5F"/>
      <w:sz w:val="30"/>
      <w:szCs w:val="28"/>
      <w:lang w:eastAsia="zh-CN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53D68"/>
      <w:sz w:val="21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53D68"/>
      <w:sz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60" w:line="240" w:lineRule="auto"/>
    </w:pPr>
    <w:rPr>
      <w:rFonts w:ascii="Noto Serif CJK SC" w:hAnsi="Noto Serif CJK SC" w:eastAsia="Noto Serif CJK SC"/>
      <w:bCs/>
      <w:color w:val="3F4C5A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180" w:after="360" w:line="240" w:lineRule="auto"/>
      <w:contextualSpacing/>
    </w:pPr>
    <w:rPr>
      <w:rFonts w:asciiTheme="majorHAnsi" w:hAnsiTheme="majorHAnsi" w:eastAsiaTheme="majorEastAsia" w:cstheme="majorBidi"/>
      <w:b/>
      <w:color w:val="153D68"/>
      <w:spacing w:val="5"/>
      <w:kern w:val="28"/>
      <w:sz w:val="3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zh-CN" w:bidi="ar-SA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SmallText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4C5B6E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836</Words>
  <Characters>1546</Characters>
  <Lines>0</Lines>
  <Paragraphs>0</Paragraphs>
  <TotalTime>4</TotalTime>
  <ScaleCrop>false</ScaleCrop>
  <LinksUpToDate>false</LinksUpToDate>
  <CharactersWithSpaces>1603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2026-10-08T04:45:37Z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05742E0EE6754355BA9EBB53984C9798_12</vt:lpwstr>
  </property>
</Properties>
</file>