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A6335">
      <w:pPr>
        <w:spacing w:before="1600" w:after="80" w:line="300" w:lineRule="auto"/>
        <w:jc w:val="center"/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  <w:t>基于 AI 的 5G 网络关键性能指标预测与异常检测系统</w:t>
      </w:r>
    </w:p>
    <w:p w14:paraId="41C27300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</w:pPr>
      <w:r>
        <w:rPr>
          <w:rFonts w:hint="default" w:ascii="Times New Roman" w:hAnsi="Times New Roman" w:eastAsia="宋体" w:cs="Times New Roman"/>
          <w:b w:val="0"/>
          <w:sz w:val="21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  <w:t>数据集统计分析报告</w:t>
      </w:r>
    </w:p>
    <w:p w14:paraId="61CC0606">
      <w:pPr>
        <w:spacing w:before="70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gotsf-ds 四类 KPI 的原始数据审计、预处理与时间序列构建</w:t>
      </w:r>
    </w:p>
    <w:p w14:paraId="196914D1">
      <w:pPr>
        <w:rPr>
          <w:rFonts w:hint="default" w:ascii="Times New Roman" w:hAnsi="Times New Roman" w:eastAsia="宋体" w:cs="Times New Roman"/>
        </w:rPr>
      </w:pPr>
    </w:p>
    <w:p w14:paraId="087F65CB">
      <w:pPr>
        <w:rPr>
          <w:rFonts w:hint="default" w:ascii="Times New Roman" w:hAnsi="Times New Roman" w:eastAsia="宋体" w:cs="Times New Roman"/>
        </w:rPr>
      </w:pPr>
    </w:p>
    <w:p w14:paraId="7EFE46FC">
      <w:pPr>
        <w:rPr>
          <w:rFonts w:hint="default" w:ascii="Times New Roman" w:hAnsi="Times New Roman" w:eastAsia="宋体" w:cs="Times New Roman"/>
        </w:rPr>
      </w:pPr>
    </w:p>
    <w:p w14:paraId="13D6ECB9">
      <w:pPr>
        <w:spacing w:before="2000" w:after="80" w:line="300" w:lineRule="auto"/>
        <w:jc w:val="center"/>
        <w:rPr>
          <w:rFonts w:hint="default" w:ascii="Times New Roman" w:hAnsi="Times New Roman" w:eastAsia="宋体" w:cs="Times New Roman"/>
          <w:b w:val="0"/>
          <w:color w:val="5A5A5A"/>
          <w:sz w:val="20"/>
        </w:rPr>
      </w:pP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数据集：gotsf-ds / netop/gotsf-ds</w:t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处理工具：Python / Pandas / NumPy / scikit-learn</w:t>
      </w:r>
    </w:p>
    <w:p w14:paraId="11661C3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1BA72511">
      <w:pPr>
        <w:pStyle w:val="3"/>
        <w:bidi w:val="0"/>
        <w:rPr>
          <w:rFonts w:hint="default" w:ascii="Times New Roman" w:hAnsi="Times New Roman" w:eastAsia="宋体" w:cs="Times New Roman"/>
          <w:color w:val="163A5F"/>
          <w:sz w:val="30"/>
        </w:rPr>
      </w:pPr>
      <w:r>
        <w:rPr>
          <w:rFonts w:hint="default" w:ascii="Times New Roman" w:hAnsi="Times New Roman" w:eastAsia="宋体" w:cs="Times New Roman"/>
          <w:color w:val="163A5F"/>
          <w:sz w:val="30"/>
        </w:rPr>
        <w:t>1</w:t>
      </w:r>
      <w:r>
        <w:rPr>
          <w:rFonts w:hint="default" w:ascii="Times New Roman" w:hAnsi="Times New Roman" w:eastAsia="宋体" w:cs="Times New Roman"/>
          <w:color w:val="163A5F"/>
          <w:sz w:val="30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163A5F"/>
          <w:sz w:val="30"/>
        </w:rPr>
        <w:t xml:space="preserve"> 实验目的与数据来源</w:t>
      </w:r>
    </w:p>
    <w:p w14:paraId="6FC1B9B7">
      <w:pPr>
        <w:bidi w:val="0"/>
        <w:rPr>
          <w:rFonts w:hint="default"/>
        </w:rPr>
      </w:pPr>
      <w:r>
        <w:rPr>
          <w:rFonts w:hint="default"/>
        </w:rPr>
        <w:t>本实验以公开的 gotsf-ds 数据集为输入，完成数据结构识别、数据质量审计、时间序列划分、标准化与归一化处理，为后续传统机器学习 KPI 预测提供统一的数据基础。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0D0DC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BCC213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数据对象</w:t>
            </w:r>
          </w:p>
        </w:tc>
        <w:tc>
          <w:tcPr>
            <w:tcW w:w="26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D71AF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规模或范围</w:t>
            </w:r>
          </w:p>
        </w:tc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11490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说明</w:t>
            </w:r>
          </w:p>
        </w:tc>
      </w:tr>
      <w:tr w14:paraId="0BFDC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F625B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数据来源</w:t>
            </w:r>
          </w:p>
        </w:tc>
        <w:tc>
          <w:tcPr>
            <w:tcW w:w="26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F8B48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gotsf-ds</w:t>
            </w:r>
          </w:p>
        </w:tc>
        <w:tc>
          <w:tcPr>
            <w:tcW w:w="45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ACCE9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四份 *_train_0w-5w.csv 文件</w:t>
            </w:r>
          </w:p>
        </w:tc>
      </w:tr>
      <w:tr w14:paraId="421FF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D2A3D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 种类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06DA5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337D2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 / DLThpVol / DLThpTime / MR_number</w:t>
            </w:r>
          </w:p>
        </w:tc>
      </w:tr>
      <w:tr w14:paraId="7CC05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1D368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时间索引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C73A5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0–839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3671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840个等间隔索引；原记录按小时描述</w:t>
            </w:r>
          </w:p>
        </w:tc>
      </w:tr>
      <w:tr w14:paraId="63E1F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BE29A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空间对象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7B369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30基站 / 90 cell / 2880 beam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9140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列名含 base_station_cell_beam 标识</w:t>
            </w:r>
          </w:p>
        </w:tc>
      </w:tr>
      <w:tr w14:paraId="571CB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B9F22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输出文件</w:t>
            </w:r>
          </w:p>
        </w:tc>
        <w:tc>
          <w:tcPr>
            <w:tcW w:w="26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E6879B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kpi_timeseries.csv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D8FFB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2,419,200行 × 17列</w:t>
            </w:r>
          </w:p>
        </w:tc>
      </w:tr>
    </w:tbl>
    <w:p w14:paraId="50A8F20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数据格式与对象标识</w:t>
      </w:r>
    </w:p>
    <w:p w14:paraId="16F2EB7F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原始 CSV 每个 KPI 单独存储为宽表，首列由 Pandas 读为 Unnamed: 0，其余 2880 列按“基站_cell_beam”编码。预处理脚本将首列恢复为 Time，并将多份宽表按相同时间和 beam 结构合并为统一长表。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240AB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376511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原始列示例</w:t>
            </w:r>
          </w:p>
        </w:tc>
        <w:tc>
          <w:tcPr>
            <w:tcW w:w="385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86A7D7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转换后字段</w:t>
            </w:r>
          </w:p>
        </w:tc>
        <w:tc>
          <w:tcPr>
            <w:tcW w:w="30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F3AE9D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对应含义</w:t>
            </w:r>
          </w:p>
        </w:tc>
      </w:tr>
      <w:tr w14:paraId="335B0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8CB97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Unnamed: 0</w:t>
            </w:r>
          </w:p>
        </w:tc>
        <w:tc>
          <w:tcPr>
            <w:tcW w:w="385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7B37B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Time</w:t>
            </w:r>
          </w:p>
        </w:tc>
        <w:tc>
          <w:tcPr>
            <w:tcW w:w="30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95819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时间索引</w:t>
            </w:r>
          </w:p>
        </w:tc>
      </w:tr>
      <w:tr w14:paraId="2A212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BDCD6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12_2_31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BE44D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base_station=12; cell=2; beam=31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2CBDC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三层网络对象标识</w:t>
            </w:r>
          </w:p>
        </w:tc>
      </w:tr>
      <w:tr w14:paraId="73D94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F92AE09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各 KPI 对应数值</w:t>
            </w:r>
          </w:p>
        </w:tc>
        <w:tc>
          <w:tcPr>
            <w:tcW w:w="385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230EA9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 / DLThpVol / DLThpTime / MR_number</w:t>
            </w:r>
          </w:p>
        </w:tc>
        <w:tc>
          <w:tcPr>
            <w:tcW w:w="30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B69CB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同一时间和 beam 的四种观测值</w:t>
            </w:r>
          </w:p>
        </w:tc>
      </w:tr>
    </w:tbl>
    <w:p w14:paraId="468E9073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原始数据质量审计</w:t>
      </w:r>
    </w:p>
    <w:p w14:paraId="65A2F398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使用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审计脚本</w:t>
      </w:r>
      <w:r>
        <w:rPr>
          <w:rFonts w:hint="default" w:ascii="Times New Roman" w:hAnsi="Times New Roman" w:eastAsia="宋体" w:cs="Times New Roman"/>
          <w:b w:val="0"/>
        </w:rPr>
        <w:t>对时间连续性、重复时间、完全重复行、缺失值、无限值、负值及非法 beam 标识进行核验，并确认四份 KPI 文件具有一致的时间轴和 beam 结构。原始审计结果如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下表所示</w:t>
      </w:r>
      <w:r>
        <w:rPr>
          <w:rFonts w:hint="default" w:ascii="Times New Roman" w:hAnsi="Times New Roman" w:eastAsia="宋体" w:cs="Times New Roman"/>
          <w:b w:val="0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37775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8260A2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检查项</w:t>
            </w:r>
          </w:p>
        </w:tc>
        <w:tc>
          <w:tcPr>
            <w:tcW w:w="150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30822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67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ABE9D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81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73AC07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8521A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</w:tr>
      <w:tr w14:paraId="374B6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E48DB7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时间点数量</w:t>
            </w:r>
          </w:p>
        </w:tc>
        <w:tc>
          <w:tcPr>
            <w:tcW w:w="150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FEE1D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840</w:t>
            </w:r>
          </w:p>
        </w:tc>
        <w:tc>
          <w:tcPr>
            <w:tcW w:w="167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E9B6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840</w:t>
            </w:r>
          </w:p>
        </w:tc>
        <w:tc>
          <w:tcPr>
            <w:tcW w:w="181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8B8DC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840</w:t>
            </w:r>
          </w:p>
        </w:tc>
        <w:tc>
          <w:tcPr>
            <w:tcW w:w="15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1877F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840</w:t>
            </w:r>
          </w:p>
        </w:tc>
      </w:tr>
      <w:tr w14:paraId="78345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862C1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Beam 数量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25FF79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2880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9767E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2880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F8D57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2880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78CBA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2880</w:t>
            </w:r>
          </w:p>
        </w:tc>
      </w:tr>
      <w:tr w14:paraId="2492F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97C6C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缺失值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486F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C1E0D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31D74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9143F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  <w:tr w14:paraId="0C354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E2529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无穷值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7E69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31E21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9A901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C0773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  <w:tr w14:paraId="02C30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96334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负值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AEB39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A327B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442157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F2311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  <w:tr w14:paraId="6C224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32F9E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重复时间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D508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7EC8C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09D79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97EE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  <w:tr w14:paraId="1DD82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D62F7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完全重复行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57A46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C1A25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0BCF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C4EC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  <w:tr w14:paraId="1DF11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52CD8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时间缺口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93C36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75F52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C0C4C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D26F7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  <w:tr w14:paraId="2BEF9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21892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非法 Beam 标识</w:t>
            </w:r>
          </w:p>
        </w:tc>
        <w:tc>
          <w:tcPr>
            <w:tcW w:w="150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E43CA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67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8CC46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63182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7880669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</w:tbl>
    <w:p w14:paraId="043D060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KPI 统计特征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</w:tblGrid>
      <w:tr w14:paraId="598D0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BDCD9B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124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20244F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均值</w:t>
            </w:r>
          </w:p>
        </w:tc>
        <w:tc>
          <w:tcPr>
            <w:tcW w:w="13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EFC7B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中位数</w:t>
            </w:r>
          </w:p>
        </w:tc>
        <w:tc>
          <w:tcPr>
            <w:tcW w:w="133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39AB3F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P99</w:t>
            </w:r>
          </w:p>
        </w:tc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8D3A9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最大值</w:t>
            </w:r>
          </w:p>
        </w:tc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44B91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零值占比</w:t>
            </w:r>
          </w:p>
        </w:tc>
      </w:tr>
      <w:tr w14:paraId="68165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1430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24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FD2E8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0.5409</w:t>
            </w:r>
          </w:p>
        </w:tc>
        <w:tc>
          <w:tcPr>
            <w:tcW w:w="13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6A394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0.1750</w:t>
            </w:r>
          </w:p>
        </w:tc>
        <w:tc>
          <w:tcPr>
            <w:tcW w:w="133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1540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5.0773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208ED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41.0263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C4E7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23.77%</w:t>
            </w:r>
          </w:p>
        </w:tc>
      </w:tr>
      <w:tr w14:paraId="4F5F6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BBAFD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27326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0.3212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0F80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0.0952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05062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3.5190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EF45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245.3746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5F40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31.76%</w:t>
            </w:r>
          </w:p>
        </w:tc>
      </w:tr>
      <w:tr w14:paraId="29188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0763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2422C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0.4252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474E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0.1293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17BEA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4.4634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D1BFF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84.2068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74FDF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27.76%</w:t>
            </w:r>
          </w:p>
        </w:tc>
      </w:tr>
      <w:tr w14:paraId="20739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CE6AF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88FC7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0.6024</w:t>
            </w:r>
          </w:p>
        </w:tc>
        <w:tc>
          <w:tcPr>
            <w:tcW w:w="13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4C7EA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0.2273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86ACF9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5.0658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0B406C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33.6660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BEDBE2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20.15%</w:t>
            </w:r>
          </w:p>
        </w:tc>
      </w:tr>
    </w:tbl>
    <w:p w14:paraId="6D06519B">
      <w:pPr>
        <w:keepNext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327650" cy="195961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95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50DB">
      <w:pPr>
        <w:jc w:val="center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t>图1 四类 KPI 的零值占比</w:t>
      </w:r>
    </w:p>
    <w:p w14:paraId="4A5A7248">
      <w:pPr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t>四类 KPI 的零值占比在20.15%至31.76%之间。DLThpVol 的中位数为0.0952，而其99%分位数为3.5190、最大值为245.3746，反映出分布的明显右偏与长尾。零值可能对应 beam 在部分时段不活跃，因此本阶段保留合法零值；高幅值观测也未仅依据统计阈值直接判定为错误。</w:t>
      </w:r>
    </w:p>
    <w:p w14:paraId="7A48D98D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数据清洗与结构重构</w:t>
      </w:r>
    </w:p>
    <w:p w14:paraId="685D4DDC">
      <w:pPr>
        <w:widowControl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eastAsia="宋体" w:cs="Times New Roman"/>
          <w:b w:val="0"/>
        </w:rPr>
        <w:t>原始数据通过审计后，执行以下顺序的确定性处理：恢复 Time 字段，解析 beam 标识，对四类 KPI 按时间与 beam 对齐，构造 Time × beam 的长表，然后按时间顺序标记 train/test，并分别在训练期拟合两个数值变换器。</w:t>
      </w:r>
    </w:p>
    <w:p w14:paraId="314AE92F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最终基础长表总行数为 840 × 2880 = 2,419,200。每行表示一个时间索引与一个 beam 的四类 KPI 观测。</w:t>
      </w:r>
    </w:p>
    <w:p w14:paraId="530E9340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训练集和测试集划分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4E2B5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E00F7A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数据子集</w:t>
            </w:r>
          </w:p>
        </w:tc>
        <w:tc>
          <w:tcPr>
            <w:tcW w:w="23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3FC6EF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Time 范围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E6949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时间索引数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19F9CC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样本行数</w:t>
            </w:r>
          </w:p>
        </w:tc>
      </w:tr>
      <w:tr w14:paraId="24410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62487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Train</w:t>
            </w:r>
          </w:p>
        </w:tc>
        <w:tc>
          <w:tcPr>
            <w:tcW w:w="23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02F4C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0–671</w:t>
            </w:r>
          </w:p>
        </w:tc>
        <w:tc>
          <w:tcPr>
            <w:tcW w:w="22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17715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672</w:t>
            </w:r>
          </w:p>
        </w:tc>
        <w:tc>
          <w:tcPr>
            <w:tcW w:w="22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3DAE3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1,935,360</w:t>
            </w:r>
          </w:p>
        </w:tc>
      </w:tr>
      <w:tr w14:paraId="38540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8C1A68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Test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0C42B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672–839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E2CDE9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168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0A3457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</w:tr>
    </w:tbl>
    <w:p w14:paraId="47399863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以时间索引作分割而不随机打乱，保证训练样本位于留出测试期之前。两个 scaler 均在 Train 上拟合，再用于 Train 与 Test 的数值变换，避免测试期统计信息进入训练预处理。</w:t>
      </w:r>
    </w:p>
    <w:p w14:paraId="7B2AAD1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标准化与归一化</w:t>
      </w:r>
    </w:p>
    <w:p w14:paraId="099CB360">
      <w:pPr>
        <w:pStyle w:val="4"/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7.1 StandardScaler</w:t>
      </w:r>
    </w:p>
    <w:p w14:paraId="501CE1E5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StandardScaler 以训练期均值与标准差计算 z = (x − μ_train) / σ_train；产出 _z 结尾的四列。训练期变换后的均值约为0，标准差约为1。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196E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DE2126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30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8EEA2B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训练集均值 μ</w:t>
            </w:r>
          </w:p>
        </w:tc>
        <w:tc>
          <w:tcPr>
            <w:tcW w:w="30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BEDDD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训练集标准差 σ</w:t>
            </w:r>
          </w:p>
        </w:tc>
      </w:tr>
      <w:tr w14:paraId="11912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CCC40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30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4CFDD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0.536839</w:t>
            </w:r>
          </w:p>
        </w:tc>
        <w:tc>
          <w:tcPr>
            <w:tcW w:w="30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9740D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1.036266</w:t>
            </w:r>
          </w:p>
        </w:tc>
      </w:tr>
      <w:tr w14:paraId="06403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97248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BB6FC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0.322617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E9676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1.096362</w:t>
            </w:r>
          </w:p>
        </w:tc>
      </w:tr>
      <w:tr w14:paraId="69AAF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16804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6D06C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0.422703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4AAFE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1.029392</w:t>
            </w:r>
          </w:p>
        </w:tc>
      </w:tr>
      <w:tr w14:paraId="163A0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A327B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F2802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0.597422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B95A4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1.039071</w:t>
            </w:r>
          </w:p>
        </w:tc>
      </w:tr>
    </w:tbl>
    <w:p w14:paraId="5CE615D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7.2 MinMaxScaler</w:t>
      </w:r>
    </w:p>
    <w:p w14:paraId="5AC822CB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MinMaxScaler 根据训练集最小值与最大值构建 x_mm = (x − min_train)/(max_train − min_train)。其训练样本映射到0–1区间；测试样本不重新拟合，也不强制裁剪超出训练范围的情况。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1CEDC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7A6FDD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5AB32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训练集最小值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2479D5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训练集最大值</w:t>
            </w:r>
          </w:p>
        </w:tc>
        <w:tc>
          <w:tcPr>
            <w:tcW w:w="243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A3F92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测试集归一化最大值</w:t>
            </w:r>
          </w:p>
        </w:tc>
      </w:tr>
      <w:tr w14:paraId="20674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4D667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22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5DF6B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F3BF8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41.0263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B66A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0.8503</w:t>
            </w:r>
          </w:p>
        </w:tc>
      </w:tr>
      <w:tr w14:paraId="7B870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69228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C4924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B18E9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245.3746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34CB0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0.1214</w:t>
            </w:r>
          </w:p>
        </w:tc>
      </w:tr>
      <w:tr w14:paraId="20F5E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A08FC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207A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D39D5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84.2068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C6A54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0.4814</w:t>
            </w:r>
          </w:p>
        </w:tc>
      </w:tr>
      <w:tr w14:paraId="78E60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C36D3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72E599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4CF479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33.6660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156C85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0.9601</w:t>
            </w:r>
          </w:p>
        </w:tc>
      </w:tr>
    </w:tbl>
    <w:p w14:paraId="179513F9">
      <w:pPr>
        <w:pStyle w:val="3"/>
        <w:keepNext/>
        <w:spacing w:before="280"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 数据集与20维预测特征的衔接</w:t>
      </w:r>
    </w:p>
    <w:p w14:paraId="3A5BAC3B">
      <w:pPr>
        <w:spacing w:after="6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本报告生成的 kpi_timeseries.csv 是包含17列的基础长表，本身不是20维机器学习特征矩阵。后续由 w2_traditional_ml_kpi_prediction_features.py 读取四类 KPI 的标准化列，在同一 beam 内构造滞后特征；下表明确了20维输入的组成，以便追溯模型训练数据的来源。</w:t>
      </w:r>
    </w:p>
    <w:p w14:paraId="591FEEAA">
      <w:pPr>
        <w:pStyle w:val="4"/>
        <w:keepNext/>
        <w:spacing w:before="140"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8.1 输入字段定义</w:t>
      </w:r>
    </w:p>
    <w:tbl>
      <w:tblPr>
        <w:tblStyle w:val="32"/>
        <w:tblW w:w="0" w:type="auto"/>
        <w:jc w:val="center"/>
        <w:tblBorders>
          <w:top w:val="single" w:color="222222" w:sz="14" w:space="0"/>
          <w:left w:val="none" w:color="auto" w:sz="0" w:space="0"/>
          <w:bottom w:val="single" w:color="222222" w:sz="14" w:space="0"/>
          <w:right w:val="none" w:color="auto" w:sz="0" w:space="0"/>
          <w:insideH w:val="single" w:color="8A8A8A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483"/>
      </w:tblGrid>
      <w:tr w14:paraId="46F5CDF8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vAlign w:val="center"/>
          </w:tcPr>
          <w:p w14:paraId="1BFD506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4621" w:type="dxa"/>
            <w:vAlign w:val="center"/>
          </w:tcPr>
          <w:p w14:paraId="75E69EA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五个输入字段（均为 StandardScaler 结果）</w:t>
            </w:r>
          </w:p>
        </w:tc>
      </w:tr>
      <w:tr w14:paraId="517BD643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4FD1E6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7483" w:type="dxa"/>
            <w:vAlign w:val="center"/>
          </w:tcPr>
          <w:p w14:paraId="3DDDF7E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DLPRB_z_t / DLPRB_z_lag1 / DLPRB_z_lag2 / DLPRB_z_lag24 / DLPRB_z_lag168</w:t>
            </w:r>
          </w:p>
        </w:tc>
      </w:tr>
      <w:tr w14:paraId="7FE58456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81995D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7483" w:type="dxa"/>
            <w:vAlign w:val="center"/>
          </w:tcPr>
          <w:p w14:paraId="03B2DA3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DLThpVol_z_t / DLThpVol_z_lag1 / DLThpVol_z_lag2 / DLThpVol_z_lag24 / DLThpVol_z_lag168</w:t>
            </w:r>
          </w:p>
        </w:tc>
      </w:tr>
      <w:tr w14:paraId="764A8B2E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A4E1F5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7483" w:type="dxa"/>
            <w:vAlign w:val="center"/>
          </w:tcPr>
          <w:p w14:paraId="4101A1C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 xml:space="preserve">DLThpTime_z_t / DLThpTime_z_lag1 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/ DLThpTime_z_lag2 / DLThpTime_z_lag24 / DLThpTime_z_lag168</w:t>
            </w:r>
          </w:p>
        </w:tc>
      </w:tr>
      <w:tr w14:paraId="7BBF55BD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1B4C30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7483" w:type="dxa"/>
            <w:vAlign w:val="center"/>
          </w:tcPr>
          <w:p w14:paraId="4ADE2CD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MR_number_z_t / MR_number_z_lag1 / MR_number_z_lag2 / MR_number_z_lag24 / MR_number_z_lag168</w:t>
            </w:r>
          </w:p>
        </w:tc>
      </w:tr>
    </w:tbl>
    <w:p w14:paraId="66615A88">
      <w:pPr>
        <w:spacing w:after="6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其中“_z_t”表示当前时间 t 的标准化观测；“_z_lagk”表示同一 beam 在 t−k 时刻的标准化观测。四个 KPI × 每类五个时间点，共20维；模型以相应 KPI 在 t+1 的原始尺度数值为预测标签。</w:t>
      </w:r>
    </w:p>
    <w:p w14:paraId="3CA846D9">
      <w:pPr>
        <w:pStyle w:val="4"/>
        <w:keepNext/>
        <w:spacing w:before="140"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8.2 有效样本与时间约束</w:t>
      </w:r>
    </w:p>
    <w:tbl>
      <w:tblPr>
        <w:tblStyle w:val="32"/>
        <w:tblW w:w="0" w:type="auto"/>
        <w:jc w:val="center"/>
        <w:tblBorders>
          <w:top w:val="single" w:color="222222" w:sz="14" w:space="0"/>
          <w:left w:val="none" w:color="auto" w:sz="0" w:space="0"/>
          <w:bottom w:val="single" w:color="222222" w:sz="14" w:space="0"/>
          <w:right w:val="none" w:color="auto" w:sz="0" w:space="0"/>
          <w:insideH w:val="single" w:color="8A8A8A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984"/>
        <w:gridCol w:w="4706"/>
      </w:tblGrid>
      <w:tr w14:paraId="02D71279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vAlign w:val="center"/>
          </w:tcPr>
          <w:p w14:paraId="40FAA07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项目</w:t>
            </w:r>
          </w:p>
        </w:tc>
        <w:tc>
          <w:tcPr>
            <w:tcW w:w="3081" w:type="dxa"/>
            <w:vAlign w:val="center"/>
          </w:tcPr>
          <w:p w14:paraId="00320CB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范围或数量</w:t>
            </w:r>
          </w:p>
        </w:tc>
        <w:tc>
          <w:tcPr>
            <w:tcW w:w="3081" w:type="dxa"/>
            <w:vAlign w:val="center"/>
          </w:tcPr>
          <w:p w14:paraId="0758C50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说明</w:t>
            </w:r>
          </w:p>
        </w:tc>
      </w:tr>
      <w:tr w14:paraId="56E2D415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384921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有效特征时间</w:t>
            </w:r>
          </w:p>
        </w:tc>
        <w:tc>
          <w:tcPr>
            <w:tcW w:w="1984" w:type="dxa"/>
            <w:vAlign w:val="center"/>
          </w:tcPr>
          <w:p w14:paraId="66C5E10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168–838</w:t>
            </w:r>
          </w:p>
        </w:tc>
        <w:tc>
          <w:tcPr>
            <w:tcW w:w="4706" w:type="dxa"/>
            <w:vAlign w:val="center"/>
          </w:tcPr>
          <w:p w14:paraId="29F18FA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最长历史滞后168步，预测前向1步</w:t>
            </w:r>
          </w:p>
        </w:tc>
      </w:tr>
      <w:tr w14:paraId="6008EF9C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1CCA417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有效目标时间</w:t>
            </w:r>
          </w:p>
        </w:tc>
        <w:tc>
          <w:tcPr>
            <w:tcW w:w="1984" w:type="dxa"/>
            <w:vAlign w:val="center"/>
          </w:tcPr>
          <w:p w14:paraId="094FFD9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169–839</w:t>
            </w:r>
          </w:p>
        </w:tc>
        <w:tc>
          <w:tcPr>
            <w:tcW w:w="4706" w:type="dxa"/>
            <w:vAlign w:val="center"/>
          </w:tcPr>
          <w:p w14:paraId="6B2F44A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按目标时间判断训练集／测试集</w:t>
            </w:r>
          </w:p>
        </w:tc>
      </w:tr>
      <w:tr w14:paraId="3C7155BF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A5997D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有效训练样本</w:t>
            </w:r>
          </w:p>
        </w:tc>
        <w:tc>
          <w:tcPr>
            <w:tcW w:w="1984" w:type="dxa"/>
            <w:vAlign w:val="center"/>
          </w:tcPr>
          <w:p w14:paraId="49D3A46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1,448,640</w:t>
            </w:r>
          </w:p>
        </w:tc>
        <w:tc>
          <w:tcPr>
            <w:tcW w:w="4706" w:type="dxa"/>
            <w:vAlign w:val="center"/>
          </w:tcPr>
          <w:p w14:paraId="5923508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target_time &lt; 672</w:t>
            </w:r>
          </w:p>
        </w:tc>
      </w:tr>
      <w:tr w14:paraId="2F5390D8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6FB5736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留出测试样本</w:t>
            </w:r>
          </w:p>
        </w:tc>
        <w:tc>
          <w:tcPr>
            <w:tcW w:w="1984" w:type="dxa"/>
            <w:vAlign w:val="center"/>
          </w:tcPr>
          <w:p w14:paraId="4C808DF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4706" w:type="dxa"/>
            <w:vAlign w:val="center"/>
          </w:tcPr>
          <w:p w14:paraId="278ECFB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target_time ≥ 672</w:t>
            </w:r>
          </w:p>
        </w:tc>
      </w:tr>
    </w:tbl>
    <w:p w14:paraId="1F546467">
      <w:pPr>
        <w:spacing w:after="6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标准化器在原始训练时段 Time 0–671 上拟合，测试集不参与其参数估计；在后来补充的三折时间序列验证中，标准化器对每一折仅利用该折训练时间窗重新拟合。上述补充属于后续预测模块的数据构造与验证口径，并不改变本报告的原始数据审计结论。</w:t>
      </w:r>
    </w:p>
    <w:p w14:paraId="59525D2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9. 结论</w:t>
      </w:r>
    </w:p>
    <w:p w14:paraId="588046D7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本阶段完成了数据获取、质量审计、结构重构与两种缩放特征的生成。四份原始 KPI 的主要结构及数值检查均通过，得到包含2,419,200行、17列的基础时间序列数据集。在此基础上，后续特征工程针对每个 beam 按四种 KPI × 五个历史时间点构造20维输入，并建立以 t+1 为目标的1,932,480条有效样本。基础数据预处理与预测特征构造属于两个连续步骤，分别由相应脚本输出与验证。</w:t>
      </w:r>
    </w:p>
    <w:sectPr>
      <w:headerReference r:id="rId5" w:type="default"/>
      <w:footerReference r:id="rId6" w:type="default"/>
      <w:pgSz w:w="11906" w:h="16838"/>
      <w:pgMar w:top="1304" w:right="1332" w:bottom="1049" w:left="1332" w:header="737" w:footer="79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71925">
    <w:pPr>
      <w:pStyle w:val="24"/>
      <w:jc w:val="center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90979E"/>
        <w:sz w:val="15"/>
      </w:rPr>
      <w:t xml:space="preserve">第 </w:t>
    </w:r>
    <w:r>
      <w:rPr>
        <w:rFonts w:hint="default" w:ascii="Times New Roman" w:hAnsi="Times New Roman" w:eastAsia="宋体" w:cs="Times New Roman"/>
      </w:rPr>
      <w:fldChar w:fldCharType="begin"/>
    </w:r>
    <w:r>
      <w:rPr>
        <w:rFonts w:hint="default" w:ascii="Times New Roman" w:hAnsi="Times New Roman" w:eastAsia="宋体" w:cs="Times New Roman"/>
      </w:rPr>
      <w:instrText xml:space="preserve">PAGE</w:instrText>
    </w:r>
    <w:r>
      <w:rPr>
        <w:rFonts w:hint="default" w:ascii="Times New Roman" w:hAnsi="Times New Roman" w:eastAsia="宋体" w:cs="Times New Roman"/>
      </w:rPr>
      <w:fldChar w:fldCharType="separate"/>
    </w:r>
    <w:r>
      <w:rPr>
        <w:rFonts w:hint="default" w:ascii="Times New Roman" w:hAnsi="Times New Roman" w:eastAsia="宋体" w:cs="Times New Roman"/>
      </w:rPr>
      <w:fldChar w:fldCharType="end"/>
    </w:r>
    <w:r>
      <w:rPr>
        <w:rFonts w:hint="default" w:ascii="Times New Roman" w:hAnsi="Times New Roman" w:eastAsia="宋体" w:cs="Times New Roman"/>
        <w:color w:val="90979E"/>
        <w:sz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D419F">
    <w:pPr>
      <w:pStyle w:val="25"/>
      <w:jc w:val="right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858B95"/>
        <w:sz w:val="15"/>
      </w:rPr>
      <w:t>Week2|数据集统计分析报告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A755D0"/>
    <w:rsid w:val="14051707"/>
    <w:rsid w:val="20E42E2F"/>
    <w:rsid w:val="37D402E9"/>
    <w:rsid w:val="3DE37306"/>
    <w:rsid w:val="42383191"/>
    <w:rsid w:val="54EE318F"/>
    <w:rsid w:val="5553606B"/>
    <w:rsid w:val="656A6C87"/>
    <w:rsid w:val="6BC95325"/>
    <w:rsid w:val="7044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00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b/>
      <w:bCs/>
      <w:color w:val="163A5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b/>
      <w:bCs/>
      <w:color w:val="2F559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53D68"/>
      <w:sz w:val="2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60" w:line="240" w:lineRule="auto"/>
    </w:pPr>
    <w:rPr>
      <w:rFonts w:ascii="Noto Serif CJK SC" w:hAnsi="Noto Serif CJK SC" w:eastAsia="Noto Serif CJK SC"/>
      <w:bCs/>
      <w:color w:val="3F4C5A"/>
      <w:sz w:val="16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180" w:after="360" w:line="240" w:lineRule="auto"/>
      <w:contextualSpacing/>
    </w:pPr>
    <w:rPr>
      <w:rFonts w:asciiTheme="majorHAnsi" w:hAnsiTheme="majorHAnsi" w:eastAsiaTheme="majorEastAsia" w:cstheme="majorBidi"/>
      <w:b/>
      <w:color w:val="153D68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qFormat/>
    <w:uiPriority w:val="9"/>
    <w:rPr>
      <w:rFonts w:ascii="Times New Roman" w:hAnsi="Times New Roman" w:eastAsia="宋体" w:cs="Times New Roman"/>
      <w:b/>
      <w:bCs/>
      <w:color w:val="163A5F"/>
      <w:sz w:val="30"/>
      <w:szCs w:val="28"/>
      <w:lang w:val="en-US" w:eastAsia="en-US" w:bidi="ar-SA"/>
    </w:rPr>
  </w:style>
  <w:style w:type="character" w:customStyle="1" w:styleId="139">
    <w:name w:val="Heading 2 Char"/>
    <w:link w:val="4"/>
    <w:qFormat/>
    <w:uiPriority w:val="9"/>
    <w:rPr>
      <w:rFonts w:ascii="Times New Roman" w:hAnsi="Times New Roman" w:eastAsia="宋体" w:cs="Times New Roman"/>
      <w:b/>
      <w:bCs/>
      <w:color w:val="2F5597"/>
      <w:sz w:val="24"/>
      <w:szCs w:val="26"/>
      <w:lang w:val="en-US" w:eastAsia="en-US" w:bidi="ar-SA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Text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color w:val="4C5B6E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1699</Words>
  <Characters>3101</Characters>
  <Lines>0</Lines>
  <Paragraphs>0</Paragraphs>
  <TotalTime>7</TotalTime>
  <ScaleCrop>false</ScaleCrop>
  <LinksUpToDate>false</LinksUpToDate>
  <CharactersWithSpaces>3318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白鸟</cp:lastModifiedBy>
  <dcterms:modified xsi:type="dcterms:W3CDTF">2026-10-18T10:49:30Z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543255DB80FD4C27A4B46FE7CAA9D4E8_12</vt:lpwstr>
  </property>
</Properties>
</file>