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7B545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63E6B4EC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1"/>
          <w:lang w:eastAsia="zh-CN"/>
        </w:rPr>
      </w:pPr>
    </w:p>
    <w:p w14:paraId="071710FA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传统 ML 与 DL 模型对比分析</w:t>
      </w:r>
    </w:p>
    <w:p w14:paraId="4BEDAF9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传统机器学习基线与 LSTM、GRU、Transformer 的统一测试对比</w:t>
      </w:r>
    </w:p>
    <w:p w14:paraId="60DE94FF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数据集：gotsf-ds / 4 类 beam-level KPI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对比模型：Persistence、LR、DT、RF、XGBoost、LightGBM / LSTM、GRU、Transformer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评价指标：MAE / RMSE / R²</w:t>
      </w:r>
    </w:p>
    <w:p w14:paraId="5FB1B9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6AA3201">
      <w:pPr>
        <w:pStyle w:val="3"/>
        <w:bidi w:val="0"/>
        <w:rPr>
          <w:rFonts w:hint="default"/>
        </w:rPr>
      </w:pPr>
      <w:r>
        <w:rPr>
          <w:rFonts w:hint="default"/>
        </w:rPr>
        <w:t>1. 分析目的与评价方法</w:t>
      </w:r>
    </w:p>
    <w:p w14:paraId="25C7A9C5">
      <w:pPr>
        <w:bidi w:val="0"/>
        <w:rPr>
          <w:rFonts w:hint="default"/>
        </w:rPr>
      </w:pPr>
      <w:r>
        <w:rPr>
          <w:rFonts w:hint="default"/>
        </w:rPr>
        <w:t>本分析将第二阶段的传统机器学习结果作为基线，与第三阶段 LSTM、GRU、Transformer 的下一小时 KPI 预测结果作并列对比。比较在同一留出测试时段 Time 672–839、同样的 2880 beam 和原始 KPI 数值尺度下开展，关注误差、解释能力与不同模型之间的性能取舍。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07EA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DCF976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比较维度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3049D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 ML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2006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深度学习</w:t>
            </w:r>
          </w:p>
        </w:tc>
      </w:tr>
      <w:tr w14:paraId="4B4FF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CB8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F4AC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Persistence、LR、DT、RF、XGBoost、LightGBM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FBC3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LSTM、GRU、Transformer</w:t>
            </w:r>
          </w:p>
        </w:tc>
      </w:tr>
      <w:tr w14:paraId="11B51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A1555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输入特征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25C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四种 KPI ×（t,t−1,t−2,t−24,t−168）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FFC9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24 小时连续序列 + t−168 特征</w:t>
            </w:r>
          </w:p>
        </w:tc>
      </w:tr>
      <w:tr w14:paraId="01D6F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C4C3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训练样本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7105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1,448,640 行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6429B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抽样 60,000 窗口；另有验证 12,000</w:t>
            </w:r>
          </w:p>
        </w:tc>
      </w:tr>
      <w:tr w14:paraId="2AF79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8559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测试时段与规模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E0B7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672–839；483,840 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AC91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672–839；483,840 条</w:t>
            </w:r>
          </w:p>
        </w:tc>
      </w:tr>
      <w:tr w14:paraId="07D4A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C8CF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指标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A2E33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MAE、RMSE、R²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BDC8D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MAE、RMSE、R²</w:t>
            </w:r>
          </w:p>
        </w:tc>
      </w:tr>
    </w:tbl>
    <w:p w14:paraId="3F41F0A9">
      <w:pPr>
        <w:spacing w:after="20"/>
        <w:rPr>
          <w:rFonts w:hint="default" w:ascii="Times New Roman" w:hAnsi="Times New Roman" w:eastAsia="宋体" w:cs="Times New Roman"/>
        </w:rPr>
      </w:pPr>
    </w:p>
    <w:p w14:paraId="229C58B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报告中的“ML 最优”和“DL 最优”分别在各自模型组内、按每种 KPI 的对应指标选取。不同 KPI 的绝对误差不直接求和排序，误差改善率按（ML 最优误差−DL 最优误差）/ ML 最优误差计算；R² 比较采用差值。</w:t>
      </w:r>
    </w:p>
    <w:p w14:paraId="5D3F87B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最优模型对比结果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CCFE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4B5B5D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KPI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34B6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指标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5FF15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ML 最优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A61A5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最优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69B72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相对变化</w:t>
            </w:r>
          </w:p>
        </w:tc>
      </w:tr>
      <w:tr w14:paraId="1647E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92B2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03B8B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27170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0.2618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E537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0.2456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D17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+6.19%</w:t>
            </w:r>
          </w:p>
        </w:tc>
      </w:tr>
      <w:tr w14:paraId="172D7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83F3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BB52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A054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0.4937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AD0A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0.4689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88201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+5.03%</w:t>
            </w:r>
          </w:p>
        </w:tc>
      </w:tr>
      <w:tr w14:paraId="59DC3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40FC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8B31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C24E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0.7871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658A0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0.8080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3438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+0.0209</w:t>
            </w:r>
          </w:p>
        </w:tc>
      </w:tr>
      <w:tr w14:paraId="42159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F08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1C6F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8631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0.2076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41AA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0.2046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16EB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+1.46%</w:t>
            </w:r>
          </w:p>
        </w:tc>
      </w:tr>
      <w:tr w14:paraId="0F1AD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1CC7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5960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8CE8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0.4602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2A94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 0.4844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44A5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-5.26%</w:t>
            </w:r>
          </w:p>
        </w:tc>
      </w:tr>
      <w:tr w14:paraId="3CB7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4436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B4F6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DA8E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0.6153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FDEC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LSTM 0.5738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2E33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-0.0416</w:t>
            </w:r>
          </w:p>
        </w:tc>
      </w:tr>
      <w:tr w14:paraId="7C122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12FF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B6EF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00A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0.2436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B8DFB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0.2298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9A8F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+5.66%</w:t>
            </w:r>
          </w:p>
        </w:tc>
      </w:tr>
      <w:tr w14:paraId="430A6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EEBC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BC4F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4642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0.5245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484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0.5134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B189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+2.12%</w:t>
            </w:r>
          </w:p>
        </w:tc>
      </w:tr>
      <w:tr w14:paraId="4D4A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6CC4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14BE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620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0.7024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B975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0.7149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5F2D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+0.0125</w:t>
            </w:r>
          </w:p>
        </w:tc>
      </w:tr>
      <w:tr w14:paraId="00590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A91E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8105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DB79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 0.2248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E0EF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0.2097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176C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+6.71%</w:t>
            </w:r>
          </w:p>
        </w:tc>
      </w:tr>
      <w:tr w14:paraId="527E1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2387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AA0D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162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0.3956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BD51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0.3669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C8994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+7.27%</w:t>
            </w:r>
          </w:p>
        </w:tc>
      </w:tr>
      <w:tr w14:paraId="050A2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6860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D959C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87A43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RandomForest 0.8672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6C499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0.8858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E96B7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+0.0186</w:t>
            </w:r>
          </w:p>
        </w:tc>
      </w:tr>
    </w:tbl>
    <w:p w14:paraId="12EACEBD">
      <w:pPr>
        <w:spacing w:line="300" w:lineRule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</w:p>
    <w:p w14:paraId="5BCE5E85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93675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9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1753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图1 四类 KPI 的最佳传统 ML 与 GRU 测试 MAE 比较</w:t>
      </w:r>
    </w:p>
    <w:p w14:paraId="4E878E9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性能差异与结果解释</w:t>
      </w:r>
    </w:p>
    <w:p w14:paraId="4C431E5B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831975"/>
            <wp:effectExtent l="0" t="0" r="146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8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36DD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图2 深度学习最佳误差相对传统 ML 最佳误差的变化（负值表示退步）</w:t>
      </w:r>
    </w:p>
    <w:p w14:paraId="4E0F23D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在四类 KPI 的 MAE 指标上，GRU 均优于传统机器学习组内最佳模型：DLPRB 改善 6.19%，DLThpVol 改善 1.46%，DLThpTime 改善 5.66%，MR_number 改善 6.71%。对于 DLPRB、DLThpTime 与 MR_number，GRU 的 RMSE 亦较传统 ML 最优结果有所降低，R² 同时增加。</w:t>
      </w:r>
    </w:p>
    <w:p w14:paraId="7BC0635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DLThpVol 则展示了相反证据：深度学习组内 RMSE 最好的 LSTM 为 0.4844，仍高于 RandomForest 的 0.4602，意味着其最优深度学习 RMSE 相比传统 ML 增加约 5.26%；对应 R² 由 0.6153 降至 0.5738。不能仅根据四项 MAE 改善便称深度学习全面优于传统方法。</w:t>
      </w:r>
    </w:p>
    <w:p w14:paraId="2397112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模型选择的工程考虑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002E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326709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评价角度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69790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当前证据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90767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实际含义</w:t>
            </w:r>
          </w:p>
        </w:tc>
      </w:tr>
      <w:tr w14:paraId="15055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B8BC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优先降低典型绝对误差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D66F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GRU 的四种 KPI MAE 均为最低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03D8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可作为后续预测模块的优先候选</w:t>
            </w:r>
          </w:p>
        </w:tc>
      </w:tr>
      <w:tr w14:paraId="614EB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2064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关注大误差及流量尖峰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FEE6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DLThpVol 的 RF RMSE 优于所有 DL 模型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8287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需保留传统 ML 作为强基线</w:t>
            </w:r>
          </w:p>
        </w:tc>
      </w:tr>
      <w:tr w14:paraId="05700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E4B7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训练复杂度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BFAA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DL 本轮在 CPU 上训练；未做等算力计时比较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A349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不能推定部署性能或训练成本优劣</w:t>
            </w:r>
          </w:p>
        </w:tc>
      </w:tr>
      <w:tr w14:paraId="741A1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1B0C4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模型稳定性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2CE9E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 ML 有历史滚动验证；DL 尚未同协议回测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ED8BD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当前只支持单次留出期结论</w:t>
            </w:r>
          </w:p>
        </w:tc>
      </w:tr>
    </w:tbl>
    <w:p w14:paraId="472A9B3E">
      <w:pPr>
        <w:spacing w:line="300" w:lineRule="auto"/>
        <w:rPr>
          <w:rFonts w:hint="default" w:ascii="Times New Roman" w:hAnsi="Times New Roman" w:eastAsia="宋体" w:cs="Times New Roman"/>
          <w:b w:val="0"/>
          <w:color w:val="000000"/>
          <w:sz w:val="21"/>
        </w:rPr>
      </w:pPr>
    </w:p>
    <w:p w14:paraId="339248D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可比性限制与进一步验证</w:t>
      </w:r>
    </w:p>
    <w:p w14:paraId="3D5345A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虽然预测目标、测试时间与评价尺度相同，但传统 ML 使用约 144.86 万条训练样本及手工滞后特征，深度学习仅抽样训练 6 万个序列窗口、使用额外 24 小时连续历史输入，并通过内部验证早停。二者并非“相同训练数据与计算预算”的受控对比。当前结果仅说明现有实现及配置在该留出集上的实际表现。</w:t>
      </w:r>
    </w:p>
    <w:p w14:paraId="5327C8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建议在进一步实验中统一训练数据覆盖范围、固定多组随机种子，按目标时间滚动回测，并增加每时段误差分析、极端误差分位数和模型推理开销。对于 DLThpVol 尤其应区分一般时段和高变化时段的误差贡献。</w:t>
      </w:r>
    </w:p>
    <w:p w14:paraId="04A1601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传统机器学习基线的综合排序与稳健性证据</w:t>
      </w:r>
    </w:p>
    <w:p w14:paraId="72F61AA7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第二阶段已经在同一留出测试集上按每个 KPI 分别计算 MAE、RMSE 与 R²；先对传统学习模型在各 KPI、各指标内排名，再对12个名次等权平均，得到下表。此排名为描述性综合名次，并非统计检验，也不直接对不同 KPI 的误差绝对值求平均。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 w14:paraId="6CD2D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EC996C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综合排名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A6A32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传统ML模型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8C72E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MAE均名次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D0A94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RMSE均名次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8DEBA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R²均名次</w:t>
            </w:r>
          </w:p>
        </w:tc>
        <w:tc>
          <w:tcPr>
            <w:tcW w:w="15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52084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等权综合</w:t>
            </w:r>
          </w:p>
        </w:tc>
      </w:tr>
      <w:tr w14:paraId="30FB4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9813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2A40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Random Forest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4D3CAE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2.25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D08B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1.00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674D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1.00</w:t>
            </w:r>
          </w:p>
        </w:tc>
        <w:tc>
          <w:tcPr>
            <w:tcW w:w="15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D59E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1.417</w:t>
            </w:r>
          </w:p>
        </w:tc>
      </w:tr>
      <w:tr w14:paraId="1CECB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BE14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D720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XGBoost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1A39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722A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B423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CDDF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1.750</w:t>
            </w:r>
          </w:p>
        </w:tc>
      </w:tr>
      <w:tr w14:paraId="79DF8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D9EA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5E06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LightGBM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BABA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2.50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C69E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3E50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315D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3.000</w:t>
            </w:r>
          </w:p>
        </w:tc>
      </w:tr>
      <w:tr w14:paraId="032B4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20A5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23D0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Linear Regression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5D8ED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4.25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1676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84F7F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329B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4.083</w:t>
            </w:r>
          </w:p>
        </w:tc>
      </w:tr>
      <w:tr w14:paraId="6B5F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19CACC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B9C16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Decision Tree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57D0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A48B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27183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BF914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4.750</w:t>
            </w:r>
          </w:p>
        </w:tc>
      </w:tr>
    </w:tbl>
    <w:p w14:paraId="471D70B5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因此，在既定等权评价标准下，Random Forest 是传统 ML 的综合最优基线；XGBoost 在 MAE 维度有相对优势。该结论仅适用于已记录的模型配置和测试期。</w:t>
      </w:r>
    </w:p>
    <w:p w14:paraId="22502AAE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6.1 三折扩展窗口交叉验证（滚动起点回测）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3A201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E2E5B7B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折次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6CE916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模型训练目标时刻</w:t>
            </w:r>
          </w:p>
        </w:tc>
        <w:tc>
          <w:tcPr>
            <w:tcW w:w="25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A7A96A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验证目标时刻</w:t>
            </w:r>
          </w:p>
        </w:tc>
        <w:tc>
          <w:tcPr>
            <w:tcW w:w="16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942D63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验证窗口</w:t>
            </w:r>
          </w:p>
        </w:tc>
      </w:tr>
      <w:tr w14:paraId="19A18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D2068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1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64B7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169–383</w:t>
            </w:r>
          </w:p>
        </w:tc>
        <w:tc>
          <w:tcPr>
            <w:tcW w:w="25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3EFF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384–479</w:t>
            </w:r>
          </w:p>
        </w:tc>
        <w:tc>
          <w:tcPr>
            <w:tcW w:w="16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35769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  <w:tr w14:paraId="2304A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79324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2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DEF5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169–479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8721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480–575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454D1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  <w:tr w14:paraId="6E10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2C2067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Fold 3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E6D580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169–575</w:t>
            </w:r>
          </w:p>
        </w:tc>
        <w:tc>
          <w:tcPr>
            <w:tcW w:w="25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18D765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576–671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65B372">
            <w:pPr>
              <w:spacing w:line="300" w:lineRule="auto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</w:rPr>
              <w:t>96小时</w:t>
            </w:r>
          </w:p>
        </w:tc>
      </w:tr>
    </w:tbl>
    <w:p w14:paraId="52F23BB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每折只使用验证窗口之前的数据拟合模型，并在该折训练样本上重新拟合 StandardScaler。最终测试段672–839未参与三折验证；交叉验证和滚动回测在此指同一套扩展窗口时序实验。仓库已有24组模型×KPI的三折均值和标准差（validation/walkforward_summary.csv），未对深度学习模型执行同样的三折回测。</w:t>
      </w:r>
    </w:p>
    <w:p w14:paraId="0D91AFBD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 显著性检验的适用范围</w:t>
      </w:r>
    </w:p>
    <w:p w14:paraId="2CBAD723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传统模型内部已对 Random Forest、XGBoost 和 LightGBM 的每小时平均绝对/平方损失进行配对 Newey–West HAC 检验（带宽24），再以 Holm 方法校正多重比较。例如在 DLPRB 上，XGBoost 的 MAE 相对 RF 更低（Holm p≈5.23×10⁻⁶），而 RF 的平方损失更小（Holm p≈0.0235）。这些结论反映误差目标不同会改变优劣关系。</w:t>
      </w:r>
    </w:p>
    <w:p w14:paraId="4F035F01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上述显著性检验仅覆盖传统模型之间的比较；目前并无“GRU 相对 Random Forest / XGBoost 的显著性”分析。因此，深度学习取得的测试集 MAE 改善应表述为描述性效果，不应写成已通过显著性检验。</w:t>
      </w:r>
    </w:p>
    <w:p w14:paraId="275EADAC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6.3 超参数优化记录及比较限制</w:t>
      </w:r>
    </w:p>
    <w:p w14:paraId="0F819C5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当前传统 ML 主表使用固定候选参数；后续单独对 DLPRB 的 Random Forest 运行过 Optuna TPE 12次试验、抽样256个 beam，在三折验证上筛选出 n_estimators=137、max_depth=13、min_samples_leaf=9、max_features=sqrt、max_samples≈0.6981，最佳交叉验证 RMSE≈0.473700。该最佳参数尚未替换原主实验模型，也不能将此搜索记录扩展表述为全部传统模型均已自动调参。</w:t>
      </w:r>
    </w:p>
    <w:p w14:paraId="56FD1C49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考虑到深度学习仅使用60,000个随机训练窗口，而传统模型使用1,448,640条训练行，且二者特征表示与模型容量不同，建议第四阶段保留两套可切换后端，并在统一训练预算、多种种子和更严格预处理折内拟合的条件下再次比较。</w:t>
      </w:r>
    </w:p>
    <w:p w14:paraId="6B893F5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结论与可复现材料</w:t>
      </w:r>
    </w:p>
    <w:p w14:paraId="6B8E3B0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基于留出测试集，GRU 是目前四种 KPI 的 MAE 最优模型，但随机森林在 DLThpVol 的 RMSE、R² 上更好。因而当前更合理的系统设计是保留可切换的预测后端，以 GRU 作为首选候选，同时维护 RF / XGBoost 基线用于稳健性验证。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E400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sz w:val="18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0B8F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78C93"/>
        <w:sz w:val="16"/>
      </w:rPr>
      <w:t>Week3|传统ML与DL模型对比分析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B18FA"/>
    <w:rsid w:val="1B6D5BEA"/>
    <w:rsid w:val="2A8F53D3"/>
    <w:rsid w:val="33D93F7F"/>
    <w:rsid w:val="36771736"/>
    <w:rsid w:val="72B2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2063</Words>
  <Characters>3596</Characters>
  <Lines>0</Lines>
  <Paragraphs>0</Paragraphs>
  <TotalTime>1</TotalTime>
  <ScaleCrop>false</ScaleCrop>
  <LinksUpToDate>false</LinksUpToDate>
  <CharactersWithSpaces>3852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2026-10-18T13:11:44Z</dcterms:modified>
  <dc:subject>基于 AI 的 5G 网络关键性能指标预测与异常检测系统（压缩项目第三阶段）</dc:subject>
  <dc:title>传统 ML 与 DL 模型对比分析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F6262BD03BE4485EBB7A3DCFF4A0F653_12</vt:lpwstr>
  </property>
</Properties>
</file>