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EC0CD">
      <w:pPr>
        <w:spacing w:before="1600" w:after="80" w:line="300" w:lineRule="auto"/>
        <w:jc w:val="center"/>
        <w:rPr>
          <w:rFonts w:hint="default" w:ascii="Times New Roman" w:hAnsi="Times New Roman" w:eastAsia="宋体" w:cs="Times New Roman"/>
          <w:b/>
          <w:color w:val="2F5597"/>
          <w:sz w:val="32"/>
          <w:lang w:eastAsia="zh-CN"/>
        </w:rPr>
      </w:pPr>
      <w:r>
        <w:rPr>
          <w:rFonts w:hint="default" w:ascii="Times New Roman" w:hAnsi="Times New Roman" w:eastAsia="宋体" w:cs="Times New Roman"/>
          <w:b/>
          <w:color w:val="2F5597"/>
          <w:sz w:val="32"/>
          <w:lang w:eastAsia="zh-CN"/>
        </w:rPr>
        <w:t>基于 AI 的 5G 网络关键性能指标预测与异常检测系统</w:t>
      </w:r>
    </w:p>
    <w:p w14:paraId="7A56B78D">
      <w:pPr>
        <w:spacing w:before="360" w:after="80" w:line="300" w:lineRule="auto"/>
        <w:jc w:val="center"/>
        <w:rPr>
          <w:rFonts w:hint="default" w:ascii="Times New Roman" w:hAnsi="Times New Roman" w:eastAsia="宋体" w:cs="Times New Roman"/>
          <w:b w:val="0"/>
          <w:sz w:val="21"/>
          <w:lang w:eastAsia="zh-CN"/>
        </w:rPr>
      </w:pPr>
    </w:p>
    <w:p w14:paraId="0A1BB750">
      <w:pPr>
        <w:spacing w:before="360" w:after="80" w:line="300" w:lineRule="auto"/>
        <w:jc w:val="center"/>
        <w:rPr>
          <w:rFonts w:hint="default" w:ascii="Times New Roman" w:hAnsi="Times New Roman" w:eastAsia="宋体" w:cs="Times New Roman"/>
          <w:b/>
          <w:color w:val="163A5F"/>
          <w:sz w:val="50"/>
          <w:lang w:eastAsia="zh-CN"/>
        </w:rPr>
      </w:pPr>
      <w:r>
        <w:rPr>
          <w:rFonts w:hint="default" w:ascii="Times New Roman" w:hAnsi="Times New Roman" w:eastAsia="宋体" w:cs="Times New Roman"/>
          <w:b/>
          <w:color w:val="163A5F"/>
          <w:sz w:val="50"/>
          <w:lang w:eastAsia="zh-CN"/>
        </w:rPr>
        <w:t>异常检测结果报告</w:t>
      </w:r>
    </w:p>
    <w:p w14:paraId="606FA5F7">
      <w:pPr>
        <w:spacing w:before="700" w:after="80" w:line="300" w:lineRule="auto"/>
        <w:jc w:val="center"/>
        <w:rPr>
          <w:rFonts w:hint="default" w:ascii="Times New Roman" w:hAnsi="Times New Roman" w:eastAsia="宋体" w:cs="Times New Roman"/>
          <w:b w:val="0"/>
          <w:sz w:val="24"/>
        </w:rPr>
      </w:pPr>
      <w:r>
        <w:rPr>
          <w:rFonts w:hint="default" w:ascii="Times New Roman" w:hAnsi="Times New Roman" w:eastAsia="宋体" w:cs="Times New Roman"/>
          <w:b w:val="0"/>
          <w:sz w:val="24"/>
        </w:rPr>
        <w:t>3σ、IQR、Isolation Forest、One-Class SVM 与联合筛选</w:t>
      </w:r>
    </w:p>
    <w:p w14:paraId="38C3449F">
      <w:pPr>
        <w:spacing w:before="2000" w:after="80" w:line="300" w:lineRule="auto"/>
        <w:jc w:val="center"/>
        <w:rPr>
          <w:rFonts w:hint="default" w:ascii="Times New Roman" w:hAnsi="Times New Roman" w:eastAsia="宋体" w:cs="Times New Roman"/>
          <w:b w:val="0"/>
          <w:color w:val="5A5A5A"/>
          <w:sz w:val="20"/>
        </w:rPr>
      </w:pPr>
      <w:r>
        <w:rPr>
          <w:rFonts w:hint="default" w:ascii="Times New Roman" w:hAnsi="Times New Roman" w:eastAsia="宋体" w:cs="Times New Roman"/>
          <w:b w:val="0"/>
          <w:color w:val="5A5A5A"/>
          <w:sz w:val="20"/>
        </w:rPr>
        <w:t>数据集：gotsf-ds / 四类 KPI</w:t>
      </w:r>
      <w:r>
        <w:rPr>
          <w:rFonts w:hint="default" w:ascii="Times New Roman" w:hAnsi="Times New Roman" w:eastAsia="宋体" w:cs="Times New Roman"/>
          <w:b w:val="0"/>
          <w:color w:val="5A5A5A"/>
          <w:sz w:val="20"/>
        </w:rPr>
        <w:br w:type="textWrapping"/>
      </w:r>
      <w:r>
        <w:rPr>
          <w:rFonts w:hint="default" w:ascii="Times New Roman" w:hAnsi="Times New Roman" w:eastAsia="宋体" w:cs="Times New Roman"/>
          <w:b w:val="0"/>
          <w:color w:val="5A5A5A"/>
          <w:sz w:val="20"/>
        </w:rPr>
        <w:t>测试范围：Time 672–839；2,880 beam × 168 小时</w:t>
      </w:r>
      <w:r>
        <w:rPr>
          <w:rFonts w:hint="default" w:ascii="Times New Roman" w:hAnsi="Times New Roman" w:eastAsia="宋体" w:cs="Times New Roman"/>
          <w:b w:val="0"/>
          <w:color w:val="5A5A5A"/>
          <w:sz w:val="20"/>
        </w:rPr>
        <w:br w:type="textWrapping"/>
      </w:r>
      <w:r>
        <w:rPr>
          <w:rFonts w:hint="default" w:ascii="Times New Roman" w:hAnsi="Times New Roman" w:eastAsia="宋体" w:cs="Times New Roman"/>
          <w:b w:val="0"/>
          <w:color w:val="5A5A5A"/>
          <w:sz w:val="20"/>
        </w:rPr>
        <w:t>检测方法：3σ / IQR / Isolation Forest / One-Class SVM</w:t>
      </w:r>
      <w:r>
        <w:rPr>
          <w:rFonts w:hint="default" w:ascii="Times New Roman" w:hAnsi="Times New Roman" w:eastAsia="宋体" w:cs="Times New Roman"/>
          <w:b w:val="0"/>
          <w:color w:val="5A5A5A"/>
          <w:sz w:val="20"/>
        </w:rPr>
        <w:br w:type="textWrapping"/>
      </w:r>
    </w:p>
    <w:p w14:paraId="187A415E">
      <w:pPr>
        <w:rPr>
          <w:rFonts w:hint="default" w:ascii="Times New Roman" w:hAnsi="Times New Roman" w:eastAsia="宋体" w:cs="Times New Roman"/>
        </w:rPr>
      </w:pPr>
      <w:r>
        <w:rPr>
          <w:rFonts w:hint="default" w:ascii="Times New Roman" w:hAnsi="Times New Roman" w:eastAsia="宋体" w:cs="Times New Roman"/>
        </w:rPr>
        <w:br w:type="page"/>
      </w:r>
    </w:p>
    <w:p w14:paraId="35320EA3">
      <w:pPr>
        <w:pStyle w:val="3"/>
        <w:bidi w:val="0"/>
        <w:rPr>
          <w:rFonts w:hint="default"/>
        </w:rPr>
      </w:pPr>
      <w:r>
        <w:rPr>
          <w:rFonts w:hint="default"/>
        </w:rPr>
        <w:t>1. 实验目的与检测对象</w:t>
      </w:r>
    </w:p>
    <w:p w14:paraId="0DAE319C">
      <w:pPr>
        <w:bidi w:val="0"/>
        <w:rPr>
          <w:rFonts w:hint="default"/>
        </w:rPr>
      </w:pPr>
      <w:r>
        <w:rPr>
          <w:rFonts w:hint="default"/>
        </w:rPr>
        <w:t>本实验面向 5G beam 级 KPI 时间序列，采用统计阈值方法与无监督机器学习方法筛选偏离历史正常观测分布的记录，并分析异常标记在测试时间上的变化。数据集中没有经过故障工单核验的真实异常标签，因此结果均称为“疑似异常候选”，不作为真实故障发生率。</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442830DE">
        <w:tblPrEx>
          <w:tblCellMar>
            <w:top w:w="0" w:type="dxa"/>
            <w:left w:w="108" w:type="dxa"/>
            <w:bottom w:w="0" w:type="dxa"/>
            <w:right w:w="108" w:type="dxa"/>
          </w:tblCellMar>
        </w:tblPrEx>
        <w:trPr>
          <w:tblHeader/>
          <w:jc w:val="center"/>
        </w:trPr>
        <w:tc>
          <w:tcPr>
            <w:tcW w:w="3081" w:type="dxa"/>
            <w:tcBorders>
              <w:top w:val="single" w:color="000000" w:sz="12" w:space="0"/>
              <w:left w:val="nil"/>
              <w:bottom w:val="single" w:color="000000" w:sz="4" w:space="0"/>
              <w:right w:val="nil"/>
              <w:tl2br w:val="nil"/>
            </w:tcBorders>
            <w:shd w:val="clear" w:color="auto" w:fill="FFFFFF"/>
            <w:vAlign w:val="center"/>
          </w:tcPr>
          <w:p w14:paraId="02D5CBC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项目</w:t>
            </w:r>
          </w:p>
        </w:tc>
        <w:tc>
          <w:tcPr>
            <w:tcW w:w="3081" w:type="dxa"/>
            <w:tcBorders>
              <w:top w:val="single" w:color="000000" w:sz="12" w:space="0"/>
              <w:left w:val="nil"/>
              <w:bottom w:val="single" w:color="000000" w:sz="4" w:space="0"/>
              <w:right w:val="nil"/>
            </w:tcBorders>
            <w:shd w:val="clear" w:color="auto" w:fill="FFFFFF"/>
            <w:vAlign w:val="center"/>
          </w:tcPr>
          <w:p w14:paraId="77F702A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设置</w:t>
            </w:r>
          </w:p>
        </w:tc>
        <w:tc>
          <w:tcPr>
            <w:tcW w:w="3081" w:type="dxa"/>
            <w:tcBorders>
              <w:top w:val="single" w:color="000000" w:sz="12" w:space="0"/>
              <w:left w:val="nil"/>
              <w:bottom w:val="single" w:color="000000" w:sz="4" w:space="0"/>
              <w:right w:val="nil"/>
            </w:tcBorders>
            <w:shd w:val="clear" w:color="auto" w:fill="FFFFFF"/>
            <w:vAlign w:val="center"/>
          </w:tcPr>
          <w:p w14:paraId="1C174AF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说明</w:t>
            </w:r>
          </w:p>
        </w:tc>
      </w:tr>
      <w:tr w14:paraId="139D1190">
        <w:tblPrEx>
          <w:tblCellMar>
            <w:top w:w="0" w:type="dxa"/>
            <w:left w:w="108" w:type="dxa"/>
            <w:bottom w:w="0" w:type="dxa"/>
            <w:right w:w="108" w:type="dxa"/>
          </w:tblCellMar>
        </w:tblPrEx>
        <w:trPr>
          <w:jc w:val="center"/>
        </w:trPr>
        <w:tc>
          <w:tcPr>
            <w:tcW w:w="3081" w:type="dxa"/>
            <w:tcBorders>
              <w:top w:val="single" w:color="000000" w:sz="4" w:space="0"/>
              <w:left w:val="nil"/>
              <w:bottom w:val="nil"/>
              <w:right w:val="nil"/>
            </w:tcBorders>
            <w:shd w:val="clear" w:color="auto" w:fill="FFFFFF"/>
            <w:vAlign w:val="center"/>
          </w:tcPr>
          <w:p w14:paraId="2D6E72F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3081" w:type="dxa"/>
            <w:tcBorders>
              <w:top w:val="single" w:color="000000" w:sz="4" w:space="0"/>
              <w:left w:val="nil"/>
              <w:bottom w:val="nil"/>
              <w:right w:val="nil"/>
            </w:tcBorders>
            <w:shd w:val="clear" w:color="auto" w:fill="FFFFFF"/>
            <w:vAlign w:val="center"/>
          </w:tcPr>
          <w:p w14:paraId="7ED51B4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 / DLThpVol / DLThpTime / MR_number</w:t>
            </w:r>
          </w:p>
        </w:tc>
        <w:tc>
          <w:tcPr>
            <w:tcW w:w="3081" w:type="dxa"/>
            <w:tcBorders>
              <w:top w:val="single" w:color="000000" w:sz="4" w:space="0"/>
              <w:left w:val="nil"/>
              <w:bottom w:val="nil"/>
              <w:right w:val="nil"/>
            </w:tcBorders>
            <w:shd w:val="clear" w:color="auto" w:fill="FFFFFF"/>
            <w:vAlign w:val="center"/>
          </w:tcPr>
          <w:p w14:paraId="12142C4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同一 beam-hour 的四维观测</w:t>
            </w:r>
          </w:p>
        </w:tc>
      </w:tr>
      <w:tr w14:paraId="42106B64">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4F7E982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训练时段</w:t>
            </w:r>
          </w:p>
        </w:tc>
        <w:tc>
          <w:tcPr>
            <w:tcW w:w="3081" w:type="dxa"/>
            <w:tcBorders>
              <w:top w:val="nil"/>
              <w:left w:val="nil"/>
              <w:bottom w:val="nil"/>
              <w:right w:val="nil"/>
            </w:tcBorders>
            <w:shd w:val="clear" w:color="auto" w:fill="FFFFFF"/>
            <w:vAlign w:val="center"/>
          </w:tcPr>
          <w:p w14:paraId="1AA589F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0–671</w:t>
            </w:r>
          </w:p>
        </w:tc>
        <w:tc>
          <w:tcPr>
            <w:tcW w:w="3081" w:type="dxa"/>
            <w:tcBorders>
              <w:top w:val="nil"/>
              <w:left w:val="nil"/>
              <w:bottom w:val="nil"/>
              <w:right w:val="nil"/>
            </w:tcBorders>
            <w:shd w:val="clear" w:color="auto" w:fill="FFFFFF"/>
            <w:vAlign w:val="center"/>
          </w:tcPr>
          <w:p w14:paraId="6472DD2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672 小时，拟合阈值和模型</w:t>
            </w:r>
          </w:p>
        </w:tc>
      </w:tr>
      <w:tr w14:paraId="78C97E8E">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7A0D8DE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测试时段</w:t>
            </w:r>
          </w:p>
        </w:tc>
        <w:tc>
          <w:tcPr>
            <w:tcW w:w="3081" w:type="dxa"/>
            <w:tcBorders>
              <w:top w:val="nil"/>
              <w:left w:val="nil"/>
              <w:bottom w:val="nil"/>
              <w:right w:val="nil"/>
            </w:tcBorders>
            <w:shd w:val="clear" w:color="auto" w:fill="FFFFFF"/>
            <w:vAlign w:val="center"/>
          </w:tcPr>
          <w:p w14:paraId="45EF8C4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672–839</w:t>
            </w:r>
          </w:p>
        </w:tc>
        <w:tc>
          <w:tcPr>
            <w:tcW w:w="3081" w:type="dxa"/>
            <w:tcBorders>
              <w:top w:val="nil"/>
              <w:left w:val="nil"/>
              <w:bottom w:val="nil"/>
              <w:right w:val="nil"/>
            </w:tcBorders>
            <w:shd w:val="clear" w:color="auto" w:fill="FFFFFF"/>
            <w:vAlign w:val="center"/>
          </w:tcPr>
          <w:p w14:paraId="3017603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168 小时，合计 483,840 beam-hour</w:t>
            </w:r>
          </w:p>
        </w:tc>
      </w:tr>
      <w:tr w14:paraId="19DD7AA8">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27872C9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Isolation Forest</w:t>
            </w:r>
          </w:p>
        </w:tc>
        <w:tc>
          <w:tcPr>
            <w:tcW w:w="3081" w:type="dxa"/>
            <w:tcBorders>
              <w:top w:val="nil"/>
              <w:left w:val="nil"/>
              <w:bottom w:val="nil"/>
              <w:right w:val="nil"/>
            </w:tcBorders>
            <w:shd w:val="clear" w:color="auto" w:fill="FFFFFF"/>
            <w:vAlign w:val="center"/>
          </w:tcPr>
          <w:p w14:paraId="0E49D6C0">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8 维特征 / 80,000 训练样本</w:t>
            </w:r>
          </w:p>
        </w:tc>
        <w:tc>
          <w:tcPr>
            <w:tcW w:w="3081" w:type="dxa"/>
            <w:tcBorders>
              <w:top w:val="nil"/>
              <w:left w:val="nil"/>
              <w:bottom w:val="nil"/>
              <w:right w:val="nil"/>
            </w:tcBorders>
            <w:shd w:val="clear" w:color="auto" w:fill="FFFFFF"/>
            <w:vAlign w:val="center"/>
          </w:tcPr>
          <w:p w14:paraId="7E40259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四个 KPI 标准化值及一阶差分</w:t>
            </w:r>
          </w:p>
        </w:tc>
      </w:tr>
      <w:tr w14:paraId="202D1CF1">
        <w:tblPrEx>
          <w:tblCellMar>
            <w:top w:w="0" w:type="dxa"/>
            <w:left w:w="108" w:type="dxa"/>
            <w:bottom w:w="0" w:type="dxa"/>
            <w:right w:w="108" w:type="dxa"/>
          </w:tblCellMar>
        </w:tblPrEx>
        <w:trPr>
          <w:jc w:val="center"/>
        </w:trPr>
        <w:tc>
          <w:tcPr>
            <w:tcW w:w="3081" w:type="dxa"/>
            <w:tcBorders>
              <w:top w:val="nil"/>
              <w:left w:val="nil"/>
              <w:bottom w:val="single" w:color="000000" w:sz="12" w:space="0"/>
              <w:right w:val="nil"/>
            </w:tcBorders>
            <w:shd w:val="clear" w:color="auto" w:fill="FFFFFF"/>
            <w:vAlign w:val="center"/>
          </w:tcPr>
          <w:p w14:paraId="40F2991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One-Class SVM</w:t>
            </w:r>
          </w:p>
        </w:tc>
        <w:tc>
          <w:tcPr>
            <w:tcW w:w="3081" w:type="dxa"/>
            <w:tcBorders>
              <w:top w:val="nil"/>
              <w:left w:val="nil"/>
              <w:bottom w:val="single" w:color="000000" w:sz="12" w:space="0"/>
              <w:right w:val="nil"/>
            </w:tcBorders>
            <w:shd w:val="clear" w:color="auto" w:fill="FFFFFF"/>
            <w:vAlign w:val="center"/>
          </w:tcPr>
          <w:p w14:paraId="7C6C0AF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2,500 训练 / 12,000 测试子样本</w:t>
            </w:r>
          </w:p>
        </w:tc>
        <w:tc>
          <w:tcPr>
            <w:tcW w:w="3081" w:type="dxa"/>
            <w:tcBorders>
              <w:top w:val="nil"/>
              <w:left w:val="nil"/>
              <w:bottom w:val="single" w:color="000000" w:sz="12" w:space="0"/>
              <w:right w:val="nil"/>
            </w:tcBorders>
            <w:shd w:val="clear" w:color="auto" w:fill="FFFFFF"/>
            <w:vAlign w:val="center"/>
          </w:tcPr>
          <w:p w14:paraId="325CDFA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RBF 核；单独注明抽样口径</w:t>
            </w:r>
          </w:p>
        </w:tc>
      </w:tr>
    </w:tbl>
    <w:p w14:paraId="2CD70F6B">
      <w:pPr>
        <w:pStyle w:val="3"/>
        <w:rPr>
          <w:rFonts w:hint="default" w:ascii="Times New Roman" w:hAnsi="Times New Roman" w:eastAsia="宋体" w:cs="Times New Roman"/>
        </w:rPr>
      </w:pPr>
      <w:r>
        <w:rPr>
          <w:rFonts w:hint="default" w:ascii="Times New Roman" w:hAnsi="Times New Roman" w:eastAsia="宋体" w:cs="Times New Roman"/>
        </w:rPr>
        <w:t>2. 异常检测算法与联合判定规则</w:t>
      </w:r>
    </w:p>
    <w:p w14:paraId="1D941CE5">
      <w:pPr>
        <w:rPr>
          <w:rFonts w:hint="default" w:ascii="Times New Roman" w:hAnsi="Times New Roman" w:eastAsia="宋体" w:cs="Times New Roman"/>
        </w:rPr>
      </w:pPr>
      <w:r>
        <w:rPr>
          <w:rFonts w:hint="default" w:ascii="Times New Roman" w:hAnsi="Times New Roman" w:eastAsia="宋体" w:cs="Times New Roman"/>
        </w:rPr>
        <w:t>3σ 方法使用各 beam 在训练时段的 KPI 均值与标准差，任一 KPI 超过 3 倍标准差即标记该 beam-hour；IQR 方法使用各 beam 训练期的四分位数和 1.5×IQR 围栏，任一 KPI 越界即标记。Isolation Forest 使用当前四 KPI 与其一阶差分组成的 8 维特征，训练配置中的 contamination=0.02 是算法设计先验而非真实异常发生率。One-Class SVM 在抽样测试子集上评估。</w:t>
      </w:r>
    </w:p>
    <w:p w14:paraId="37AE9806">
      <w:pPr>
        <w:rPr>
          <w:rFonts w:hint="default" w:ascii="Times New Roman" w:hAnsi="Times New Roman" w:eastAsia="宋体" w:cs="Times New Roman"/>
        </w:rPr>
      </w:pPr>
      <w:r>
        <w:rPr>
          <w:rFonts w:hint="default" w:ascii="Times New Roman" w:hAnsi="Times New Roman" w:eastAsia="宋体" w:cs="Times New Roman"/>
        </w:rPr>
        <w:t>联合筛选规则为：Isolation Forest 标记 AND（3σ 标记 OR IQR 标记）。此规则要求同时出现多变量检测信号和至少一种单变量统计异常，旨在构造较高优先级的人工排查队列，并不等于已验证的故障分类器。</w:t>
      </w:r>
    </w:p>
    <w:p w14:paraId="5429053C">
      <w:pPr>
        <w:pStyle w:val="3"/>
        <w:rPr>
          <w:rFonts w:hint="default" w:ascii="Times New Roman" w:hAnsi="Times New Roman" w:eastAsia="宋体" w:cs="Times New Roman"/>
        </w:rPr>
      </w:pPr>
      <w:r>
        <w:rPr>
          <w:rFonts w:hint="default" w:ascii="Times New Roman" w:hAnsi="Times New Roman" w:eastAsia="宋体" w:cs="Times New Roman"/>
        </w:rPr>
        <w:t>3. 四种方法的检测结果</w:t>
      </w:r>
    </w:p>
    <w:tbl>
      <w:tblPr>
        <w:tblStyle w:val="32"/>
        <w:tblW w:w="0" w:type="auto"/>
        <w:jc w:val="center"/>
        <w:tblLayout w:type="autofit"/>
        <w:tblCellMar>
          <w:top w:w="0" w:type="dxa"/>
          <w:left w:w="108" w:type="dxa"/>
          <w:bottom w:w="0" w:type="dxa"/>
          <w:right w:w="108" w:type="dxa"/>
        </w:tblCellMar>
      </w:tblPr>
      <w:tblGrid>
        <w:gridCol w:w="1848"/>
        <w:gridCol w:w="1848"/>
        <w:gridCol w:w="1848"/>
        <w:gridCol w:w="1848"/>
        <w:gridCol w:w="1848"/>
      </w:tblGrid>
      <w:tr w14:paraId="79E44566">
        <w:tblPrEx>
          <w:tblCellMar>
            <w:top w:w="0" w:type="dxa"/>
            <w:left w:w="108" w:type="dxa"/>
            <w:bottom w:w="0" w:type="dxa"/>
            <w:right w:w="108" w:type="dxa"/>
          </w:tblCellMar>
        </w:tblPrEx>
        <w:trPr>
          <w:tblHeader/>
          <w:jc w:val="center"/>
        </w:trPr>
        <w:tc>
          <w:tcPr>
            <w:tcW w:w="1848" w:type="dxa"/>
            <w:tcBorders>
              <w:top w:val="single" w:color="000000" w:sz="12" w:space="0"/>
              <w:left w:val="nil"/>
              <w:bottom w:val="single" w:color="000000" w:sz="4" w:space="0"/>
              <w:right w:val="nil"/>
              <w:tl2br w:val="nil"/>
            </w:tcBorders>
            <w:shd w:val="clear" w:color="auto" w:fill="FFFFFF"/>
            <w:vAlign w:val="center"/>
          </w:tcPr>
          <w:p w14:paraId="6E3239E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方法</w:t>
            </w:r>
          </w:p>
        </w:tc>
        <w:tc>
          <w:tcPr>
            <w:tcW w:w="1848" w:type="dxa"/>
            <w:tcBorders>
              <w:top w:val="single" w:color="000000" w:sz="12" w:space="0"/>
              <w:left w:val="nil"/>
              <w:bottom w:val="single" w:color="000000" w:sz="4" w:space="0"/>
              <w:right w:val="nil"/>
            </w:tcBorders>
            <w:shd w:val="clear" w:color="auto" w:fill="FFFFFF"/>
            <w:vAlign w:val="center"/>
          </w:tcPr>
          <w:p w14:paraId="52867FB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测试量</w:t>
            </w:r>
          </w:p>
        </w:tc>
        <w:tc>
          <w:tcPr>
            <w:tcW w:w="1848" w:type="dxa"/>
            <w:tcBorders>
              <w:top w:val="single" w:color="000000" w:sz="12" w:space="0"/>
              <w:left w:val="nil"/>
              <w:bottom w:val="single" w:color="000000" w:sz="4" w:space="0"/>
              <w:right w:val="nil"/>
            </w:tcBorders>
            <w:shd w:val="clear" w:color="auto" w:fill="FFFFFF"/>
            <w:vAlign w:val="center"/>
          </w:tcPr>
          <w:p w14:paraId="24D202F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标记数</w:t>
            </w:r>
          </w:p>
        </w:tc>
        <w:tc>
          <w:tcPr>
            <w:tcW w:w="1848" w:type="dxa"/>
            <w:tcBorders>
              <w:top w:val="single" w:color="000000" w:sz="12" w:space="0"/>
              <w:left w:val="nil"/>
              <w:bottom w:val="single" w:color="000000" w:sz="4" w:space="0"/>
              <w:right w:val="nil"/>
            </w:tcBorders>
            <w:shd w:val="clear" w:color="auto" w:fill="FFFFFF"/>
            <w:vAlign w:val="center"/>
          </w:tcPr>
          <w:p w14:paraId="6CDD1A4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标记率</w:t>
            </w:r>
          </w:p>
        </w:tc>
        <w:tc>
          <w:tcPr>
            <w:tcW w:w="1848" w:type="dxa"/>
            <w:tcBorders>
              <w:top w:val="single" w:color="000000" w:sz="12" w:space="0"/>
              <w:left w:val="nil"/>
              <w:bottom w:val="single" w:color="000000" w:sz="4" w:space="0"/>
              <w:right w:val="nil"/>
            </w:tcBorders>
            <w:shd w:val="clear" w:color="auto" w:fill="FFFFFF"/>
            <w:vAlign w:val="center"/>
          </w:tcPr>
          <w:p w14:paraId="72D9C05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范围</w:t>
            </w:r>
          </w:p>
        </w:tc>
      </w:tr>
      <w:tr w14:paraId="55B305CF">
        <w:tblPrEx>
          <w:tblCellMar>
            <w:top w:w="0" w:type="dxa"/>
            <w:left w:w="108" w:type="dxa"/>
            <w:bottom w:w="0" w:type="dxa"/>
            <w:right w:w="108" w:type="dxa"/>
          </w:tblCellMar>
        </w:tblPrEx>
        <w:trPr>
          <w:jc w:val="center"/>
        </w:trPr>
        <w:tc>
          <w:tcPr>
            <w:tcW w:w="1848" w:type="dxa"/>
            <w:tcBorders>
              <w:top w:val="single" w:color="000000" w:sz="4" w:space="0"/>
              <w:left w:val="nil"/>
              <w:bottom w:val="nil"/>
              <w:right w:val="nil"/>
            </w:tcBorders>
            <w:shd w:val="clear" w:color="auto" w:fill="FFFFFF"/>
            <w:vAlign w:val="center"/>
          </w:tcPr>
          <w:p w14:paraId="53A082E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3σ</w:t>
            </w:r>
          </w:p>
        </w:tc>
        <w:tc>
          <w:tcPr>
            <w:tcW w:w="1848" w:type="dxa"/>
            <w:tcBorders>
              <w:top w:val="single" w:color="000000" w:sz="4" w:space="0"/>
              <w:left w:val="nil"/>
              <w:bottom w:val="nil"/>
              <w:right w:val="nil"/>
            </w:tcBorders>
            <w:shd w:val="clear" w:color="auto" w:fill="FFFFFF"/>
            <w:vAlign w:val="center"/>
          </w:tcPr>
          <w:p w14:paraId="6D26C19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w:t>
            </w:r>
          </w:p>
        </w:tc>
        <w:tc>
          <w:tcPr>
            <w:tcW w:w="1848" w:type="dxa"/>
            <w:tcBorders>
              <w:top w:val="single" w:color="000000" w:sz="4" w:space="0"/>
              <w:left w:val="nil"/>
              <w:bottom w:val="nil"/>
              <w:right w:val="nil"/>
            </w:tcBorders>
            <w:shd w:val="clear" w:color="auto" w:fill="FFFFFF"/>
            <w:vAlign w:val="center"/>
          </w:tcPr>
          <w:p w14:paraId="0A6A0EA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22,059</w:t>
            </w:r>
          </w:p>
        </w:tc>
        <w:tc>
          <w:tcPr>
            <w:tcW w:w="1848" w:type="dxa"/>
            <w:tcBorders>
              <w:top w:val="single" w:color="000000" w:sz="4" w:space="0"/>
              <w:left w:val="nil"/>
              <w:bottom w:val="nil"/>
              <w:right w:val="nil"/>
            </w:tcBorders>
            <w:shd w:val="clear" w:color="auto" w:fill="FFFFFF"/>
            <w:vAlign w:val="center"/>
          </w:tcPr>
          <w:p w14:paraId="48B28CD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4.56%</w:t>
            </w:r>
          </w:p>
        </w:tc>
        <w:tc>
          <w:tcPr>
            <w:tcW w:w="1848" w:type="dxa"/>
            <w:tcBorders>
              <w:top w:val="single" w:color="000000" w:sz="4" w:space="0"/>
              <w:left w:val="nil"/>
              <w:bottom w:val="nil"/>
              <w:right w:val="nil"/>
            </w:tcBorders>
            <w:shd w:val="clear" w:color="auto" w:fill="FFFFFF"/>
            <w:vAlign w:val="center"/>
          </w:tcPr>
          <w:p w14:paraId="525270E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w:t>
            </w:r>
          </w:p>
        </w:tc>
      </w:tr>
      <w:tr w14:paraId="31F59C23">
        <w:tblPrEx>
          <w:tblCellMar>
            <w:top w:w="0" w:type="dxa"/>
            <w:left w:w="108" w:type="dxa"/>
            <w:bottom w:w="0" w:type="dxa"/>
            <w:right w:w="108" w:type="dxa"/>
          </w:tblCellMar>
        </w:tblPrEx>
        <w:trPr>
          <w:jc w:val="center"/>
        </w:trPr>
        <w:tc>
          <w:tcPr>
            <w:tcW w:w="1848" w:type="dxa"/>
            <w:tcBorders>
              <w:top w:val="nil"/>
              <w:left w:val="nil"/>
              <w:bottom w:val="nil"/>
              <w:right w:val="nil"/>
            </w:tcBorders>
            <w:shd w:val="clear" w:color="auto" w:fill="FFFFFF"/>
            <w:vAlign w:val="center"/>
          </w:tcPr>
          <w:p w14:paraId="575535F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IQR</w:t>
            </w:r>
          </w:p>
        </w:tc>
        <w:tc>
          <w:tcPr>
            <w:tcW w:w="1848" w:type="dxa"/>
            <w:tcBorders>
              <w:top w:val="nil"/>
              <w:left w:val="nil"/>
              <w:bottom w:val="nil"/>
              <w:right w:val="nil"/>
            </w:tcBorders>
            <w:shd w:val="clear" w:color="auto" w:fill="FFFFFF"/>
            <w:vAlign w:val="center"/>
          </w:tcPr>
          <w:p w14:paraId="2405CC93">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w:t>
            </w:r>
          </w:p>
        </w:tc>
        <w:tc>
          <w:tcPr>
            <w:tcW w:w="1848" w:type="dxa"/>
            <w:tcBorders>
              <w:top w:val="nil"/>
              <w:left w:val="nil"/>
              <w:bottom w:val="nil"/>
              <w:right w:val="nil"/>
            </w:tcBorders>
            <w:shd w:val="clear" w:color="auto" w:fill="FFFFFF"/>
            <w:vAlign w:val="center"/>
          </w:tcPr>
          <w:p w14:paraId="3E78CF1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51,318</w:t>
            </w:r>
          </w:p>
        </w:tc>
        <w:tc>
          <w:tcPr>
            <w:tcW w:w="1848" w:type="dxa"/>
            <w:tcBorders>
              <w:top w:val="nil"/>
              <w:left w:val="nil"/>
              <w:bottom w:val="nil"/>
              <w:right w:val="nil"/>
            </w:tcBorders>
            <w:shd w:val="clear" w:color="auto" w:fill="FFFFFF"/>
            <w:vAlign w:val="center"/>
          </w:tcPr>
          <w:p w14:paraId="775576C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10.61%</w:t>
            </w:r>
          </w:p>
        </w:tc>
        <w:tc>
          <w:tcPr>
            <w:tcW w:w="1848" w:type="dxa"/>
            <w:tcBorders>
              <w:top w:val="nil"/>
              <w:left w:val="nil"/>
              <w:bottom w:val="nil"/>
              <w:right w:val="nil"/>
            </w:tcBorders>
            <w:shd w:val="clear" w:color="auto" w:fill="FFFFFF"/>
            <w:vAlign w:val="center"/>
          </w:tcPr>
          <w:p w14:paraId="58A3D21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w:t>
            </w:r>
          </w:p>
        </w:tc>
      </w:tr>
      <w:tr w14:paraId="5B879220">
        <w:tblPrEx>
          <w:tblCellMar>
            <w:top w:w="0" w:type="dxa"/>
            <w:left w:w="108" w:type="dxa"/>
            <w:bottom w:w="0" w:type="dxa"/>
            <w:right w:w="108" w:type="dxa"/>
          </w:tblCellMar>
        </w:tblPrEx>
        <w:trPr>
          <w:jc w:val="center"/>
        </w:trPr>
        <w:tc>
          <w:tcPr>
            <w:tcW w:w="1848" w:type="dxa"/>
            <w:tcBorders>
              <w:top w:val="nil"/>
              <w:left w:val="nil"/>
              <w:bottom w:val="nil"/>
              <w:right w:val="nil"/>
            </w:tcBorders>
            <w:shd w:val="clear" w:color="auto" w:fill="FFFFFF"/>
            <w:vAlign w:val="center"/>
          </w:tcPr>
          <w:p w14:paraId="26AFDA9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Isolation Forest</w:t>
            </w:r>
          </w:p>
        </w:tc>
        <w:tc>
          <w:tcPr>
            <w:tcW w:w="1848" w:type="dxa"/>
            <w:tcBorders>
              <w:top w:val="nil"/>
              <w:left w:val="nil"/>
              <w:bottom w:val="nil"/>
              <w:right w:val="nil"/>
            </w:tcBorders>
            <w:shd w:val="clear" w:color="auto" w:fill="FFFFFF"/>
            <w:vAlign w:val="center"/>
          </w:tcPr>
          <w:p w14:paraId="7E0C04E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w:t>
            </w:r>
          </w:p>
        </w:tc>
        <w:tc>
          <w:tcPr>
            <w:tcW w:w="1848" w:type="dxa"/>
            <w:tcBorders>
              <w:top w:val="nil"/>
              <w:left w:val="nil"/>
              <w:bottom w:val="nil"/>
              <w:right w:val="nil"/>
            </w:tcBorders>
            <w:shd w:val="clear" w:color="auto" w:fill="FFFFFF"/>
            <w:vAlign w:val="center"/>
          </w:tcPr>
          <w:p w14:paraId="73749CE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9,900</w:t>
            </w:r>
          </w:p>
        </w:tc>
        <w:tc>
          <w:tcPr>
            <w:tcW w:w="1848" w:type="dxa"/>
            <w:tcBorders>
              <w:top w:val="nil"/>
              <w:left w:val="nil"/>
              <w:bottom w:val="nil"/>
              <w:right w:val="nil"/>
            </w:tcBorders>
            <w:shd w:val="clear" w:color="auto" w:fill="FFFFFF"/>
            <w:vAlign w:val="center"/>
          </w:tcPr>
          <w:p w14:paraId="24FE516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2.05%</w:t>
            </w:r>
          </w:p>
        </w:tc>
        <w:tc>
          <w:tcPr>
            <w:tcW w:w="1848" w:type="dxa"/>
            <w:tcBorders>
              <w:top w:val="nil"/>
              <w:left w:val="nil"/>
              <w:bottom w:val="nil"/>
              <w:right w:val="nil"/>
            </w:tcBorders>
            <w:shd w:val="clear" w:color="auto" w:fill="FFFFFF"/>
            <w:vAlign w:val="center"/>
          </w:tcPr>
          <w:p w14:paraId="4B81459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w:t>
            </w:r>
          </w:p>
        </w:tc>
      </w:tr>
      <w:tr w14:paraId="57E96EA8">
        <w:tblPrEx>
          <w:tblCellMar>
            <w:top w:w="0" w:type="dxa"/>
            <w:left w:w="108" w:type="dxa"/>
            <w:bottom w:w="0" w:type="dxa"/>
            <w:right w:w="108" w:type="dxa"/>
          </w:tblCellMar>
        </w:tblPrEx>
        <w:trPr>
          <w:jc w:val="center"/>
        </w:trPr>
        <w:tc>
          <w:tcPr>
            <w:tcW w:w="1848" w:type="dxa"/>
            <w:tcBorders>
              <w:top w:val="nil"/>
              <w:left w:val="nil"/>
              <w:bottom w:val="single" w:color="000000" w:sz="12" w:space="0"/>
              <w:right w:val="nil"/>
            </w:tcBorders>
            <w:shd w:val="clear" w:color="auto" w:fill="FFFFFF"/>
            <w:vAlign w:val="center"/>
          </w:tcPr>
          <w:p w14:paraId="5B073F2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One-Class SVM</w:t>
            </w:r>
          </w:p>
        </w:tc>
        <w:tc>
          <w:tcPr>
            <w:tcW w:w="1848" w:type="dxa"/>
            <w:tcBorders>
              <w:top w:val="nil"/>
              <w:left w:val="nil"/>
              <w:bottom w:val="single" w:color="000000" w:sz="12" w:space="0"/>
              <w:right w:val="nil"/>
            </w:tcBorders>
            <w:shd w:val="clear" w:color="auto" w:fill="FFFFFF"/>
            <w:vAlign w:val="center"/>
          </w:tcPr>
          <w:p w14:paraId="7FBEACC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12,000</w:t>
            </w:r>
          </w:p>
        </w:tc>
        <w:tc>
          <w:tcPr>
            <w:tcW w:w="1848" w:type="dxa"/>
            <w:tcBorders>
              <w:top w:val="nil"/>
              <w:left w:val="nil"/>
              <w:bottom w:val="single" w:color="000000" w:sz="12" w:space="0"/>
              <w:right w:val="nil"/>
            </w:tcBorders>
            <w:shd w:val="clear" w:color="auto" w:fill="FFFFFF"/>
            <w:vAlign w:val="center"/>
          </w:tcPr>
          <w:p w14:paraId="04D6CB1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552</w:t>
            </w:r>
          </w:p>
        </w:tc>
        <w:tc>
          <w:tcPr>
            <w:tcW w:w="1848" w:type="dxa"/>
            <w:tcBorders>
              <w:top w:val="nil"/>
              <w:left w:val="nil"/>
              <w:bottom w:val="single" w:color="000000" w:sz="12" w:space="0"/>
              <w:right w:val="nil"/>
            </w:tcBorders>
            <w:shd w:val="clear" w:color="auto" w:fill="FFFFFF"/>
            <w:vAlign w:val="center"/>
          </w:tcPr>
          <w:p w14:paraId="66749E7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4.60%</w:t>
            </w:r>
          </w:p>
        </w:tc>
        <w:tc>
          <w:tcPr>
            <w:tcW w:w="1848" w:type="dxa"/>
            <w:tcBorders>
              <w:top w:val="nil"/>
              <w:left w:val="nil"/>
              <w:bottom w:val="single" w:color="000000" w:sz="12" w:space="0"/>
              <w:right w:val="nil"/>
            </w:tcBorders>
            <w:shd w:val="clear" w:color="auto" w:fill="FFFFFF"/>
            <w:vAlign w:val="center"/>
          </w:tcPr>
          <w:p w14:paraId="130D777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抽样</w:t>
            </w:r>
          </w:p>
        </w:tc>
      </w:tr>
    </w:tbl>
    <w:p w14:paraId="6D915A0A">
      <w:pPr>
        <w:spacing w:after="20"/>
        <w:rPr>
          <w:rFonts w:hint="default" w:ascii="Times New Roman" w:hAnsi="Times New Roman" w:eastAsia="宋体" w:cs="Times New Roman"/>
        </w:rPr>
      </w:pPr>
    </w:p>
    <w:p w14:paraId="1B57166C">
      <w:pPr>
        <w:spacing w:before="40" w:after="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075555" cy="1831975"/>
            <wp:effectExtent l="0" t="0" r="1460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76000" cy="1832596"/>
                    </a:xfrm>
                    <a:prstGeom prst="rect">
                      <a:avLst/>
                    </a:prstGeom>
                  </pic:spPr>
                </pic:pic>
              </a:graphicData>
            </a:graphic>
          </wp:inline>
        </w:drawing>
      </w:r>
    </w:p>
    <w:p w14:paraId="4BF4C03A">
      <w:pPr>
        <w:spacing w:after="140"/>
        <w:jc w:val="center"/>
        <w:rPr>
          <w:rFonts w:hint="default" w:ascii="Times New Roman" w:hAnsi="Times New Roman" w:eastAsia="宋体" w:cs="Times New Roman"/>
        </w:rPr>
      </w:pPr>
      <w:r>
        <w:rPr>
          <w:rFonts w:hint="default" w:ascii="Times New Roman" w:hAnsi="Times New Roman" w:eastAsia="宋体" w:cs="Times New Roman"/>
          <w:sz w:val="18"/>
        </w:rPr>
        <w:t>图1 四种算法的异常标记率（*SVM 为抽样测试结果）</w:t>
      </w:r>
    </w:p>
    <w:p w14:paraId="78B7782D">
      <w:pPr>
        <w:rPr>
          <w:rFonts w:hint="default" w:ascii="Times New Roman" w:hAnsi="Times New Roman" w:eastAsia="宋体" w:cs="Times New Roman"/>
        </w:rPr>
      </w:pPr>
      <w:r>
        <w:rPr>
          <w:rFonts w:hint="default" w:ascii="Times New Roman" w:hAnsi="Times New Roman" w:eastAsia="宋体" w:cs="Times New Roman"/>
        </w:rPr>
        <w:t>IQR 的标记率最高，为 10.61%；3σ 为 4.56%；Isolation Forest 为 2.05%。One-Class SVM 在 12,000 条抽样记录中标记 552 条，标记率 4.60%。各算法采用不同边界定义和不同样本范围，标记数量不能直接作为准确率或优劣排名。</w:t>
      </w:r>
    </w:p>
    <w:p w14:paraId="0870E62D">
      <w:pPr>
        <w:pStyle w:val="3"/>
        <w:rPr>
          <w:rFonts w:hint="default" w:ascii="Times New Roman" w:hAnsi="Times New Roman" w:eastAsia="宋体" w:cs="Times New Roman"/>
        </w:rPr>
      </w:pPr>
      <w:r>
        <w:rPr>
          <w:rFonts w:hint="default" w:ascii="Times New Roman" w:hAnsi="Times New Roman" w:eastAsia="宋体" w:cs="Times New Roman"/>
        </w:rPr>
        <w:t>4. 联合异常与时间聚集</w:t>
      </w:r>
    </w:p>
    <w:p w14:paraId="497055CE">
      <w:pPr>
        <w:rPr>
          <w:rFonts w:hint="default" w:ascii="Times New Roman" w:hAnsi="Times New Roman" w:eastAsia="宋体" w:cs="Times New Roman"/>
        </w:rPr>
      </w:pPr>
      <w:r>
        <w:rPr>
          <w:rFonts w:hint="default" w:ascii="Times New Roman" w:hAnsi="Times New Roman" w:eastAsia="宋体" w:cs="Times New Roman"/>
        </w:rPr>
        <w:t>联合筛选从完整的 483,840 条测试记录中找到 3,165 条候选，占比 0.654%。在 Isolation Forest 的 9,900 条标记中，约 31.97% 同时满足一种统计阈值异常条件。</w:t>
      </w:r>
      <w:bookmarkStart w:id="0" w:name="_GoBack"/>
      <w:bookmarkEnd w:id="0"/>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058430B8">
        <w:tblPrEx>
          <w:tblCellMar>
            <w:top w:w="0" w:type="dxa"/>
            <w:left w:w="108" w:type="dxa"/>
            <w:bottom w:w="0" w:type="dxa"/>
            <w:right w:w="108" w:type="dxa"/>
          </w:tblCellMar>
        </w:tblPrEx>
        <w:trPr>
          <w:tblHeader/>
          <w:jc w:val="center"/>
        </w:trPr>
        <w:tc>
          <w:tcPr>
            <w:tcW w:w="3081" w:type="dxa"/>
            <w:tcBorders>
              <w:top w:val="single" w:color="000000" w:sz="12" w:space="0"/>
              <w:left w:val="nil"/>
              <w:bottom w:val="single" w:color="000000" w:sz="4" w:space="0"/>
              <w:right w:val="nil"/>
              <w:tl2br w:val="nil"/>
            </w:tcBorders>
            <w:shd w:val="clear" w:color="auto" w:fill="FFFFFF"/>
            <w:vAlign w:val="center"/>
          </w:tcPr>
          <w:p w14:paraId="326350E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索引</w:t>
            </w:r>
          </w:p>
        </w:tc>
        <w:tc>
          <w:tcPr>
            <w:tcW w:w="3081" w:type="dxa"/>
            <w:tcBorders>
              <w:top w:val="single" w:color="000000" w:sz="12" w:space="0"/>
              <w:left w:val="nil"/>
              <w:bottom w:val="single" w:color="000000" w:sz="4" w:space="0"/>
              <w:right w:val="nil"/>
            </w:tcBorders>
            <w:shd w:val="clear" w:color="auto" w:fill="FFFFFF"/>
            <w:vAlign w:val="center"/>
          </w:tcPr>
          <w:p w14:paraId="04BEBB6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候选数</w:t>
            </w:r>
          </w:p>
        </w:tc>
        <w:tc>
          <w:tcPr>
            <w:tcW w:w="3081" w:type="dxa"/>
            <w:tcBorders>
              <w:top w:val="single" w:color="000000" w:sz="12" w:space="0"/>
              <w:left w:val="nil"/>
              <w:bottom w:val="single" w:color="000000" w:sz="4" w:space="0"/>
              <w:right w:val="nil"/>
            </w:tcBorders>
            <w:shd w:val="clear" w:color="auto" w:fill="FFFFFF"/>
            <w:vAlign w:val="center"/>
          </w:tcPr>
          <w:p w14:paraId="2FB7D11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占该小时 2880 beam 的比例</w:t>
            </w:r>
          </w:p>
        </w:tc>
      </w:tr>
      <w:tr w14:paraId="4861362F">
        <w:tblPrEx>
          <w:tblCellMar>
            <w:top w:w="0" w:type="dxa"/>
            <w:left w:w="108" w:type="dxa"/>
            <w:bottom w:w="0" w:type="dxa"/>
            <w:right w:w="108" w:type="dxa"/>
          </w:tblCellMar>
        </w:tblPrEx>
        <w:trPr>
          <w:jc w:val="center"/>
        </w:trPr>
        <w:tc>
          <w:tcPr>
            <w:tcW w:w="3081" w:type="dxa"/>
            <w:tcBorders>
              <w:top w:val="single" w:color="000000" w:sz="4" w:space="0"/>
              <w:left w:val="nil"/>
              <w:bottom w:val="nil"/>
              <w:right w:val="nil"/>
            </w:tcBorders>
            <w:shd w:val="clear" w:color="auto" w:fill="FFFFFF"/>
            <w:vAlign w:val="center"/>
          </w:tcPr>
          <w:p w14:paraId="159980C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692</w:t>
            </w:r>
          </w:p>
        </w:tc>
        <w:tc>
          <w:tcPr>
            <w:tcW w:w="3081" w:type="dxa"/>
            <w:tcBorders>
              <w:top w:val="single" w:color="000000" w:sz="4" w:space="0"/>
              <w:left w:val="nil"/>
              <w:bottom w:val="nil"/>
              <w:right w:val="nil"/>
            </w:tcBorders>
            <w:shd w:val="clear" w:color="auto" w:fill="FFFFFF"/>
            <w:vAlign w:val="center"/>
          </w:tcPr>
          <w:p w14:paraId="70A8425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71</w:t>
            </w:r>
          </w:p>
        </w:tc>
        <w:tc>
          <w:tcPr>
            <w:tcW w:w="3081" w:type="dxa"/>
            <w:tcBorders>
              <w:top w:val="single" w:color="000000" w:sz="4" w:space="0"/>
              <w:left w:val="nil"/>
              <w:bottom w:val="nil"/>
              <w:right w:val="nil"/>
            </w:tcBorders>
            <w:shd w:val="clear" w:color="auto" w:fill="FFFFFF"/>
            <w:vAlign w:val="center"/>
          </w:tcPr>
          <w:p w14:paraId="2ACAE56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2.47%</w:t>
            </w:r>
          </w:p>
        </w:tc>
      </w:tr>
      <w:tr w14:paraId="15314EBD">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14F505D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715</w:t>
            </w:r>
          </w:p>
        </w:tc>
        <w:tc>
          <w:tcPr>
            <w:tcW w:w="3081" w:type="dxa"/>
            <w:tcBorders>
              <w:top w:val="nil"/>
              <w:left w:val="nil"/>
              <w:bottom w:val="nil"/>
              <w:right w:val="nil"/>
            </w:tcBorders>
            <w:shd w:val="clear" w:color="auto" w:fill="FFFFFF"/>
            <w:vAlign w:val="center"/>
          </w:tcPr>
          <w:p w14:paraId="2B81B2E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68</w:t>
            </w:r>
          </w:p>
        </w:tc>
        <w:tc>
          <w:tcPr>
            <w:tcW w:w="3081" w:type="dxa"/>
            <w:tcBorders>
              <w:top w:val="nil"/>
              <w:left w:val="nil"/>
              <w:bottom w:val="nil"/>
              <w:right w:val="nil"/>
            </w:tcBorders>
            <w:shd w:val="clear" w:color="auto" w:fill="FFFFFF"/>
            <w:vAlign w:val="center"/>
          </w:tcPr>
          <w:p w14:paraId="797CD3F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2.36%</w:t>
            </w:r>
          </w:p>
        </w:tc>
      </w:tr>
      <w:tr w14:paraId="703753CC">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0A46AD0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739</w:t>
            </w:r>
          </w:p>
        </w:tc>
        <w:tc>
          <w:tcPr>
            <w:tcW w:w="3081" w:type="dxa"/>
            <w:tcBorders>
              <w:top w:val="nil"/>
              <w:left w:val="nil"/>
              <w:bottom w:val="nil"/>
              <w:right w:val="nil"/>
            </w:tcBorders>
            <w:shd w:val="clear" w:color="auto" w:fill="FFFFFF"/>
            <w:vAlign w:val="center"/>
          </w:tcPr>
          <w:p w14:paraId="66706FD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68</w:t>
            </w:r>
          </w:p>
        </w:tc>
        <w:tc>
          <w:tcPr>
            <w:tcW w:w="3081" w:type="dxa"/>
            <w:tcBorders>
              <w:top w:val="nil"/>
              <w:left w:val="nil"/>
              <w:bottom w:val="nil"/>
              <w:right w:val="nil"/>
            </w:tcBorders>
            <w:shd w:val="clear" w:color="auto" w:fill="FFFFFF"/>
            <w:vAlign w:val="center"/>
          </w:tcPr>
          <w:p w14:paraId="61EDBAE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2.36%</w:t>
            </w:r>
          </w:p>
        </w:tc>
      </w:tr>
      <w:tr w14:paraId="72B8DF0A">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5C2EE6E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691</w:t>
            </w:r>
          </w:p>
        </w:tc>
        <w:tc>
          <w:tcPr>
            <w:tcW w:w="3081" w:type="dxa"/>
            <w:tcBorders>
              <w:top w:val="nil"/>
              <w:left w:val="nil"/>
              <w:bottom w:val="nil"/>
              <w:right w:val="nil"/>
            </w:tcBorders>
            <w:shd w:val="clear" w:color="auto" w:fill="FFFFFF"/>
            <w:vAlign w:val="center"/>
          </w:tcPr>
          <w:p w14:paraId="462F118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66</w:t>
            </w:r>
          </w:p>
        </w:tc>
        <w:tc>
          <w:tcPr>
            <w:tcW w:w="3081" w:type="dxa"/>
            <w:tcBorders>
              <w:top w:val="nil"/>
              <w:left w:val="nil"/>
              <w:bottom w:val="nil"/>
              <w:right w:val="nil"/>
            </w:tcBorders>
            <w:shd w:val="clear" w:color="auto" w:fill="FFFFFF"/>
            <w:vAlign w:val="center"/>
          </w:tcPr>
          <w:p w14:paraId="0439BF2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2.29%</w:t>
            </w:r>
          </w:p>
        </w:tc>
      </w:tr>
      <w:tr w14:paraId="358D8389">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487533C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740 / 836</w:t>
            </w:r>
          </w:p>
        </w:tc>
        <w:tc>
          <w:tcPr>
            <w:tcW w:w="3081" w:type="dxa"/>
            <w:tcBorders>
              <w:top w:val="nil"/>
              <w:left w:val="nil"/>
              <w:bottom w:val="nil"/>
              <w:right w:val="nil"/>
            </w:tcBorders>
            <w:shd w:val="clear" w:color="auto" w:fill="FFFFFF"/>
            <w:vAlign w:val="center"/>
          </w:tcPr>
          <w:p w14:paraId="4160170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各61</w:t>
            </w:r>
          </w:p>
        </w:tc>
        <w:tc>
          <w:tcPr>
            <w:tcW w:w="3081" w:type="dxa"/>
            <w:tcBorders>
              <w:top w:val="nil"/>
              <w:left w:val="nil"/>
              <w:bottom w:val="nil"/>
              <w:right w:val="nil"/>
            </w:tcBorders>
            <w:shd w:val="clear" w:color="auto" w:fill="FFFFFF"/>
            <w:vAlign w:val="center"/>
          </w:tcPr>
          <w:p w14:paraId="33B136B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各2.12%</w:t>
            </w:r>
          </w:p>
        </w:tc>
      </w:tr>
      <w:tr w14:paraId="013093CB">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0BE9AA2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835</w:t>
            </w:r>
          </w:p>
        </w:tc>
        <w:tc>
          <w:tcPr>
            <w:tcW w:w="3081" w:type="dxa"/>
            <w:tcBorders>
              <w:top w:val="nil"/>
              <w:left w:val="nil"/>
              <w:bottom w:val="nil"/>
              <w:right w:val="nil"/>
            </w:tcBorders>
            <w:shd w:val="clear" w:color="auto" w:fill="FFFFFF"/>
            <w:vAlign w:val="center"/>
          </w:tcPr>
          <w:p w14:paraId="76E1246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60</w:t>
            </w:r>
          </w:p>
        </w:tc>
        <w:tc>
          <w:tcPr>
            <w:tcW w:w="3081" w:type="dxa"/>
            <w:tcBorders>
              <w:top w:val="nil"/>
              <w:left w:val="nil"/>
              <w:bottom w:val="nil"/>
              <w:right w:val="nil"/>
            </w:tcBorders>
            <w:shd w:val="clear" w:color="auto" w:fill="FFFFFF"/>
            <w:vAlign w:val="center"/>
          </w:tcPr>
          <w:p w14:paraId="02A8AA1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2.08%</w:t>
            </w:r>
          </w:p>
        </w:tc>
      </w:tr>
      <w:tr w14:paraId="433BBAEC">
        <w:tblPrEx>
          <w:tblCellMar>
            <w:top w:w="0" w:type="dxa"/>
            <w:left w:w="108" w:type="dxa"/>
            <w:bottom w:w="0" w:type="dxa"/>
            <w:right w:w="108" w:type="dxa"/>
          </w:tblCellMar>
        </w:tblPrEx>
        <w:trPr>
          <w:jc w:val="center"/>
        </w:trPr>
        <w:tc>
          <w:tcPr>
            <w:tcW w:w="3081" w:type="dxa"/>
            <w:tcBorders>
              <w:top w:val="nil"/>
              <w:left w:val="nil"/>
              <w:bottom w:val="single" w:color="000000" w:sz="12" w:space="0"/>
              <w:right w:val="nil"/>
            </w:tcBorders>
            <w:shd w:val="clear" w:color="auto" w:fill="FFFFFF"/>
            <w:vAlign w:val="center"/>
          </w:tcPr>
          <w:p w14:paraId="134F3CD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763</w:t>
            </w:r>
          </w:p>
        </w:tc>
        <w:tc>
          <w:tcPr>
            <w:tcW w:w="3081" w:type="dxa"/>
            <w:tcBorders>
              <w:top w:val="nil"/>
              <w:left w:val="nil"/>
              <w:bottom w:val="single" w:color="000000" w:sz="12" w:space="0"/>
              <w:right w:val="nil"/>
            </w:tcBorders>
            <w:shd w:val="clear" w:color="auto" w:fill="FFFFFF"/>
            <w:vAlign w:val="center"/>
          </w:tcPr>
          <w:p w14:paraId="37F4118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53</w:t>
            </w:r>
          </w:p>
        </w:tc>
        <w:tc>
          <w:tcPr>
            <w:tcW w:w="3081" w:type="dxa"/>
            <w:tcBorders>
              <w:top w:val="nil"/>
              <w:left w:val="nil"/>
              <w:bottom w:val="single" w:color="000000" w:sz="12" w:space="0"/>
              <w:right w:val="nil"/>
            </w:tcBorders>
            <w:shd w:val="clear" w:color="auto" w:fill="FFFFFF"/>
            <w:vAlign w:val="center"/>
          </w:tcPr>
          <w:p w14:paraId="6BE2023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1.84%</w:t>
            </w:r>
          </w:p>
        </w:tc>
      </w:tr>
    </w:tbl>
    <w:p w14:paraId="48A6D3FF">
      <w:pPr>
        <w:widowControl/>
        <w:rPr>
          <w:rFonts w:hint="default" w:ascii="Times New Roman" w:hAnsi="Times New Roman" w:eastAsia="宋体" w:cs="Times New Roman"/>
          <w:b w:val="0"/>
          <w:color w:val="000000"/>
        </w:rPr>
      </w:pPr>
    </w:p>
    <w:p w14:paraId="21CE8217">
      <w:pPr>
        <w:spacing w:before="40" w:after="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075555" cy="1831975"/>
            <wp:effectExtent l="0" t="0" r="1460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76000" cy="1832596"/>
                    </a:xfrm>
                    <a:prstGeom prst="rect">
                      <a:avLst/>
                    </a:prstGeom>
                  </pic:spPr>
                </pic:pic>
              </a:graphicData>
            </a:graphic>
          </wp:inline>
        </w:drawing>
      </w:r>
    </w:p>
    <w:p w14:paraId="6AEA6AC3">
      <w:pPr>
        <w:spacing w:after="140"/>
        <w:jc w:val="center"/>
        <w:rPr>
          <w:rFonts w:hint="default" w:ascii="Times New Roman" w:hAnsi="Times New Roman" w:eastAsia="宋体" w:cs="Times New Roman"/>
        </w:rPr>
      </w:pPr>
      <w:r>
        <w:rPr>
          <w:rFonts w:hint="default" w:ascii="Times New Roman" w:hAnsi="Times New Roman" w:eastAsia="宋体" w:cs="Times New Roman"/>
          <w:sz w:val="18"/>
        </w:rPr>
        <w:t>图2 联合异常数量最高的八个测试小时</w:t>
      </w:r>
    </w:p>
    <w:p w14:paraId="654BAD19">
      <w:pPr>
        <w:rPr>
          <w:rFonts w:hint="default" w:ascii="Times New Roman" w:hAnsi="Times New Roman" w:eastAsia="宋体" w:cs="Times New Roman"/>
        </w:rPr>
      </w:pPr>
      <w:r>
        <w:rPr>
          <w:rFonts w:hint="default" w:ascii="Times New Roman" w:hAnsi="Times New Roman" w:eastAsia="宋体" w:cs="Times New Roman"/>
        </w:rPr>
        <w:t>候选事件在 Time 691–692、715、739–740、835–836 等时段较为集中。相邻时刻发生异常率抬升，可能由共同的业务变化、统计分布迁移或网络事件驱动，但仅凭时间聚集不能区分正常负载波动与实际故障。</w:t>
      </w:r>
    </w:p>
    <w:p w14:paraId="30CFDB65">
      <w:pPr>
        <w:pStyle w:val="3"/>
        <w:rPr>
          <w:rFonts w:hint="default" w:ascii="Times New Roman" w:hAnsi="Times New Roman" w:eastAsia="宋体" w:cs="Times New Roman"/>
        </w:rPr>
      </w:pPr>
      <w:r>
        <w:rPr>
          <w:rFonts w:hint="default" w:ascii="Times New Roman" w:hAnsi="Times New Roman" w:eastAsia="宋体" w:cs="Times New Roman"/>
        </w:rPr>
        <w:t>5. 结果解释与研究限制</w:t>
      </w:r>
    </w:p>
    <w:p w14:paraId="7FA0DD69">
      <w:pPr>
        <w:rPr>
          <w:rFonts w:hint="default" w:ascii="Times New Roman" w:hAnsi="Times New Roman" w:eastAsia="宋体" w:cs="Times New Roman"/>
        </w:rPr>
      </w:pPr>
      <w:r>
        <w:rPr>
          <w:rFonts w:hint="default" w:ascii="Times New Roman" w:hAnsi="Times New Roman" w:eastAsia="宋体" w:cs="Times New Roman"/>
        </w:rPr>
        <w:t>四类 KPI 在原始审计中存在合法零值、明显右偏和长尾；因此 IQR、3σ 会将某些正常高负载事件标记为统计异常。不同 beam 的历史分布差异通过逐 beam 阈值部分缓解，但该方法尚未处理小时周期等时变基线问题；多变量 Isolation Forest 也未引入外部设备告警或信号质量指标。</w:t>
      </w:r>
    </w:p>
    <w:p w14:paraId="160C88BA">
      <w:pPr>
        <w:rPr>
          <w:rFonts w:hint="default" w:ascii="Times New Roman" w:hAnsi="Times New Roman" w:eastAsia="宋体" w:cs="Times New Roman"/>
        </w:rPr>
      </w:pPr>
      <w:r>
        <w:rPr>
          <w:rFonts w:hint="default" w:ascii="Times New Roman" w:hAnsi="Times New Roman" w:eastAsia="宋体" w:cs="Times New Roman"/>
        </w:rPr>
        <w:t>当前报告不计算 Precision、Recall、F1 或 AUC，因为缺乏真实故障标签。现有导出脚本默认仅保存异常评分最靠前的 2,000 条候选事件到 w3_anomaly_candidate_events.csv，虽然检测总量为 3,165 条；统计时段的异常率以全量 w3_anomaly_rate_by_hour.csv 为准。</w:t>
      </w:r>
    </w:p>
    <w:p w14:paraId="48A3C0D6">
      <w:pPr>
        <w:pStyle w:val="3"/>
        <w:rPr>
          <w:rFonts w:hint="default" w:ascii="Times New Roman" w:hAnsi="Times New Roman" w:eastAsia="宋体" w:cs="Times New Roman"/>
        </w:rPr>
      </w:pPr>
      <w:r>
        <w:rPr>
          <w:rFonts w:hint="default" w:ascii="Times New Roman" w:hAnsi="Times New Roman" w:eastAsia="宋体" w:cs="Times New Roman"/>
        </w:rPr>
        <w:t>6. 参数选取、结果口径与方法一致性核查</w:t>
      </w:r>
    </w:p>
    <w:p w14:paraId="5E874ECE">
      <w:pPr>
        <w:spacing w:after="100"/>
        <w:rPr>
          <w:rFonts w:hint="default" w:ascii="Times New Roman" w:hAnsi="Times New Roman" w:eastAsia="宋体" w:cs="Times New Roman"/>
        </w:rPr>
      </w:pPr>
      <w:r>
        <w:rPr>
          <w:rFonts w:hint="default" w:ascii="Times New Roman" w:hAnsi="Times New Roman" w:eastAsia="宋体" w:cs="Times New Roman"/>
        </w:rPr>
        <w:t>四种方法在相同测试时期提供异常筛选视角，但各方法阈值和特征构造不同。以下明确已用的超参数与使用范围，以支持实验复现。</w:t>
      </w:r>
    </w:p>
    <w:tbl>
      <w:tblPr>
        <w:tblStyle w:val="32"/>
        <w:tblW w:w="0" w:type="auto"/>
        <w:jc w:val="center"/>
        <w:tblLayout w:type="fixed"/>
        <w:tblCellMar>
          <w:top w:w="0" w:type="dxa"/>
          <w:left w:w="108" w:type="dxa"/>
          <w:bottom w:w="0" w:type="dxa"/>
          <w:right w:w="108" w:type="dxa"/>
        </w:tblCellMar>
      </w:tblPr>
      <w:tblGrid>
        <w:gridCol w:w="3081"/>
        <w:gridCol w:w="3081"/>
        <w:gridCol w:w="3081"/>
      </w:tblGrid>
      <w:tr w14:paraId="37393F4A">
        <w:tblPrEx>
          <w:tblCellMar>
            <w:top w:w="0" w:type="dxa"/>
            <w:left w:w="108" w:type="dxa"/>
            <w:bottom w:w="0" w:type="dxa"/>
            <w:right w:w="108" w:type="dxa"/>
          </w:tblCellMar>
        </w:tblPrEx>
        <w:trPr>
          <w:cantSplit/>
          <w:tblHeader/>
          <w:jc w:val="center"/>
        </w:trPr>
        <w:tc>
          <w:tcPr>
            <w:tcW w:w="1944" w:type="dxa"/>
            <w:tcBorders>
              <w:top w:val="single" w:color="000000" w:sz="12" w:space="0"/>
              <w:left w:val="nil"/>
              <w:bottom w:val="single" w:color="000000" w:sz="4" w:space="0"/>
              <w:right w:val="nil"/>
              <w:tl2br w:val="nil"/>
            </w:tcBorders>
            <w:shd w:val="clear" w:color="auto" w:fill="FFFFFF"/>
            <w:vAlign w:val="center"/>
          </w:tcPr>
          <w:p w14:paraId="51E2C10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检测方法</w:t>
            </w:r>
          </w:p>
        </w:tc>
        <w:tc>
          <w:tcPr>
            <w:tcW w:w="4320" w:type="dxa"/>
            <w:tcBorders>
              <w:top w:val="single" w:color="000000" w:sz="12" w:space="0"/>
              <w:left w:val="nil"/>
              <w:bottom w:val="single" w:color="000000" w:sz="4" w:space="0"/>
              <w:right w:val="nil"/>
            </w:tcBorders>
            <w:shd w:val="clear" w:color="auto" w:fill="FFFFFF"/>
            <w:vAlign w:val="center"/>
          </w:tcPr>
          <w:p w14:paraId="5FFEE3E3">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关键配置</w:t>
            </w:r>
          </w:p>
        </w:tc>
        <w:tc>
          <w:tcPr>
            <w:tcW w:w="2880" w:type="dxa"/>
            <w:tcBorders>
              <w:top w:val="single" w:color="000000" w:sz="12" w:space="0"/>
              <w:left w:val="nil"/>
              <w:bottom w:val="single" w:color="000000" w:sz="4" w:space="0"/>
              <w:right w:val="nil"/>
            </w:tcBorders>
            <w:shd w:val="clear" w:color="auto" w:fill="FFFFFF"/>
            <w:vAlign w:val="center"/>
          </w:tcPr>
          <w:p w14:paraId="10466AC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统计/拟合范围</w:t>
            </w:r>
          </w:p>
        </w:tc>
      </w:tr>
      <w:tr w14:paraId="23DA2EAA">
        <w:tblPrEx>
          <w:tblCellMar>
            <w:top w:w="0" w:type="dxa"/>
            <w:left w:w="108" w:type="dxa"/>
            <w:bottom w:w="0" w:type="dxa"/>
            <w:right w:w="108" w:type="dxa"/>
          </w:tblCellMar>
        </w:tblPrEx>
        <w:trPr>
          <w:cantSplit/>
          <w:jc w:val="center"/>
        </w:trPr>
        <w:tc>
          <w:tcPr>
            <w:tcW w:w="1944" w:type="dxa"/>
            <w:tcBorders>
              <w:top w:val="single" w:color="000000" w:sz="4" w:space="0"/>
              <w:left w:val="nil"/>
              <w:bottom w:val="nil"/>
              <w:right w:val="nil"/>
            </w:tcBorders>
            <w:shd w:val="clear" w:color="auto" w:fill="FFFFFF"/>
            <w:vAlign w:val="center"/>
          </w:tcPr>
          <w:p w14:paraId="54770A5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3σ</w:t>
            </w:r>
          </w:p>
        </w:tc>
        <w:tc>
          <w:tcPr>
            <w:tcW w:w="4320" w:type="dxa"/>
            <w:tcBorders>
              <w:top w:val="single" w:color="000000" w:sz="4" w:space="0"/>
              <w:left w:val="nil"/>
              <w:bottom w:val="nil"/>
              <w:right w:val="nil"/>
            </w:tcBorders>
            <w:shd w:val="clear" w:color="auto" w:fill="FFFFFF"/>
            <w:vAlign w:val="center"/>
          </w:tcPr>
          <w:p w14:paraId="6E831E80">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逐beam、逐KPI；训练均值±3×标准差</w:t>
            </w:r>
          </w:p>
        </w:tc>
        <w:tc>
          <w:tcPr>
            <w:tcW w:w="2880" w:type="dxa"/>
            <w:tcBorders>
              <w:top w:val="single" w:color="000000" w:sz="4" w:space="0"/>
              <w:left w:val="nil"/>
              <w:bottom w:val="nil"/>
              <w:right w:val="nil"/>
            </w:tcBorders>
            <w:shd w:val="clear" w:color="auto" w:fill="FFFFFF"/>
            <w:vAlign w:val="center"/>
          </w:tcPr>
          <w:p w14:paraId="14BEAFF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训练672小时；全量测试</w:t>
            </w:r>
          </w:p>
        </w:tc>
      </w:tr>
      <w:tr w14:paraId="54E9BB5A">
        <w:tblPrEx>
          <w:tblCellMar>
            <w:top w:w="0" w:type="dxa"/>
            <w:left w:w="108" w:type="dxa"/>
            <w:bottom w:w="0" w:type="dxa"/>
            <w:right w:w="108" w:type="dxa"/>
          </w:tblCellMar>
        </w:tblPrEx>
        <w:trPr>
          <w:cantSplit/>
          <w:jc w:val="center"/>
        </w:trPr>
        <w:tc>
          <w:tcPr>
            <w:tcW w:w="1944" w:type="dxa"/>
            <w:tcBorders>
              <w:top w:val="nil"/>
              <w:left w:val="nil"/>
              <w:bottom w:val="nil"/>
              <w:right w:val="nil"/>
            </w:tcBorders>
            <w:shd w:val="clear" w:color="auto" w:fill="FFFFFF"/>
            <w:vAlign w:val="center"/>
          </w:tcPr>
          <w:p w14:paraId="1D7DB2E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IQR</w:t>
            </w:r>
          </w:p>
        </w:tc>
        <w:tc>
          <w:tcPr>
            <w:tcW w:w="4320" w:type="dxa"/>
            <w:tcBorders>
              <w:top w:val="nil"/>
              <w:left w:val="nil"/>
              <w:bottom w:val="nil"/>
              <w:right w:val="nil"/>
            </w:tcBorders>
            <w:shd w:val="clear" w:color="auto" w:fill="FFFFFF"/>
            <w:vAlign w:val="center"/>
          </w:tcPr>
          <w:p w14:paraId="1D8CAA4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Q1−1.5×IQR / Q3+1.5×IQR</w:t>
            </w:r>
          </w:p>
        </w:tc>
        <w:tc>
          <w:tcPr>
            <w:tcW w:w="2880" w:type="dxa"/>
            <w:tcBorders>
              <w:top w:val="nil"/>
              <w:left w:val="nil"/>
              <w:bottom w:val="nil"/>
              <w:right w:val="nil"/>
            </w:tcBorders>
            <w:shd w:val="clear" w:color="auto" w:fill="FFFFFF"/>
            <w:vAlign w:val="center"/>
          </w:tcPr>
          <w:p w14:paraId="15C22D5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训练672小时；全量测试</w:t>
            </w:r>
          </w:p>
        </w:tc>
      </w:tr>
      <w:tr w14:paraId="5DCC57C7">
        <w:tblPrEx>
          <w:tblCellMar>
            <w:top w:w="0" w:type="dxa"/>
            <w:left w:w="108" w:type="dxa"/>
            <w:bottom w:w="0" w:type="dxa"/>
            <w:right w:w="108" w:type="dxa"/>
          </w:tblCellMar>
        </w:tblPrEx>
        <w:trPr>
          <w:cantSplit/>
          <w:jc w:val="center"/>
        </w:trPr>
        <w:tc>
          <w:tcPr>
            <w:tcW w:w="1944" w:type="dxa"/>
            <w:tcBorders>
              <w:top w:val="nil"/>
              <w:left w:val="nil"/>
              <w:bottom w:val="nil"/>
              <w:right w:val="nil"/>
            </w:tcBorders>
            <w:shd w:val="clear" w:color="auto" w:fill="FFFFFF"/>
            <w:vAlign w:val="center"/>
          </w:tcPr>
          <w:p w14:paraId="3A07E43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Isolation Forest</w:t>
            </w:r>
          </w:p>
        </w:tc>
        <w:tc>
          <w:tcPr>
            <w:tcW w:w="4320" w:type="dxa"/>
            <w:tcBorders>
              <w:top w:val="nil"/>
              <w:left w:val="nil"/>
              <w:bottom w:val="nil"/>
              <w:right w:val="nil"/>
            </w:tcBorders>
            <w:shd w:val="clear" w:color="auto" w:fill="FFFFFF"/>
            <w:vAlign w:val="center"/>
          </w:tcPr>
          <w:p w14:paraId="54E2B06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150棵树，max_samples=256，contamination=0.02</w:t>
            </w:r>
          </w:p>
        </w:tc>
        <w:tc>
          <w:tcPr>
            <w:tcW w:w="2880" w:type="dxa"/>
            <w:tcBorders>
              <w:top w:val="nil"/>
              <w:left w:val="nil"/>
              <w:bottom w:val="nil"/>
              <w:right w:val="nil"/>
            </w:tcBorders>
            <w:shd w:val="clear" w:color="auto" w:fill="FFFFFF"/>
            <w:vAlign w:val="center"/>
          </w:tcPr>
          <w:p w14:paraId="513E1870">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随机训练80,000；全量测试</w:t>
            </w:r>
          </w:p>
        </w:tc>
      </w:tr>
      <w:tr w14:paraId="388A6692">
        <w:tblPrEx>
          <w:tblCellMar>
            <w:top w:w="0" w:type="dxa"/>
            <w:left w:w="108" w:type="dxa"/>
            <w:bottom w:w="0" w:type="dxa"/>
            <w:right w:w="108" w:type="dxa"/>
          </w:tblCellMar>
        </w:tblPrEx>
        <w:trPr>
          <w:cantSplit/>
          <w:jc w:val="center"/>
        </w:trPr>
        <w:tc>
          <w:tcPr>
            <w:tcW w:w="1944" w:type="dxa"/>
            <w:tcBorders>
              <w:top w:val="nil"/>
              <w:left w:val="nil"/>
              <w:bottom w:val="single" w:color="000000" w:sz="12" w:space="0"/>
              <w:right w:val="nil"/>
            </w:tcBorders>
            <w:shd w:val="clear" w:color="auto" w:fill="FFFFFF"/>
            <w:vAlign w:val="center"/>
          </w:tcPr>
          <w:p w14:paraId="73214BC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One-Class SVM</w:t>
            </w:r>
          </w:p>
        </w:tc>
        <w:tc>
          <w:tcPr>
            <w:tcW w:w="4320" w:type="dxa"/>
            <w:tcBorders>
              <w:top w:val="nil"/>
              <w:left w:val="nil"/>
              <w:bottom w:val="single" w:color="000000" w:sz="12" w:space="0"/>
              <w:right w:val="nil"/>
            </w:tcBorders>
            <w:shd w:val="clear" w:color="auto" w:fill="FFFFFF"/>
            <w:vAlign w:val="center"/>
          </w:tcPr>
          <w:p w14:paraId="2C9A649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RBF核；nu=0.02；gamma=scale</w:t>
            </w:r>
          </w:p>
        </w:tc>
        <w:tc>
          <w:tcPr>
            <w:tcW w:w="2880" w:type="dxa"/>
            <w:tcBorders>
              <w:top w:val="nil"/>
              <w:left w:val="nil"/>
              <w:bottom w:val="single" w:color="000000" w:sz="12" w:space="0"/>
              <w:right w:val="nil"/>
            </w:tcBorders>
            <w:shd w:val="clear" w:color="auto" w:fill="FFFFFF"/>
            <w:vAlign w:val="center"/>
          </w:tcPr>
          <w:p w14:paraId="39438E9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训练2,500；测试抽样12,000</w:t>
            </w:r>
          </w:p>
        </w:tc>
      </w:tr>
    </w:tbl>
    <w:p w14:paraId="52397793">
      <w:pPr>
        <w:spacing w:after="100"/>
        <w:rPr>
          <w:rFonts w:hint="default" w:ascii="Times New Roman" w:hAnsi="Times New Roman" w:eastAsia="宋体" w:cs="Times New Roman"/>
        </w:rPr>
      </w:pPr>
      <w:r>
        <w:rPr>
          <w:rFonts w:hint="default" w:ascii="Times New Roman" w:hAnsi="Times New Roman" w:eastAsia="宋体" w:cs="Times New Roman"/>
        </w:rPr>
        <w:t>3σ、IQR 的训练阈值按 beam 单独估计，任一 KPI 超阈值即标记该 beam-hour。IQR 实现对零四分位距配置了1%/99%分位回退边界，本次运行记录的回退数为0。Isolation Forest 的8维输入为四种标准化当前值与四种一阶变化；SVM 使用同一特征结构，但只输出抽样测试结果。</w:t>
      </w:r>
    </w:p>
    <w:p w14:paraId="46430525">
      <w:pPr>
        <w:spacing w:after="100"/>
        <w:rPr>
          <w:rFonts w:hint="default" w:ascii="Times New Roman" w:hAnsi="Times New Roman" w:eastAsia="宋体" w:cs="Times New Roman"/>
        </w:rPr>
      </w:pPr>
      <w:r>
        <w:rPr>
          <w:rFonts w:hint="default" w:ascii="Times New Roman" w:hAnsi="Times New Roman" w:eastAsia="宋体" w:cs="Times New Roman"/>
        </w:rPr>
        <w:t>Isolation Forest 的 contamination=0.02 是设置的训练异常占比假设，并非客观网络故障率。3σ、IQR 也未依据带标签样本做阈值寻优，故不能用当前异常率声称检测准确率、召回率或哪个模型更好。</w:t>
      </w:r>
    </w:p>
    <w:p w14:paraId="3035EB82">
      <w:pPr>
        <w:pStyle w:val="4"/>
        <w:spacing w:before="140" w:after="60"/>
        <w:rPr>
          <w:rFonts w:hint="default" w:ascii="Times New Roman" w:hAnsi="Times New Roman" w:eastAsia="宋体" w:cs="Times New Roman"/>
        </w:rPr>
      </w:pPr>
      <w:r>
        <w:rPr>
          <w:rFonts w:hint="default" w:ascii="Times New Roman" w:hAnsi="Times New Roman" w:eastAsia="宋体" w:cs="Times New Roman"/>
        </w:rPr>
        <w:t>6.1 全量与抽样结果不可混用</w:t>
      </w:r>
    </w:p>
    <w:p w14:paraId="6EF20882">
      <w:pPr>
        <w:spacing w:after="100"/>
        <w:rPr>
          <w:rFonts w:hint="default" w:ascii="Times New Roman" w:hAnsi="Times New Roman" w:eastAsia="宋体" w:cs="Times New Roman"/>
        </w:rPr>
      </w:pPr>
      <w:r>
        <w:rPr>
          <w:rFonts w:hint="default" w:ascii="Times New Roman" w:hAnsi="Times New Roman" w:eastAsia="宋体" w:cs="Times New Roman"/>
        </w:rPr>
        <w:t>3σ 22,059 / 483,840（4.56%）；IQR 51,318 / 483,840（10.61%）；Isolation Forest 9,900 / 483,840（2.05%）；One-Class SVM 552 / 12,000（4.60%，抽样）。联合候选3,165 / 483,840（0.654%），其筛选条件是 IF AND (3σ OR IQR)，不包含 One-Class SVM 投票。</w:t>
      </w:r>
    </w:p>
    <w:p w14:paraId="33301C5F">
      <w:pPr>
        <w:spacing w:after="100"/>
        <w:rPr>
          <w:rFonts w:hint="default" w:ascii="Times New Roman" w:hAnsi="Times New Roman" w:eastAsia="宋体" w:cs="Times New Roman"/>
        </w:rPr>
      </w:pPr>
      <w:r>
        <w:rPr>
          <w:rFonts w:hint="default" w:ascii="Times New Roman" w:hAnsi="Times New Roman" w:eastAsia="宋体" w:cs="Times New Roman"/>
        </w:rPr>
        <w:t>当前 w3_anomaly_candidate_events.csv 只导出按 Isolation Forest 评分排序的前2,000条，而非3,165条全量候选；全量逐小时数量应从 w3_anomaly_rate_by_hour.csv 计算。后续若评估基站或beam风险率，应先导出全部候选并与各层级观测总数核对。</w:t>
      </w:r>
    </w:p>
    <w:p w14:paraId="1506373C">
      <w:pPr>
        <w:pStyle w:val="3"/>
        <w:rPr>
          <w:rFonts w:hint="default" w:ascii="Times New Roman" w:hAnsi="Times New Roman" w:eastAsia="宋体" w:cs="Times New Roman"/>
        </w:rPr>
      </w:pPr>
      <w:r>
        <w:rPr>
          <w:rFonts w:hint="default" w:ascii="Times New Roman" w:hAnsi="Times New Roman" w:eastAsia="宋体" w:cs="Times New Roman"/>
        </w:rPr>
        <w:t>7. 结论与交付文件</w:t>
      </w:r>
    </w:p>
    <w:p w14:paraId="69E413FB">
      <w:pPr>
        <w:rPr>
          <w:rFonts w:hint="default" w:ascii="Times New Roman" w:hAnsi="Times New Roman" w:eastAsia="宋体" w:cs="Times New Roman"/>
        </w:rPr>
      </w:pPr>
      <w:r>
        <w:rPr>
          <w:rFonts w:hint="default" w:ascii="Times New Roman" w:hAnsi="Times New Roman" w:eastAsia="宋体" w:cs="Times New Roman"/>
        </w:rPr>
        <w:t>本阶段按既定时间切分完成四类异常筛选方法，获得统计方法与无监督学习算法的标记率、全量逐小时异常变化和 3,165 条联合候选事件。结果可支持初步排查优先级分配和 KPI 联动分析，但不能替代故障工单核验。</w:t>
      </w:r>
    </w:p>
    <w:sectPr>
      <w:headerReference r:id="rId5" w:type="default"/>
      <w:footerReference r:id="rId6" w:type="default"/>
      <w:pgSz w:w="11906" w:h="16838"/>
      <w:pgMar w:top="1304" w:right="1332" w:bottom="1049" w:left="1332" w:header="425"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89E4C">
    <w:pPr>
      <w:pStyle w:val="24"/>
      <w:jc w:val="center"/>
    </w:pPr>
    <w:r>
      <w:rPr>
        <w:sz w:val="18"/>
      </w:rPr>
      <w:t xml:space="preserve">第 </w:t>
    </w:r>
    <w:r>
      <w:fldChar w:fldCharType="begin"/>
    </w:r>
    <w:r>
      <w:instrText xml:space="preserve">PAGE</w:instrText>
    </w:r>
    <w:r>
      <w:fldChar w:fldCharType="separate"/>
    </w:r>
    <w: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F5480">
    <w:pPr>
      <w:pStyle w:val="25"/>
      <w:jc w:val="right"/>
      <w:rPr>
        <w:rFonts w:hint="default" w:ascii="Times New Roman" w:hAnsi="Times New Roman" w:eastAsia="宋体" w:cs="Times New Roman"/>
      </w:rPr>
    </w:pPr>
    <w:r>
      <w:rPr>
        <w:rFonts w:hint="default" w:ascii="Times New Roman" w:hAnsi="Times New Roman" w:eastAsia="宋体" w:cs="Times New Roman"/>
        <w:color w:val="878C93"/>
        <w:sz w:val="16"/>
      </w:rPr>
      <w:t>Week3|异常检测结果报告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FA401E"/>
    <w:rsid w:val="0A526D12"/>
    <w:rsid w:val="318F667E"/>
    <w:rsid w:val="4103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300"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line="300" w:lineRule="auto"/>
      <w:outlineLvl w:val="0"/>
    </w:pPr>
    <w:rPr>
      <w:rFonts w:cs="Times New Roman"/>
      <w:b/>
      <w:bCs/>
      <w:color w:val="163A5F"/>
      <w:sz w:val="30"/>
      <w:szCs w:val="28"/>
    </w:rPr>
  </w:style>
  <w:style w:type="paragraph" w:styleId="4">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2F5597"/>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qFormat/>
    <w:uiPriority w:val="9"/>
    <w:rPr>
      <w:rFonts w:ascii="Times New Roman" w:hAnsi="Times New Roman" w:eastAsia="宋体" w:cs="Times New Roman"/>
      <w:b/>
      <w:bCs/>
      <w:color w:val="163A5F"/>
      <w:sz w:val="30"/>
      <w:szCs w:val="28"/>
      <w:lang w:val="en-US" w:eastAsia="en-US" w:bidi="ar-SA"/>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1737</Words>
  <Characters>2958</Characters>
  <Lines>0</Lines>
  <Paragraphs>0</Paragraphs>
  <TotalTime>2</TotalTime>
  <ScaleCrop>false</ScaleCrop>
  <LinksUpToDate>false</LinksUpToDate>
  <CharactersWithSpaces>3171</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白鸟</cp:lastModifiedBy>
  <dcterms:modified xsi:type="dcterms:W3CDTF">2026-10-18T13:19:37Z</dcterms:modified>
  <dc:subject>基于 AI 的 5G 网络关键性能指标预测与异常检测系统（压缩项目第三阶段）</dc:subject>
  <dc:title>异常检测结果报告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eyJoZGlkIjoiM2NkYThkNzk1NjRiY2FkMmQxYTI1NDIwYTAwZTc5NjYiLCJ1c2VySWQiOiIyODgyMzk1NzcifQ==</vt:lpwstr>
  </property>
  <property fmtid="{D5CDD505-2E9C-101B-9397-08002B2CF9AE}" pid="3" name="KSOProductBuildVer">
    <vt:lpwstr>2052-12.1.0.28599</vt:lpwstr>
  </property>
  <property fmtid="{D5CDD505-2E9C-101B-9397-08002B2CF9AE}" pid="4" name="ICV">
    <vt:lpwstr>0A8CF3D385F54DFF808529AD2C8D4255_12</vt:lpwstr>
  </property>
</Properties>
</file>