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06BEA1">
      <w:pPr>
        <w:spacing w:before="1600" w:after="80" w:line="300" w:lineRule="auto"/>
        <w:jc w:val="center"/>
        <w:rPr>
          <w:rFonts w:hint="default" w:ascii="Times New Roman" w:hAnsi="Times New Roman" w:eastAsia="宋体" w:cs="Times New Roman"/>
          <w:b/>
          <w:color w:val="2F5597"/>
          <w:sz w:val="32"/>
          <w:lang w:eastAsia="zh-CN"/>
        </w:rPr>
      </w:pPr>
      <w:r>
        <w:rPr>
          <w:rFonts w:hint="default" w:ascii="Times New Roman" w:hAnsi="Times New Roman" w:eastAsia="宋体" w:cs="Times New Roman"/>
          <w:b/>
          <w:color w:val="2F5597"/>
          <w:sz w:val="32"/>
          <w:lang w:eastAsia="zh-CN"/>
        </w:rPr>
        <w:t>基于 AI 的 5G 网络关键性能指标预测与异常检测系统</w:t>
      </w:r>
    </w:p>
    <w:p w14:paraId="6C67071B">
      <w:pPr>
        <w:spacing w:before="1162"/>
        <w:jc w:val="center"/>
        <w:rPr>
          <w:rFonts w:hint="default" w:ascii="Times New Roman" w:hAnsi="Times New Roman" w:eastAsia="宋体" w:cs="Times New Roman"/>
        </w:rPr>
      </w:pPr>
      <w:r>
        <w:rPr>
          <w:rFonts w:hint="default" w:ascii="Times New Roman" w:hAnsi="Times New Roman" w:eastAsia="宋体" w:cs="Times New Roman"/>
          <w:b/>
          <w:color w:val="153D68"/>
          <w:sz w:val="48"/>
        </w:rPr>
        <w:t>异常根因分析初步方案</w:t>
      </w:r>
    </w:p>
    <w:p w14:paraId="0E91F485">
      <w:pPr>
        <w:spacing w:before="255"/>
        <w:jc w:val="center"/>
        <w:rPr>
          <w:rFonts w:hint="default" w:ascii="Times New Roman" w:hAnsi="Times New Roman" w:eastAsia="宋体" w:cs="Times New Roman"/>
        </w:rPr>
      </w:pPr>
      <w:r>
        <w:rPr>
          <w:rFonts w:hint="default" w:ascii="Times New Roman" w:hAnsi="Times New Roman" w:eastAsia="宋体" w:cs="Times New Roman"/>
          <w:sz w:val="24"/>
        </w:rPr>
        <w:t>基于 KPI 相关性、候选事件和时间聚集的分层排查框架</w:t>
      </w:r>
    </w:p>
    <w:p w14:paraId="16FC3FEC">
      <w:pPr>
        <w:spacing w:before="2211"/>
        <w:jc w:val="center"/>
        <w:rPr>
          <w:rFonts w:hint="default" w:ascii="Times New Roman" w:hAnsi="Times New Roman" w:eastAsia="宋体" w:cs="Times New Roman"/>
        </w:rPr>
      </w:pPr>
      <w:r>
        <w:rPr>
          <w:rFonts w:hint="default" w:ascii="Times New Roman" w:hAnsi="Times New Roman" w:eastAsia="宋体" w:cs="Times New Roman"/>
          <w:sz w:val="20"/>
        </w:rPr>
        <w:t>分析对象：3,165 条联合筛选的疑似异常 beam-hour</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观察变量：DLPRB / DLThpVol / DLThpTime / MR_number</w:t>
      </w:r>
      <w:r>
        <w:rPr>
          <w:rFonts w:hint="default" w:ascii="Times New Roman" w:hAnsi="Times New Roman" w:eastAsia="宋体" w:cs="Times New Roman"/>
          <w:sz w:val="20"/>
        </w:rPr>
        <w:br w:type="textWrapping"/>
      </w:r>
      <w:r>
        <w:rPr>
          <w:rFonts w:hint="default" w:ascii="Times New Roman" w:hAnsi="Times New Roman" w:eastAsia="宋体" w:cs="Times New Roman"/>
          <w:sz w:val="20"/>
        </w:rPr>
        <w:t>方法：相关性分析 / 时空聚集 / 证据驱动的排查假设</w:t>
      </w:r>
      <w:r>
        <w:rPr>
          <w:rFonts w:hint="default" w:ascii="Times New Roman" w:hAnsi="Times New Roman" w:eastAsia="宋体" w:cs="Times New Roman"/>
          <w:sz w:val="20"/>
        </w:rPr>
        <w:br w:type="textWrapping"/>
      </w:r>
    </w:p>
    <w:p w14:paraId="173616B7">
      <w:pPr>
        <w:rPr>
          <w:rFonts w:hint="default" w:ascii="Times New Roman" w:hAnsi="Times New Roman" w:eastAsia="宋体" w:cs="Times New Roman"/>
        </w:rPr>
      </w:pPr>
      <w:r>
        <w:rPr>
          <w:rFonts w:hint="default" w:ascii="Times New Roman" w:hAnsi="Times New Roman" w:eastAsia="宋体" w:cs="Times New Roman"/>
        </w:rPr>
        <w:br w:type="page"/>
      </w:r>
    </w:p>
    <w:p w14:paraId="4A8D5B9C">
      <w:pPr>
        <w:pStyle w:val="3"/>
        <w:bidi w:val="0"/>
        <w:rPr>
          <w:rFonts w:hint="default"/>
        </w:rPr>
      </w:pPr>
      <w:r>
        <w:rPr>
          <w:rFonts w:hint="default"/>
        </w:rPr>
        <w:t>1. 方案目标与证据边界</w:t>
      </w:r>
    </w:p>
    <w:p w14:paraId="382452A3">
      <w:pPr>
        <w:bidi w:val="0"/>
        <w:rPr>
          <w:rFonts w:hint="default"/>
        </w:rPr>
      </w:pPr>
      <w:r>
        <w:rPr>
          <w:rFonts w:hint="default"/>
        </w:rPr>
        <w:t>异常检测模块已在测试期筛选 3,165 条联合异常候选。根因分析的任务不是根据这四个 KPI 自动确定故障类型，而是在数据支持的范围内描述异常发生时的指标联动、时间聚集及其可能对应的网络行为，形成可被后续告警、无线测量和网管记录检验的排查假设。</w:t>
      </w:r>
    </w:p>
    <w:tbl>
      <w:tblPr>
        <w:tblStyle w:val="32"/>
        <w:tblW w:w="0" w:type="auto"/>
        <w:jc w:val="center"/>
        <w:tblLayout w:type="autofit"/>
        <w:tblCellMar>
          <w:top w:w="0" w:type="dxa"/>
          <w:left w:w="108" w:type="dxa"/>
          <w:bottom w:w="0" w:type="dxa"/>
          <w:right w:w="108" w:type="dxa"/>
        </w:tblCellMar>
      </w:tblPr>
      <w:tblGrid>
        <w:gridCol w:w="3081"/>
        <w:gridCol w:w="3081"/>
        <w:gridCol w:w="3081"/>
      </w:tblGrid>
      <w:tr w14:paraId="287F706D">
        <w:tblPrEx>
          <w:tblCellMar>
            <w:top w:w="0" w:type="dxa"/>
            <w:left w:w="108" w:type="dxa"/>
            <w:bottom w:w="0" w:type="dxa"/>
            <w:right w:w="108" w:type="dxa"/>
          </w:tblCellMar>
        </w:tblPrEx>
        <w:trPr>
          <w:tblHeader/>
          <w:jc w:val="center"/>
        </w:trPr>
        <w:tc>
          <w:tcPr>
            <w:tcW w:w="3081" w:type="dxa"/>
            <w:tcBorders>
              <w:top w:val="single" w:color="000000" w:sz="12" w:space="0"/>
              <w:left w:val="nil"/>
              <w:bottom w:val="single" w:color="000000" w:sz="4" w:space="0"/>
              <w:right w:val="nil"/>
              <w:tl2br w:val="nil"/>
            </w:tcBorders>
            <w:shd w:val="clear" w:color="auto" w:fill="FFFFFF"/>
            <w:vAlign w:val="center"/>
          </w:tcPr>
          <w:p w14:paraId="01808016">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证据层级</w:t>
            </w:r>
          </w:p>
        </w:tc>
        <w:tc>
          <w:tcPr>
            <w:tcW w:w="3081" w:type="dxa"/>
            <w:tcBorders>
              <w:top w:val="single" w:color="000000" w:sz="12" w:space="0"/>
              <w:left w:val="nil"/>
              <w:bottom w:val="single" w:color="000000" w:sz="4" w:space="0"/>
              <w:right w:val="nil"/>
            </w:tcBorders>
            <w:shd w:val="clear" w:color="auto" w:fill="FFFFFF"/>
            <w:vAlign w:val="center"/>
          </w:tcPr>
          <w:p w14:paraId="4D30129C">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当前材料</w:t>
            </w:r>
          </w:p>
        </w:tc>
        <w:tc>
          <w:tcPr>
            <w:tcW w:w="3081" w:type="dxa"/>
            <w:tcBorders>
              <w:top w:val="single" w:color="000000" w:sz="12" w:space="0"/>
              <w:left w:val="nil"/>
              <w:bottom w:val="single" w:color="000000" w:sz="4" w:space="0"/>
              <w:right w:val="nil"/>
            </w:tcBorders>
            <w:shd w:val="clear" w:color="auto" w:fill="FFFFFF"/>
            <w:vAlign w:val="center"/>
          </w:tcPr>
          <w:p w14:paraId="3F1DD3E3">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允许的结论</w:t>
            </w:r>
          </w:p>
        </w:tc>
      </w:tr>
      <w:tr w14:paraId="05F1F653">
        <w:tblPrEx>
          <w:tblCellMar>
            <w:top w:w="0" w:type="dxa"/>
            <w:left w:w="108" w:type="dxa"/>
            <w:bottom w:w="0" w:type="dxa"/>
            <w:right w:w="108" w:type="dxa"/>
          </w:tblCellMar>
        </w:tblPrEx>
        <w:trPr>
          <w:jc w:val="center"/>
        </w:trPr>
        <w:tc>
          <w:tcPr>
            <w:tcW w:w="3081" w:type="dxa"/>
            <w:tcBorders>
              <w:top w:val="single" w:color="000000" w:sz="4" w:space="0"/>
              <w:left w:val="nil"/>
              <w:bottom w:val="nil"/>
              <w:right w:val="nil"/>
            </w:tcBorders>
            <w:shd w:val="clear" w:color="auto" w:fill="FFFFFF"/>
            <w:vAlign w:val="center"/>
          </w:tcPr>
          <w:p w14:paraId="4B1824C8">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全量异常统计</w:t>
            </w:r>
          </w:p>
        </w:tc>
        <w:tc>
          <w:tcPr>
            <w:tcW w:w="3081" w:type="dxa"/>
            <w:tcBorders>
              <w:top w:val="single" w:color="000000" w:sz="4" w:space="0"/>
              <w:left w:val="nil"/>
              <w:bottom w:val="nil"/>
              <w:right w:val="nil"/>
            </w:tcBorders>
            <w:shd w:val="clear" w:color="auto" w:fill="FFFFFF"/>
            <w:vAlign w:val="center"/>
          </w:tcPr>
          <w:p w14:paraId="0EE1535C">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483,840 条测试记录；3,165 条联合候选</w:t>
            </w:r>
          </w:p>
        </w:tc>
        <w:tc>
          <w:tcPr>
            <w:tcW w:w="3081" w:type="dxa"/>
            <w:tcBorders>
              <w:top w:val="single" w:color="000000" w:sz="4" w:space="0"/>
              <w:left w:val="nil"/>
              <w:bottom w:val="nil"/>
              <w:right w:val="nil"/>
            </w:tcBorders>
            <w:shd w:val="clear" w:color="auto" w:fill="FFFFFF"/>
            <w:vAlign w:val="center"/>
          </w:tcPr>
          <w:p w14:paraId="019DEE06">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异常频率、时间聚集</w:t>
            </w:r>
          </w:p>
        </w:tc>
      </w:tr>
      <w:tr w14:paraId="14D7818C">
        <w:tblPrEx>
          <w:tblCellMar>
            <w:top w:w="0" w:type="dxa"/>
            <w:left w:w="108" w:type="dxa"/>
            <w:bottom w:w="0" w:type="dxa"/>
            <w:right w:w="108" w:type="dxa"/>
          </w:tblCellMar>
        </w:tblPrEx>
        <w:trPr>
          <w:jc w:val="center"/>
        </w:trPr>
        <w:tc>
          <w:tcPr>
            <w:tcW w:w="3081" w:type="dxa"/>
            <w:tcBorders>
              <w:top w:val="nil"/>
              <w:left w:val="nil"/>
              <w:bottom w:val="nil"/>
              <w:right w:val="nil"/>
            </w:tcBorders>
            <w:shd w:val="clear" w:color="auto" w:fill="FFFFFF"/>
            <w:vAlign w:val="center"/>
          </w:tcPr>
          <w:p w14:paraId="7BC28930">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候选 KPI 相关性</w:t>
            </w:r>
          </w:p>
        </w:tc>
        <w:tc>
          <w:tcPr>
            <w:tcW w:w="3081" w:type="dxa"/>
            <w:tcBorders>
              <w:top w:val="nil"/>
              <w:left w:val="nil"/>
              <w:bottom w:val="nil"/>
              <w:right w:val="nil"/>
            </w:tcBorders>
            <w:shd w:val="clear" w:color="auto" w:fill="FFFFFF"/>
            <w:vAlign w:val="center"/>
          </w:tcPr>
          <w:p w14:paraId="32F5EE28">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联合候选子集四个 KPI 的 Pearson 矩阵</w:t>
            </w:r>
          </w:p>
        </w:tc>
        <w:tc>
          <w:tcPr>
            <w:tcW w:w="3081" w:type="dxa"/>
            <w:tcBorders>
              <w:top w:val="nil"/>
              <w:left w:val="nil"/>
              <w:bottom w:val="nil"/>
              <w:right w:val="nil"/>
            </w:tcBorders>
            <w:shd w:val="clear" w:color="auto" w:fill="FFFFFF"/>
            <w:vAlign w:val="center"/>
          </w:tcPr>
          <w:p w14:paraId="5B39859E">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候选样本内的线性关联</w:t>
            </w:r>
          </w:p>
        </w:tc>
      </w:tr>
      <w:tr w14:paraId="2D743903">
        <w:tblPrEx>
          <w:tblCellMar>
            <w:top w:w="0" w:type="dxa"/>
            <w:left w:w="108" w:type="dxa"/>
            <w:bottom w:w="0" w:type="dxa"/>
            <w:right w:w="108" w:type="dxa"/>
          </w:tblCellMar>
        </w:tblPrEx>
        <w:trPr>
          <w:jc w:val="center"/>
        </w:trPr>
        <w:tc>
          <w:tcPr>
            <w:tcW w:w="3081" w:type="dxa"/>
            <w:tcBorders>
              <w:top w:val="nil"/>
              <w:left w:val="nil"/>
              <w:bottom w:val="nil"/>
              <w:right w:val="nil"/>
            </w:tcBorders>
            <w:shd w:val="clear" w:color="auto" w:fill="FFFFFF"/>
            <w:vAlign w:val="center"/>
          </w:tcPr>
          <w:p w14:paraId="3FD14A6D">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导出事件样本</w:t>
            </w:r>
          </w:p>
        </w:tc>
        <w:tc>
          <w:tcPr>
            <w:tcW w:w="3081" w:type="dxa"/>
            <w:tcBorders>
              <w:top w:val="nil"/>
              <w:left w:val="nil"/>
              <w:bottom w:val="nil"/>
              <w:right w:val="nil"/>
            </w:tcBorders>
            <w:shd w:val="clear" w:color="auto" w:fill="FFFFFF"/>
            <w:vAlign w:val="center"/>
          </w:tcPr>
          <w:p w14:paraId="06ACBCED">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按 Isolation Forest 分数排序的前 2,000 条</w:t>
            </w:r>
          </w:p>
        </w:tc>
        <w:tc>
          <w:tcPr>
            <w:tcW w:w="3081" w:type="dxa"/>
            <w:tcBorders>
              <w:top w:val="nil"/>
              <w:left w:val="nil"/>
              <w:bottom w:val="nil"/>
              <w:right w:val="nil"/>
            </w:tcBorders>
            <w:shd w:val="clear" w:color="auto" w:fill="FFFFFF"/>
            <w:vAlign w:val="center"/>
          </w:tcPr>
          <w:p w14:paraId="051A6EAF">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典型案例和优先调查对象</w:t>
            </w:r>
          </w:p>
        </w:tc>
      </w:tr>
      <w:tr w14:paraId="74E5E312">
        <w:tblPrEx>
          <w:tblCellMar>
            <w:top w:w="0" w:type="dxa"/>
            <w:left w:w="108" w:type="dxa"/>
            <w:bottom w:w="0" w:type="dxa"/>
            <w:right w:w="108" w:type="dxa"/>
          </w:tblCellMar>
        </w:tblPrEx>
        <w:trPr>
          <w:jc w:val="center"/>
        </w:trPr>
        <w:tc>
          <w:tcPr>
            <w:tcW w:w="3081" w:type="dxa"/>
            <w:tcBorders>
              <w:top w:val="nil"/>
              <w:left w:val="nil"/>
              <w:bottom w:val="single" w:color="000000" w:sz="12" w:space="0"/>
              <w:right w:val="nil"/>
            </w:tcBorders>
            <w:shd w:val="clear" w:color="auto" w:fill="FFFFFF"/>
            <w:vAlign w:val="center"/>
          </w:tcPr>
          <w:p w14:paraId="249074BF">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未提供材料</w:t>
            </w:r>
          </w:p>
        </w:tc>
        <w:tc>
          <w:tcPr>
            <w:tcW w:w="3081" w:type="dxa"/>
            <w:tcBorders>
              <w:top w:val="nil"/>
              <w:left w:val="nil"/>
              <w:bottom w:val="single" w:color="000000" w:sz="12" w:space="0"/>
              <w:right w:val="nil"/>
            </w:tcBorders>
            <w:shd w:val="clear" w:color="auto" w:fill="FFFFFF"/>
            <w:vAlign w:val="center"/>
          </w:tcPr>
          <w:p w14:paraId="5F64C92A">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真实故障标签、设备告警、RSRP/SINR 等</w:t>
            </w:r>
          </w:p>
        </w:tc>
        <w:tc>
          <w:tcPr>
            <w:tcW w:w="3081" w:type="dxa"/>
            <w:tcBorders>
              <w:top w:val="nil"/>
              <w:left w:val="nil"/>
              <w:bottom w:val="single" w:color="000000" w:sz="12" w:space="0"/>
              <w:right w:val="nil"/>
            </w:tcBorders>
            <w:shd w:val="clear" w:color="auto" w:fill="FFFFFF"/>
            <w:vAlign w:val="center"/>
          </w:tcPr>
          <w:p w14:paraId="470AA9BC">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不能确认具体故障原因</w:t>
            </w:r>
          </w:p>
        </w:tc>
      </w:tr>
    </w:tbl>
    <w:p w14:paraId="52DAA9C5">
      <w:pPr>
        <w:spacing w:after="20"/>
        <w:rPr>
          <w:rFonts w:hint="default" w:ascii="Times New Roman" w:hAnsi="Times New Roman" w:eastAsia="宋体" w:cs="Times New Roman"/>
        </w:rPr>
      </w:pPr>
    </w:p>
    <w:p w14:paraId="135076BC">
      <w:pPr>
        <w:pStyle w:val="3"/>
        <w:rPr>
          <w:rFonts w:hint="default" w:ascii="Times New Roman" w:hAnsi="Times New Roman" w:eastAsia="宋体" w:cs="Times New Roman"/>
        </w:rPr>
      </w:pPr>
      <w:r>
        <w:rPr>
          <w:rFonts w:hint="default" w:ascii="Times New Roman" w:hAnsi="Times New Roman" w:eastAsia="宋体" w:cs="Times New Roman"/>
        </w:rPr>
        <w:t>2. KPI 相关性证据</w:t>
      </w:r>
    </w:p>
    <w:p w14:paraId="1E99B6AD">
      <w:pPr>
        <w:rPr>
          <w:rFonts w:hint="default" w:ascii="Times New Roman" w:hAnsi="Times New Roman" w:eastAsia="宋体" w:cs="Times New Roman"/>
        </w:rPr>
      </w:pPr>
      <w:r>
        <w:rPr>
          <w:rFonts w:hint="default" w:ascii="Times New Roman" w:hAnsi="Times New Roman" w:eastAsia="宋体" w:cs="Times New Roman"/>
        </w:rPr>
        <w:t>仓库中的相关性矩阵来自联合异常候选对应的四维标准化 KPI 值，并不是全测试样本的矩阵。由于标准化是各 KPI 的线性变换，Pearson 相关系数与使用同样观测的原始数值计算结果一致。该矩阵用于描述已选中候选事件的线性关系，须注意筛选条件本身可能改变相关结构。</w:t>
      </w:r>
    </w:p>
    <w:p w14:paraId="44FB335D">
      <w:pPr>
        <w:spacing w:before="40" w:after="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607560" cy="3023870"/>
            <wp:effectExtent l="0" t="0" r="1016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608000" cy="3024457"/>
                    </a:xfrm>
                    <a:prstGeom prst="rect">
                      <a:avLst/>
                    </a:prstGeom>
                  </pic:spPr>
                </pic:pic>
              </a:graphicData>
            </a:graphic>
          </wp:inline>
        </w:drawing>
      </w:r>
    </w:p>
    <w:p w14:paraId="4F12A55E">
      <w:pPr>
        <w:spacing w:after="140"/>
        <w:jc w:val="center"/>
        <w:rPr>
          <w:rFonts w:hint="default" w:ascii="Times New Roman" w:hAnsi="Times New Roman" w:eastAsia="宋体" w:cs="Times New Roman"/>
        </w:rPr>
      </w:pPr>
      <w:r>
        <w:rPr>
          <w:rFonts w:hint="default" w:ascii="Times New Roman" w:hAnsi="Times New Roman" w:eastAsia="宋体" w:cs="Times New Roman"/>
          <w:sz w:val="18"/>
        </w:rPr>
        <w:t>图1 联合异常候选 KPI 相关性矩阵（Pearson r）</w:t>
      </w:r>
    </w:p>
    <w:tbl>
      <w:tblPr>
        <w:tblStyle w:val="32"/>
        <w:tblW w:w="0" w:type="auto"/>
        <w:jc w:val="center"/>
        <w:tblLayout w:type="autofit"/>
        <w:tblCellMar>
          <w:top w:w="0" w:type="dxa"/>
          <w:left w:w="108" w:type="dxa"/>
          <w:bottom w:w="0" w:type="dxa"/>
          <w:right w:w="108" w:type="dxa"/>
        </w:tblCellMar>
      </w:tblPr>
      <w:tblGrid>
        <w:gridCol w:w="3081"/>
        <w:gridCol w:w="3081"/>
        <w:gridCol w:w="3081"/>
      </w:tblGrid>
      <w:tr w14:paraId="14BAD495">
        <w:tblPrEx>
          <w:tblCellMar>
            <w:top w:w="0" w:type="dxa"/>
            <w:left w:w="108" w:type="dxa"/>
            <w:bottom w:w="0" w:type="dxa"/>
            <w:right w:w="108" w:type="dxa"/>
          </w:tblCellMar>
        </w:tblPrEx>
        <w:trPr>
          <w:tblHeader/>
          <w:jc w:val="center"/>
        </w:trPr>
        <w:tc>
          <w:tcPr>
            <w:tcW w:w="3081" w:type="dxa"/>
            <w:tcBorders>
              <w:top w:val="single" w:color="000000" w:sz="12" w:space="0"/>
              <w:left w:val="nil"/>
              <w:bottom w:val="single" w:color="000000" w:sz="4" w:space="0"/>
              <w:right w:val="nil"/>
              <w:tl2br w:val="nil"/>
            </w:tcBorders>
            <w:shd w:val="clear" w:color="auto" w:fill="FFFFFF"/>
            <w:vAlign w:val="center"/>
          </w:tcPr>
          <w:p w14:paraId="150F7356">
            <w:pPr>
              <w:rPr>
                <w:rFonts w:hint="default" w:ascii="Times New Roman" w:hAnsi="Times New Roman" w:eastAsia="宋体" w:cs="Times New Roman"/>
                <w:b w:val="0"/>
              </w:rPr>
            </w:pPr>
            <w:r>
              <w:rPr>
                <w:rFonts w:hint="default" w:ascii="Times New Roman" w:hAnsi="Times New Roman" w:eastAsia="宋体" w:cs="Times New Roman"/>
                <w:b w:val="0"/>
              </w:rPr>
              <w:t>KPI 对</w:t>
            </w:r>
          </w:p>
        </w:tc>
        <w:tc>
          <w:tcPr>
            <w:tcW w:w="3081" w:type="dxa"/>
            <w:tcBorders>
              <w:top w:val="single" w:color="000000" w:sz="12" w:space="0"/>
              <w:left w:val="nil"/>
              <w:bottom w:val="single" w:color="000000" w:sz="4" w:space="0"/>
              <w:right w:val="nil"/>
            </w:tcBorders>
            <w:shd w:val="clear" w:color="auto" w:fill="FFFFFF"/>
            <w:vAlign w:val="center"/>
          </w:tcPr>
          <w:p w14:paraId="312471AF">
            <w:pPr>
              <w:rPr>
                <w:rFonts w:hint="default" w:ascii="Times New Roman" w:hAnsi="Times New Roman" w:eastAsia="宋体" w:cs="Times New Roman"/>
                <w:b w:val="0"/>
              </w:rPr>
            </w:pPr>
            <w:r>
              <w:rPr>
                <w:rFonts w:hint="default" w:ascii="Times New Roman" w:hAnsi="Times New Roman" w:eastAsia="宋体" w:cs="Times New Roman"/>
                <w:b w:val="0"/>
              </w:rPr>
              <w:t>r</w:t>
            </w:r>
          </w:p>
        </w:tc>
        <w:tc>
          <w:tcPr>
            <w:tcW w:w="3081" w:type="dxa"/>
            <w:tcBorders>
              <w:top w:val="single" w:color="000000" w:sz="12" w:space="0"/>
              <w:left w:val="nil"/>
              <w:bottom w:val="single" w:color="000000" w:sz="4" w:space="0"/>
              <w:right w:val="nil"/>
            </w:tcBorders>
            <w:shd w:val="clear" w:color="auto" w:fill="FFFFFF"/>
            <w:vAlign w:val="center"/>
          </w:tcPr>
          <w:p w14:paraId="52441A78">
            <w:pPr>
              <w:rPr>
                <w:rFonts w:hint="default" w:ascii="Times New Roman" w:hAnsi="Times New Roman" w:eastAsia="宋体" w:cs="Times New Roman"/>
                <w:b w:val="0"/>
              </w:rPr>
            </w:pPr>
            <w:r>
              <w:rPr>
                <w:rFonts w:hint="default" w:ascii="Times New Roman" w:hAnsi="Times New Roman" w:eastAsia="宋体" w:cs="Times New Roman"/>
                <w:b w:val="0"/>
              </w:rPr>
              <w:t>初步观察</w:t>
            </w:r>
          </w:p>
        </w:tc>
      </w:tr>
      <w:tr w14:paraId="4247C021">
        <w:tblPrEx>
          <w:tblCellMar>
            <w:top w:w="0" w:type="dxa"/>
            <w:left w:w="108" w:type="dxa"/>
            <w:bottom w:w="0" w:type="dxa"/>
            <w:right w:w="108" w:type="dxa"/>
          </w:tblCellMar>
        </w:tblPrEx>
        <w:trPr>
          <w:jc w:val="center"/>
        </w:trPr>
        <w:tc>
          <w:tcPr>
            <w:tcW w:w="3081" w:type="dxa"/>
            <w:tcBorders>
              <w:top w:val="single" w:color="000000" w:sz="4" w:space="0"/>
              <w:left w:val="nil"/>
              <w:bottom w:val="nil"/>
              <w:right w:val="nil"/>
            </w:tcBorders>
            <w:shd w:val="clear" w:color="auto" w:fill="FFFFFF"/>
            <w:vAlign w:val="center"/>
          </w:tcPr>
          <w:p w14:paraId="6E08284C">
            <w:pPr>
              <w:rPr>
                <w:rFonts w:hint="default" w:ascii="Times New Roman" w:hAnsi="Times New Roman" w:eastAsia="宋体" w:cs="Times New Roman"/>
                <w:b w:val="0"/>
              </w:rPr>
            </w:pPr>
            <w:r>
              <w:rPr>
                <w:rFonts w:hint="default" w:ascii="Times New Roman" w:hAnsi="Times New Roman" w:eastAsia="宋体" w:cs="Times New Roman"/>
                <w:b w:val="0"/>
              </w:rPr>
              <w:t>DLPRB 与 MR_number</w:t>
            </w:r>
          </w:p>
        </w:tc>
        <w:tc>
          <w:tcPr>
            <w:tcW w:w="3081" w:type="dxa"/>
            <w:tcBorders>
              <w:top w:val="single" w:color="000000" w:sz="4" w:space="0"/>
              <w:left w:val="nil"/>
              <w:bottom w:val="nil"/>
              <w:right w:val="nil"/>
            </w:tcBorders>
            <w:shd w:val="clear" w:color="auto" w:fill="FFFFFF"/>
            <w:vAlign w:val="center"/>
          </w:tcPr>
          <w:p w14:paraId="6F0662CA">
            <w:pPr>
              <w:rPr>
                <w:rFonts w:hint="default" w:ascii="Times New Roman" w:hAnsi="Times New Roman" w:eastAsia="宋体" w:cs="Times New Roman"/>
                <w:b w:val="0"/>
              </w:rPr>
            </w:pPr>
            <w:r>
              <w:rPr>
                <w:rFonts w:hint="default" w:ascii="Times New Roman" w:hAnsi="Times New Roman" w:eastAsia="宋体" w:cs="Times New Roman"/>
                <w:b w:val="0"/>
              </w:rPr>
              <w:t>+0.889</w:t>
            </w:r>
          </w:p>
        </w:tc>
        <w:tc>
          <w:tcPr>
            <w:tcW w:w="3081" w:type="dxa"/>
            <w:tcBorders>
              <w:top w:val="single" w:color="000000" w:sz="4" w:space="0"/>
              <w:left w:val="nil"/>
              <w:bottom w:val="nil"/>
              <w:right w:val="nil"/>
            </w:tcBorders>
            <w:shd w:val="clear" w:color="auto" w:fill="FFFFFF"/>
            <w:vAlign w:val="center"/>
          </w:tcPr>
          <w:p w14:paraId="69F756CE">
            <w:pPr>
              <w:rPr>
                <w:rFonts w:hint="default" w:ascii="Times New Roman" w:hAnsi="Times New Roman" w:eastAsia="宋体" w:cs="Times New Roman"/>
                <w:b w:val="0"/>
              </w:rPr>
            </w:pPr>
            <w:r>
              <w:rPr>
                <w:rFonts w:hint="default" w:ascii="Times New Roman" w:hAnsi="Times New Roman" w:eastAsia="宋体" w:cs="Times New Roman"/>
                <w:b w:val="0"/>
              </w:rPr>
              <w:t>最强正相关，需联合观察负载与测量报告活动</w:t>
            </w:r>
          </w:p>
        </w:tc>
      </w:tr>
      <w:tr w14:paraId="04552A91">
        <w:tblPrEx>
          <w:tblCellMar>
            <w:top w:w="0" w:type="dxa"/>
            <w:left w:w="108" w:type="dxa"/>
            <w:bottom w:w="0" w:type="dxa"/>
            <w:right w:w="108" w:type="dxa"/>
          </w:tblCellMar>
        </w:tblPrEx>
        <w:trPr>
          <w:jc w:val="center"/>
        </w:trPr>
        <w:tc>
          <w:tcPr>
            <w:tcW w:w="3081" w:type="dxa"/>
            <w:tcBorders>
              <w:top w:val="nil"/>
              <w:left w:val="nil"/>
              <w:bottom w:val="nil"/>
              <w:right w:val="nil"/>
            </w:tcBorders>
            <w:shd w:val="clear" w:color="auto" w:fill="FFFFFF"/>
            <w:vAlign w:val="center"/>
          </w:tcPr>
          <w:p w14:paraId="0297B686">
            <w:pPr>
              <w:rPr>
                <w:rFonts w:hint="default" w:ascii="Times New Roman" w:hAnsi="Times New Roman" w:eastAsia="宋体" w:cs="Times New Roman"/>
                <w:b w:val="0"/>
              </w:rPr>
            </w:pPr>
            <w:r>
              <w:rPr>
                <w:rFonts w:hint="default" w:ascii="Times New Roman" w:hAnsi="Times New Roman" w:eastAsia="宋体" w:cs="Times New Roman"/>
                <w:b w:val="0"/>
              </w:rPr>
              <w:t>DLPRB 与 DLThpTime</w:t>
            </w:r>
          </w:p>
        </w:tc>
        <w:tc>
          <w:tcPr>
            <w:tcW w:w="3081" w:type="dxa"/>
            <w:tcBorders>
              <w:top w:val="nil"/>
              <w:left w:val="nil"/>
              <w:bottom w:val="nil"/>
              <w:right w:val="nil"/>
            </w:tcBorders>
            <w:shd w:val="clear" w:color="auto" w:fill="FFFFFF"/>
            <w:vAlign w:val="center"/>
          </w:tcPr>
          <w:p w14:paraId="588BF698">
            <w:pPr>
              <w:rPr>
                <w:rFonts w:hint="default" w:ascii="Times New Roman" w:hAnsi="Times New Roman" w:eastAsia="宋体" w:cs="Times New Roman"/>
                <w:b w:val="0"/>
              </w:rPr>
            </w:pPr>
            <w:r>
              <w:rPr>
                <w:rFonts w:hint="default" w:ascii="Times New Roman" w:hAnsi="Times New Roman" w:eastAsia="宋体" w:cs="Times New Roman"/>
                <w:b w:val="0"/>
              </w:rPr>
              <w:t>+0.697</w:t>
            </w:r>
          </w:p>
        </w:tc>
        <w:tc>
          <w:tcPr>
            <w:tcW w:w="3081" w:type="dxa"/>
            <w:tcBorders>
              <w:top w:val="nil"/>
              <w:left w:val="nil"/>
              <w:bottom w:val="nil"/>
              <w:right w:val="nil"/>
            </w:tcBorders>
            <w:shd w:val="clear" w:color="auto" w:fill="FFFFFF"/>
            <w:vAlign w:val="center"/>
          </w:tcPr>
          <w:p w14:paraId="1EB44CCA">
            <w:pPr>
              <w:rPr>
                <w:rFonts w:hint="default" w:ascii="Times New Roman" w:hAnsi="Times New Roman" w:eastAsia="宋体" w:cs="Times New Roman"/>
                <w:b w:val="0"/>
              </w:rPr>
            </w:pPr>
            <w:r>
              <w:rPr>
                <w:rFonts w:hint="default" w:ascii="Times New Roman" w:hAnsi="Times New Roman" w:eastAsia="宋体" w:cs="Times New Roman"/>
                <w:b w:val="0"/>
              </w:rPr>
              <w:t>中高正相关，检查资源占用与传输时间变化</w:t>
            </w:r>
          </w:p>
        </w:tc>
      </w:tr>
      <w:tr w14:paraId="72BEB745">
        <w:tblPrEx>
          <w:tblCellMar>
            <w:top w:w="0" w:type="dxa"/>
            <w:left w:w="108" w:type="dxa"/>
            <w:bottom w:w="0" w:type="dxa"/>
            <w:right w:w="108" w:type="dxa"/>
          </w:tblCellMar>
        </w:tblPrEx>
        <w:trPr>
          <w:jc w:val="center"/>
        </w:trPr>
        <w:tc>
          <w:tcPr>
            <w:tcW w:w="3081" w:type="dxa"/>
            <w:tcBorders>
              <w:top w:val="nil"/>
              <w:left w:val="nil"/>
              <w:bottom w:val="nil"/>
              <w:right w:val="nil"/>
            </w:tcBorders>
            <w:shd w:val="clear" w:color="auto" w:fill="FFFFFF"/>
            <w:vAlign w:val="center"/>
          </w:tcPr>
          <w:p w14:paraId="79BA492D">
            <w:pPr>
              <w:rPr>
                <w:rFonts w:hint="default" w:ascii="Times New Roman" w:hAnsi="Times New Roman" w:eastAsia="宋体" w:cs="Times New Roman"/>
                <w:b w:val="0"/>
              </w:rPr>
            </w:pPr>
            <w:r>
              <w:rPr>
                <w:rFonts w:hint="default" w:ascii="Times New Roman" w:hAnsi="Times New Roman" w:eastAsia="宋体" w:cs="Times New Roman"/>
                <w:b w:val="0"/>
              </w:rPr>
              <w:t>DLThpVol 与 DLThpTime</w:t>
            </w:r>
          </w:p>
        </w:tc>
        <w:tc>
          <w:tcPr>
            <w:tcW w:w="3081" w:type="dxa"/>
            <w:tcBorders>
              <w:top w:val="nil"/>
              <w:left w:val="nil"/>
              <w:bottom w:val="nil"/>
              <w:right w:val="nil"/>
            </w:tcBorders>
            <w:shd w:val="clear" w:color="auto" w:fill="FFFFFF"/>
            <w:vAlign w:val="center"/>
          </w:tcPr>
          <w:p w14:paraId="44357478">
            <w:pPr>
              <w:rPr>
                <w:rFonts w:hint="default" w:ascii="Times New Roman" w:hAnsi="Times New Roman" w:eastAsia="宋体" w:cs="Times New Roman"/>
                <w:b w:val="0"/>
              </w:rPr>
            </w:pPr>
            <w:r>
              <w:rPr>
                <w:rFonts w:hint="default" w:ascii="Times New Roman" w:hAnsi="Times New Roman" w:eastAsia="宋体" w:cs="Times New Roman"/>
                <w:b w:val="0"/>
              </w:rPr>
              <w:t>+0.680</w:t>
            </w:r>
          </w:p>
        </w:tc>
        <w:tc>
          <w:tcPr>
            <w:tcW w:w="3081" w:type="dxa"/>
            <w:tcBorders>
              <w:top w:val="nil"/>
              <w:left w:val="nil"/>
              <w:bottom w:val="nil"/>
              <w:right w:val="nil"/>
            </w:tcBorders>
            <w:shd w:val="clear" w:color="auto" w:fill="FFFFFF"/>
            <w:vAlign w:val="center"/>
          </w:tcPr>
          <w:p w14:paraId="1B63E6F6">
            <w:pPr>
              <w:rPr>
                <w:rFonts w:hint="default" w:ascii="Times New Roman" w:hAnsi="Times New Roman" w:eastAsia="宋体" w:cs="Times New Roman"/>
                <w:b w:val="0"/>
              </w:rPr>
            </w:pPr>
            <w:r>
              <w:rPr>
                <w:rFonts w:hint="default" w:ascii="Times New Roman" w:hAnsi="Times New Roman" w:eastAsia="宋体" w:cs="Times New Roman"/>
                <w:b w:val="0"/>
              </w:rPr>
              <w:t>流量与传输时间可能共同变化</w:t>
            </w:r>
          </w:p>
        </w:tc>
      </w:tr>
      <w:tr w14:paraId="63D61C6D">
        <w:tblPrEx>
          <w:tblCellMar>
            <w:top w:w="0" w:type="dxa"/>
            <w:left w:w="108" w:type="dxa"/>
            <w:bottom w:w="0" w:type="dxa"/>
            <w:right w:w="108" w:type="dxa"/>
          </w:tblCellMar>
        </w:tblPrEx>
        <w:trPr>
          <w:jc w:val="center"/>
        </w:trPr>
        <w:tc>
          <w:tcPr>
            <w:tcW w:w="3081" w:type="dxa"/>
            <w:tcBorders>
              <w:top w:val="nil"/>
              <w:left w:val="nil"/>
              <w:bottom w:val="single" w:color="000000" w:sz="12" w:space="0"/>
              <w:right w:val="nil"/>
            </w:tcBorders>
            <w:shd w:val="clear" w:color="auto" w:fill="FFFFFF"/>
            <w:vAlign w:val="center"/>
          </w:tcPr>
          <w:p w14:paraId="6DD13F8A">
            <w:pPr>
              <w:rPr>
                <w:rFonts w:hint="default" w:ascii="Times New Roman" w:hAnsi="Times New Roman" w:eastAsia="宋体" w:cs="Times New Roman"/>
                <w:b w:val="0"/>
              </w:rPr>
            </w:pPr>
            <w:r>
              <w:rPr>
                <w:rFonts w:hint="default" w:ascii="Times New Roman" w:hAnsi="Times New Roman" w:eastAsia="宋体" w:cs="Times New Roman"/>
                <w:b w:val="0"/>
              </w:rPr>
              <w:t>DLThpVol 与 MR_number</w:t>
            </w:r>
          </w:p>
        </w:tc>
        <w:tc>
          <w:tcPr>
            <w:tcW w:w="3081" w:type="dxa"/>
            <w:tcBorders>
              <w:top w:val="nil"/>
              <w:left w:val="nil"/>
              <w:bottom w:val="single" w:color="000000" w:sz="12" w:space="0"/>
              <w:right w:val="nil"/>
            </w:tcBorders>
            <w:shd w:val="clear" w:color="auto" w:fill="FFFFFF"/>
            <w:vAlign w:val="center"/>
          </w:tcPr>
          <w:p w14:paraId="6855E571">
            <w:pPr>
              <w:rPr>
                <w:rFonts w:hint="default" w:ascii="Times New Roman" w:hAnsi="Times New Roman" w:eastAsia="宋体" w:cs="Times New Roman"/>
                <w:b w:val="0"/>
              </w:rPr>
            </w:pPr>
            <w:r>
              <w:rPr>
                <w:rFonts w:hint="default" w:ascii="Times New Roman" w:hAnsi="Times New Roman" w:eastAsia="宋体" w:cs="Times New Roman"/>
                <w:b w:val="0"/>
              </w:rPr>
              <w:t>+0.327</w:t>
            </w:r>
          </w:p>
        </w:tc>
        <w:tc>
          <w:tcPr>
            <w:tcW w:w="3081" w:type="dxa"/>
            <w:tcBorders>
              <w:top w:val="nil"/>
              <w:left w:val="nil"/>
              <w:bottom w:val="single" w:color="000000" w:sz="12" w:space="0"/>
              <w:right w:val="nil"/>
            </w:tcBorders>
            <w:shd w:val="clear" w:color="auto" w:fill="FFFFFF"/>
            <w:vAlign w:val="center"/>
          </w:tcPr>
          <w:p w14:paraId="0689AE7C">
            <w:pPr>
              <w:rPr>
                <w:rFonts w:hint="default" w:ascii="Times New Roman" w:hAnsi="Times New Roman" w:eastAsia="宋体" w:cs="Times New Roman"/>
                <w:b w:val="0"/>
              </w:rPr>
            </w:pPr>
            <w:r>
              <w:rPr>
                <w:rFonts w:hint="default" w:ascii="Times New Roman" w:hAnsi="Times New Roman" w:eastAsia="宋体" w:cs="Times New Roman"/>
                <w:b w:val="0"/>
              </w:rPr>
              <w:t>线性相关相对较弱，不宜强行构建单一解释</w:t>
            </w:r>
          </w:p>
        </w:tc>
      </w:tr>
    </w:tbl>
    <w:p w14:paraId="6BA06CBF">
      <w:pPr>
        <w:rPr>
          <w:rFonts w:hint="default" w:ascii="Times New Roman" w:hAnsi="Times New Roman" w:eastAsia="宋体" w:cs="Times New Roman"/>
        </w:rPr>
      </w:pPr>
      <w:r>
        <w:rPr>
          <w:rFonts w:hint="default" w:ascii="Times New Roman" w:hAnsi="Times New Roman" w:eastAsia="宋体" w:cs="Times New Roman"/>
        </w:rPr>
        <w:t>例如 DLPRB 与 MR_number 的 r≈0.889 说明在此候选子集中两个指标同向变化明显，但“相关”并不等于 MR_number 导致 DLPRB 升高，也不能直接证明发生了小区拥塞或无线干扰。</w:t>
      </w:r>
    </w:p>
    <w:p w14:paraId="56E7EC1F">
      <w:pPr>
        <w:pStyle w:val="3"/>
        <w:rPr>
          <w:rFonts w:hint="default" w:ascii="Times New Roman" w:hAnsi="Times New Roman" w:eastAsia="宋体" w:cs="Times New Roman"/>
        </w:rPr>
      </w:pPr>
      <w:r>
        <w:rPr>
          <w:rFonts w:hint="default" w:ascii="Times New Roman" w:hAnsi="Times New Roman" w:eastAsia="宋体" w:cs="Times New Roman"/>
        </w:rPr>
        <w:t>3. 候选事件的时空线索</w:t>
      </w:r>
    </w:p>
    <w:p w14:paraId="3E2748B8">
      <w:pPr>
        <w:rPr>
          <w:rFonts w:hint="default" w:ascii="Times New Roman" w:hAnsi="Times New Roman" w:eastAsia="宋体" w:cs="Times New Roman"/>
        </w:rPr>
      </w:pPr>
      <w:r>
        <w:rPr>
          <w:rFonts w:hint="default" w:ascii="Times New Roman" w:hAnsi="Times New Roman" w:eastAsia="宋体" w:cs="Times New Roman"/>
        </w:rPr>
        <w:t>全量逐小时统计显示 Time=692 有 71 条联合候选，715 和 739 各有 68 条，691 有 66 条；739–740、835–836 等相邻时间点均出现候选集中。建议将这些索引作为优先排查的时间窗口，对比相邻小时与同小区的非候选 beam。</w:t>
      </w:r>
    </w:p>
    <w:p w14:paraId="5403DE5E">
      <w:pPr>
        <w:rPr>
          <w:rFonts w:hint="default" w:ascii="Times New Roman" w:hAnsi="Times New Roman" w:eastAsia="宋体" w:cs="Times New Roman"/>
        </w:rPr>
      </w:pPr>
      <w:r>
        <w:rPr>
          <w:rFonts w:hint="default" w:ascii="Times New Roman" w:hAnsi="Times New Roman" w:eastAsia="宋体" w:cs="Times New Roman"/>
        </w:rPr>
        <w:t>CSV 中实际导出的是异常分数最靠前的 2,000 条，而非全体 3,165 条候选；在这 2,000 条高优先级记录中，base_station 0、19、25 分别出现 163、148、143 条。该排序受到截取规则影响，不能解释为全量候选在基站层面的故障率排序。</w:t>
      </w:r>
    </w:p>
    <w:tbl>
      <w:tblPr>
        <w:tblStyle w:val="32"/>
        <w:tblW w:w="0" w:type="auto"/>
        <w:jc w:val="center"/>
        <w:tblLayout w:type="autofit"/>
        <w:tblCellMar>
          <w:top w:w="0" w:type="dxa"/>
          <w:left w:w="108" w:type="dxa"/>
          <w:bottom w:w="0" w:type="dxa"/>
          <w:right w:w="108" w:type="dxa"/>
        </w:tblCellMar>
      </w:tblPr>
      <w:tblGrid>
        <w:gridCol w:w="3081"/>
        <w:gridCol w:w="3081"/>
        <w:gridCol w:w="3081"/>
      </w:tblGrid>
      <w:tr w14:paraId="511CEBD1">
        <w:tblPrEx>
          <w:tblCellMar>
            <w:top w:w="0" w:type="dxa"/>
            <w:left w:w="108" w:type="dxa"/>
            <w:bottom w:w="0" w:type="dxa"/>
            <w:right w:w="108" w:type="dxa"/>
          </w:tblCellMar>
        </w:tblPrEx>
        <w:trPr>
          <w:tblHeader/>
          <w:jc w:val="center"/>
        </w:trPr>
        <w:tc>
          <w:tcPr>
            <w:tcW w:w="3081" w:type="dxa"/>
            <w:tcBorders>
              <w:top w:val="single" w:color="000000" w:sz="12" w:space="0"/>
              <w:left w:val="nil"/>
              <w:bottom w:val="single" w:color="000000" w:sz="4" w:space="0"/>
              <w:right w:val="nil"/>
              <w:tl2br w:val="nil"/>
            </w:tcBorders>
            <w:shd w:val="clear" w:color="auto" w:fill="FFFFFF"/>
            <w:vAlign w:val="center"/>
          </w:tcPr>
          <w:p w14:paraId="1D53D60F">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候选实例</w:t>
            </w:r>
          </w:p>
        </w:tc>
        <w:tc>
          <w:tcPr>
            <w:tcW w:w="3081" w:type="dxa"/>
            <w:tcBorders>
              <w:top w:val="single" w:color="000000" w:sz="12" w:space="0"/>
              <w:left w:val="nil"/>
              <w:bottom w:val="single" w:color="000000" w:sz="4" w:space="0"/>
              <w:right w:val="nil"/>
            </w:tcBorders>
            <w:shd w:val="clear" w:color="auto" w:fill="FFFFFF"/>
            <w:vAlign w:val="center"/>
          </w:tcPr>
          <w:p w14:paraId="554980AB">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观测事实</w:t>
            </w:r>
          </w:p>
        </w:tc>
        <w:tc>
          <w:tcPr>
            <w:tcW w:w="3081" w:type="dxa"/>
            <w:tcBorders>
              <w:top w:val="single" w:color="000000" w:sz="12" w:space="0"/>
              <w:left w:val="nil"/>
              <w:bottom w:val="single" w:color="000000" w:sz="4" w:space="0"/>
              <w:right w:val="nil"/>
            </w:tcBorders>
            <w:shd w:val="clear" w:color="auto" w:fill="FFFFFF"/>
            <w:vAlign w:val="center"/>
          </w:tcPr>
          <w:p w14:paraId="4E843965">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初步解释范围</w:t>
            </w:r>
          </w:p>
        </w:tc>
      </w:tr>
      <w:tr w14:paraId="030C8B2C">
        <w:tblPrEx>
          <w:tblCellMar>
            <w:top w:w="0" w:type="dxa"/>
            <w:left w:w="108" w:type="dxa"/>
            <w:bottom w:w="0" w:type="dxa"/>
            <w:right w:w="108" w:type="dxa"/>
          </w:tblCellMar>
        </w:tblPrEx>
        <w:trPr>
          <w:jc w:val="center"/>
        </w:trPr>
        <w:tc>
          <w:tcPr>
            <w:tcW w:w="3081" w:type="dxa"/>
            <w:tcBorders>
              <w:top w:val="single" w:color="000000" w:sz="4" w:space="0"/>
              <w:left w:val="nil"/>
              <w:bottom w:val="nil"/>
              <w:right w:val="nil"/>
            </w:tcBorders>
            <w:shd w:val="clear" w:color="auto" w:fill="FFFFFF"/>
            <w:vAlign w:val="center"/>
          </w:tcPr>
          <w:p w14:paraId="66F2D2A7">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Time 711 / 13_0_11</w:t>
            </w:r>
          </w:p>
        </w:tc>
        <w:tc>
          <w:tcPr>
            <w:tcW w:w="3081" w:type="dxa"/>
            <w:tcBorders>
              <w:top w:val="single" w:color="000000" w:sz="4" w:space="0"/>
              <w:left w:val="nil"/>
              <w:bottom w:val="nil"/>
              <w:right w:val="nil"/>
            </w:tcBorders>
            <w:shd w:val="clear" w:color="auto" w:fill="FFFFFF"/>
            <w:vAlign w:val="center"/>
          </w:tcPr>
          <w:p w14:paraId="78C067D1">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四个 KPI 的 beam-z 均 &gt;10；3σ=4 项，IQR=4 项</w:t>
            </w:r>
          </w:p>
        </w:tc>
        <w:tc>
          <w:tcPr>
            <w:tcW w:w="3081" w:type="dxa"/>
            <w:tcBorders>
              <w:top w:val="single" w:color="000000" w:sz="4" w:space="0"/>
              <w:left w:val="nil"/>
              <w:bottom w:val="nil"/>
              <w:right w:val="nil"/>
            </w:tcBorders>
            <w:shd w:val="clear" w:color="auto" w:fill="FFFFFF"/>
            <w:vAlign w:val="center"/>
          </w:tcPr>
          <w:p w14:paraId="0D9D84B1">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极端多指标同时偏离，适合首先查验告警及数据质量</w:t>
            </w:r>
          </w:p>
        </w:tc>
      </w:tr>
      <w:tr w14:paraId="64AA9A0D">
        <w:tblPrEx>
          <w:tblCellMar>
            <w:top w:w="0" w:type="dxa"/>
            <w:left w:w="108" w:type="dxa"/>
            <w:bottom w:w="0" w:type="dxa"/>
            <w:right w:w="108" w:type="dxa"/>
          </w:tblCellMar>
        </w:tblPrEx>
        <w:trPr>
          <w:jc w:val="center"/>
        </w:trPr>
        <w:tc>
          <w:tcPr>
            <w:tcW w:w="3081" w:type="dxa"/>
            <w:tcBorders>
              <w:top w:val="nil"/>
              <w:left w:val="nil"/>
              <w:bottom w:val="nil"/>
              <w:right w:val="nil"/>
            </w:tcBorders>
            <w:shd w:val="clear" w:color="auto" w:fill="FFFFFF"/>
            <w:vAlign w:val="center"/>
          </w:tcPr>
          <w:p w14:paraId="75F53CA6">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Time 715 / 22_2_13</w:t>
            </w:r>
          </w:p>
        </w:tc>
        <w:tc>
          <w:tcPr>
            <w:tcW w:w="3081" w:type="dxa"/>
            <w:tcBorders>
              <w:top w:val="nil"/>
              <w:left w:val="nil"/>
              <w:bottom w:val="nil"/>
              <w:right w:val="nil"/>
            </w:tcBorders>
            <w:shd w:val="clear" w:color="auto" w:fill="FFFFFF"/>
            <w:vAlign w:val="center"/>
          </w:tcPr>
          <w:p w14:paraId="1971894B">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DLPRB=22.86、DLThpVol=19.18、DLThpTime=25.44；3σ=3 项</w:t>
            </w:r>
          </w:p>
        </w:tc>
        <w:tc>
          <w:tcPr>
            <w:tcW w:w="3081" w:type="dxa"/>
            <w:tcBorders>
              <w:top w:val="nil"/>
              <w:left w:val="nil"/>
              <w:bottom w:val="nil"/>
              <w:right w:val="nil"/>
            </w:tcBorders>
            <w:shd w:val="clear" w:color="auto" w:fill="FFFFFF"/>
            <w:vAlign w:val="center"/>
          </w:tcPr>
          <w:p w14:paraId="33A7DD5E">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较高负载/业务活跃度假设，仍需基线与外部指标</w:t>
            </w:r>
          </w:p>
        </w:tc>
      </w:tr>
      <w:tr w14:paraId="142D1722">
        <w:tblPrEx>
          <w:tblCellMar>
            <w:top w:w="0" w:type="dxa"/>
            <w:left w:w="108" w:type="dxa"/>
            <w:bottom w:w="0" w:type="dxa"/>
            <w:right w:w="108" w:type="dxa"/>
          </w:tblCellMar>
        </w:tblPrEx>
        <w:trPr>
          <w:jc w:val="center"/>
        </w:trPr>
        <w:tc>
          <w:tcPr>
            <w:tcW w:w="3081" w:type="dxa"/>
            <w:tcBorders>
              <w:top w:val="nil"/>
              <w:left w:val="nil"/>
              <w:bottom w:val="single" w:color="000000" w:sz="12" w:space="0"/>
              <w:right w:val="nil"/>
            </w:tcBorders>
            <w:shd w:val="clear" w:color="auto" w:fill="FFFFFF"/>
            <w:vAlign w:val="center"/>
          </w:tcPr>
          <w:p w14:paraId="64A0EB8C">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Time 835 / 22_2_13</w:t>
            </w:r>
          </w:p>
        </w:tc>
        <w:tc>
          <w:tcPr>
            <w:tcW w:w="3081" w:type="dxa"/>
            <w:tcBorders>
              <w:top w:val="nil"/>
              <w:left w:val="nil"/>
              <w:bottom w:val="single" w:color="000000" w:sz="12" w:space="0"/>
              <w:right w:val="nil"/>
            </w:tcBorders>
            <w:shd w:val="clear" w:color="auto" w:fill="FFFFFF"/>
            <w:vAlign w:val="center"/>
          </w:tcPr>
          <w:p w14:paraId="0B334B19">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多 KPI 再次被标记；3σ=3 项，IQR=4 项</w:t>
            </w:r>
          </w:p>
        </w:tc>
        <w:tc>
          <w:tcPr>
            <w:tcW w:w="3081" w:type="dxa"/>
            <w:tcBorders>
              <w:top w:val="nil"/>
              <w:left w:val="nil"/>
              <w:bottom w:val="single" w:color="000000" w:sz="12" w:space="0"/>
              <w:right w:val="nil"/>
            </w:tcBorders>
            <w:shd w:val="clear" w:color="auto" w:fill="FFFFFF"/>
            <w:vAlign w:val="center"/>
          </w:tcPr>
          <w:p w14:paraId="0B479745">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同一 beam 复现候选，值得查看重复性与周期性</w:t>
            </w:r>
          </w:p>
        </w:tc>
      </w:tr>
    </w:tbl>
    <w:p w14:paraId="0492029B">
      <w:pPr>
        <w:pStyle w:val="3"/>
        <w:rPr>
          <w:rFonts w:hint="default" w:ascii="Times New Roman" w:hAnsi="Times New Roman" w:eastAsia="宋体" w:cs="Times New Roman"/>
        </w:rPr>
      </w:pPr>
      <w:r>
        <w:rPr>
          <w:rFonts w:hint="default" w:ascii="Times New Roman" w:hAnsi="Times New Roman" w:eastAsia="宋体" w:cs="Times New Roman"/>
        </w:rPr>
        <w:t>4. 初步根因假设与验证路径</w:t>
      </w:r>
    </w:p>
    <w:tbl>
      <w:tblPr>
        <w:tblStyle w:val="32"/>
        <w:tblW w:w="0" w:type="auto"/>
        <w:jc w:val="center"/>
        <w:tblLayout w:type="autofit"/>
        <w:tblCellMar>
          <w:top w:w="0" w:type="dxa"/>
          <w:left w:w="108" w:type="dxa"/>
          <w:bottom w:w="0" w:type="dxa"/>
          <w:right w:w="108" w:type="dxa"/>
        </w:tblCellMar>
      </w:tblPr>
      <w:tblGrid>
        <w:gridCol w:w="3081"/>
        <w:gridCol w:w="3081"/>
        <w:gridCol w:w="3081"/>
      </w:tblGrid>
      <w:tr w14:paraId="3784CBD4">
        <w:trPr>
          <w:tblHeader/>
          <w:jc w:val="center"/>
        </w:trPr>
        <w:tc>
          <w:tcPr>
            <w:tcW w:w="3081" w:type="dxa"/>
            <w:tcBorders>
              <w:top w:val="single" w:color="222222" w:sz="14" w:space="0"/>
              <w:bottom w:val="single" w:color="222222" w:sz="4" w:space="0"/>
            </w:tcBorders>
            <w:vAlign w:val="center"/>
          </w:tcPr>
          <w:p w14:paraId="31F263AE">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候选模式</w:t>
            </w:r>
          </w:p>
        </w:tc>
        <w:tc>
          <w:tcPr>
            <w:tcW w:w="3081" w:type="dxa"/>
            <w:tcBorders>
              <w:top w:val="single" w:color="222222" w:sz="14" w:space="0"/>
              <w:bottom w:val="single" w:color="222222" w:sz="4" w:space="0"/>
            </w:tcBorders>
            <w:vAlign w:val="center"/>
          </w:tcPr>
          <w:p w14:paraId="0166DE98">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待检验假设</w:t>
            </w:r>
          </w:p>
        </w:tc>
        <w:tc>
          <w:tcPr>
            <w:tcW w:w="3081" w:type="dxa"/>
            <w:tcBorders>
              <w:top w:val="single" w:color="222222" w:sz="14" w:space="0"/>
              <w:bottom w:val="single" w:color="222222" w:sz="4" w:space="0"/>
            </w:tcBorders>
            <w:vAlign w:val="center"/>
          </w:tcPr>
          <w:p w14:paraId="6305588F">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需要补充的验证材料</w:t>
            </w:r>
          </w:p>
        </w:tc>
      </w:tr>
      <w:tr w14:paraId="5E313731">
        <w:tblPrEx>
          <w:tblCellMar>
            <w:top w:w="0" w:type="dxa"/>
            <w:left w:w="108" w:type="dxa"/>
            <w:bottom w:w="0" w:type="dxa"/>
            <w:right w:w="108" w:type="dxa"/>
          </w:tblCellMar>
        </w:tblPrEx>
        <w:trPr>
          <w:jc w:val="center"/>
        </w:trPr>
        <w:tc>
          <w:tcPr>
            <w:tcW w:w="3081" w:type="dxa"/>
            <w:vAlign w:val="center"/>
          </w:tcPr>
          <w:p w14:paraId="0F491B73">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DLPRB ↑，DLThpVol / DLThpTime 同向增加</w:t>
            </w:r>
          </w:p>
        </w:tc>
        <w:tc>
          <w:tcPr>
            <w:tcW w:w="3081" w:type="dxa"/>
            <w:vAlign w:val="center"/>
          </w:tcPr>
          <w:p w14:paraId="1C7BBA7C">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业务负载抬升或调度资源压力</w:t>
            </w:r>
          </w:p>
        </w:tc>
        <w:tc>
          <w:tcPr>
            <w:tcW w:w="3081" w:type="dxa"/>
            <w:vAlign w:val="center"/>
          </w:tcPr>
          <w:p w14:paraId="2DA0C0B1">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PRB 资源占用、调度日志、UE 数与吞吐量</w:t>
            </w:r>
          </w:p>
        </w:tc>
      </w:tr>
      <w:tr w14:paraId="34D10C4D">
        <w:tblPrEx>
          <w:tblCellMar>
            <w:top w:w="0" w:type="dxa"/>
            <w:left w:w="108" w:type="dxa"/>
            <w:bottom w:w="0" w:type="dxa"/>
            <w:right w:w="108" w:type="dxa"/>
          </w:tblCellMar>
        </w:tblPrEx>
        <w:trPr>
          <w:jc w:val="center"/>
        </w:trPr>
        <w:tc>
          <w:tcPr>
            <w:tcW w:w="3081" w:type="dxa"/>
            <w:vAlign w:val="center"/>
          </w:tcPr>
          <w:p w14:paraId="24F4FDFD">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DLThpTime 偏高，而 DLThpVol 未同比增长</w:t>
            </w:r>
          </w:p>
        </w:tc>
        <w:tc>
          <w:tcPr>
            <w:tcW w:w="3081" w:type="dxa"/>
            <w:vAlign w:val="center"/>
          </w:tcPr>
          <w:p w14:paraId="5A909885">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有效吞吐效率变化或业务持续时间变化</w:t>
            </w:r>
          </w:p>
        </w:tc>
        <w:tc>
          <w:tcPr>
            <w:tcW w:w="3081" w:type="dxa"/>
            <w:vAlign w:val="center"/>
          </w:tcPr>
          <w:p w14:paraId="05901A21">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MCS、BLER、重传率、SINR、业务类型</w:t>
            </w:r>
          </w:p>
        </w:tc>
      </w:tr>
      <w:tr w14:paraId="6738F0DE">
        <w:tblPrEx>
          <w:tblCellMar>
            <w:top w:w="0" w:type="dxa"/>
            <w:left w:w="108" w:type="dxa"/>
            <w:bottom w:w="0" w:type="dxa"/>
            <w:right w:w="108" w:type="dxa"/>
          </w:tblCellMar>
        </w:tblPrEx>
        <w:trPr>
          <w:jc w:val="center"/>
        </w:trPr>
        <w:tc>
          <w:tcPr>
            <w:tcW w:w="3081" w:type="dxa"/>
            <w:vAlign w:val="center"/>
          </w:tcPr>
          <w:p w14:paraId="0BB7F459">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MR_number 异常伴随其他 KPI 同向变化</w:t>
            </w:r>
          </w:p>
        </w:tc>
        <w:tc>
          <w:tcPr>
            <w:tcW w:w="3081" w:type="dxa"/>
            <w:vAlign w:val="center"/>
          </w:tcPr>
          <w:p w14:paraId="24B54387">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测量活动或活跃终端规模变化</w:t>
            </w:r>
          </w:p>
        </w:tc>
        <w:tc>
          <w:tcPr>
            <w:tcW w:w="3081" w:type="dxa"/>
            <w:vAlign w:val="center"/>
          </w:tcPr>
          <w:p w14:paraId="31063A86">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RRC/测量配置、活跃 UE、切换记录</w:t>
            </w:r>
          </w:p>
        </w:tc>
      </w:tr>
      <w:tr w14:paraId="738BC556">
        <w:tblPrEx>
          <w:tblCellMar>
            <w:top w:w="0" w:type="dxa"/>
            <w:left w:w="108" w:type="dxa"/>
            <w:bottom w:w="0" w:type="dxa"/>
            <w:right w:w="108" w:type="dxa"/>
          </w:tblCellMar>
        </w:tblPrEx>
        <w:trPr>
          <w:jc w:val="center"/>
        </w:trPr>
        <w:tc>
          <w:tcPr>
            <w:tcW w:w="3081" w:type="dxa"/>
            <w:tcBorders>
              <w:bottom w:val="single" w:color="222222" w:sz="12" w:space="0"/>
            </w:tcBorders>
            <w:vAlign w:val="center"/>
          </w:tcPr>
          <w:p w14:paraId="3145939B">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多个相邻 beam / cell 在同一时刻异常</w:t>
            </w:r>
          </w:p>
        </w:tc>
        <w:tc>
          <w:tcPr>
            <w:tcW w:w="3081" w:type="dxa"/>
            <w:tcBorders>
              <w:bottom w:val="single" w:color="222222" w:sz="12" w:space="0"/>
            </w:tcBorders>
            <w:vAlign w:val="center"/>
          </w:tcPr>
          <w:p w14:paraId="37FB85E8">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共享站点级、流量模式或共同外部事件</w:t>
            </w:r>
          </w:p>
        </w:tc>
        <w:tc>
          <w:tcPr>
            <w:tcW w:w="3081" w:type="dxa"/>
            <w:tcBorders>
              <w:bottom w:val="single" w:color="222222" w:sz="12" w:space="0"/>
            </w:tcBorders>
            <w:vAlign w:val="center"/>
          </w:tcPr>
          <w:p w14:paraId="754DC1D1">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站点告警、负荷、拓扑和相邻小区对照</w:t>
            </w:r>
          </w:p>
        </w:tc>
      </w:tr>
    </w:tbl>
    <w:p w14:paraId="2DC16CF8">
      <w:pPr>
        <w:spacing w:after="20"/>
        <w:rPr>
          <w:rFonts w:hint="default" w:ascii="Times New Roman" w:hAnsi="Times New Roman" w:eastAsia="宋体" w:cs="Times New Roman"/>
        </w:rPr>
      </w:pPr>
    </w:p>
    <w:p w14:paraId="160EC8AC">
      <w:pPr>
        <w:pStyle w:val="3"/>
        <w:rPr>
          <w:rFonts w:hint="default" w:ascii="Times New Roman" w:hAnsi="Times New Roman" w:eastAsia="宋体" w:cs="Times New Roman"/>
        </w:rPr>
      </w:pPr>
      <w:r>
        <w:rPr>
          <w:rFonts w:hint="default" w:ascii="Times New Roman" w:hAnsi="Times New Roman" w:eastAsia="宋体" w:cs="Times New Roman"/>
        </w:rPr>
        <w:t>5. 建议的最小可行分析流程</w:t>
      </w:r>
    </w:p>
    <w:p w14:paraId="61E11919">
      <w:pPr>
        <w:rPr>
          <w:rFonts w:hint="default" w:ascii="Times New Roman" w:hAnsi="Times New Roman" w:eastAsia="宋体" w:cs="Times New Roman"/>
        </w:rPr>
      </w:pPr>
      <w:r>
        <w:rPr>
          <w:rFonts w:hint="default" w:ascii="Times New Roman" w:hAnsi="Times New Roman" w:eastAsia="宋体" w:cs="Times New Roman"/>
        </w:rPr>
        <w:t>首先依据联合异常结果建立 “Time—基站—cell—beam” 四级索引；其次在前后 3–6 小时内提取四个 KPI 的原始值、按 beam 的 z 分数及一阶变化，生成事件卡片；再分别统计同站点、同小区和邻近时段的异常占比，以区分局部孤立事件与群体联动；随后通过正常同期对照检验异常是日常周期性高负载还是明显的历史偏离；最后结合外部告警及无线测量数据，记录“假设、支持证据、反证、待验证项”。</w:t>
      </w:r>
    </w:p>
    <w:p w14:paraId="5F7B180E">
      <w:pPr>
        <w:rPr>
          <w:rFonts w:hint="default" w:ascii="Times New Roman" w:hAnsi="Times New Roman" w:eastAsia="宋体" w:cs="Times New Roman"/>
        </w:rPr>
      </w:pPr>
      <w:r>
        <w:rPr>
          <w:rFonts w:hint="default" w:ascii="Times New Roman" w:hAnsi="Times New Roman" w:eastAsia="宋体" w:cs="Times New Roman"/>
        </w:rPr>
        <w:t>为使方案可以复现，建议输出两级结果：事件级表保留异常评分、触发算法、主要偏离 KPI 及邻近样本；小区或基站级汇总输出异常率、持续小时数与受影响 beam 比例。仅在具备外部真值后，再考虑将疑似模式升级为特定故障根因标签。</w:t>
      </w:r>
    </w:p>
    <w:p w14:paraId="5EB7FFEA">
      <w:pPr>
        <w:pStyle w:val="3"/>
        <w:rPr>
          <w:rFonts w:hint="default" w:ascii="Times New Roman" w:hAnsi="Times New Roman" w:eastAsia="宋体" w:cs="Times New Roman"/>
        </w:rPr>
      </w:pPr>
      <w:r>
        <w:rPr>
          <w:rFonts w:hint="default" w:ascii="Times New Roman" w:hAnsi="Times New Roman" w:eastAsia="宋体" w:cs="Times New Roman"/>
        </w:rPr>
        <w:t>6. 根因假设的验证优先级与证伪准则</w:t>
      </w:r>
    </w:p>
    <w:p w14:paraId="23309C23">
      <w:pPr>
        <w:spacing w:after="100"/>
        <w:rPr>
          <w:rFonts w:hint="default" w:ascii="Times New Roman" w:hAnsi="Times New Roman" w:eastAsia="宋体" w:cs="Times New Roman"/>
        </w:rPr>
      </w:pPr>
      <w:r>
        <w:rPr>
          <w:rFonts w:hint="default" w:ascii="Times New Roman" w:hAnsi="Times New Roman" w:eastAsia="宋体" w:cs="Times New Roman"/>
        </w:rPr>
        <w:t>从候选事件到潜在根因需要新增外部证据。初步分析可通过“同beam历史对照→同cell同步性→同基站空间扩散→告警/无线质量核查”的顺序降低误判，不能直接将联动的KPI数值映射为确定故障类型。</w:t>
      </w:r>
    </w:p>
    <w:tbl>
      <w:tblPr>
        <w:tblStyle w:val="32"/>
        <w:tblW w:w="0" w:type="auto"/>
        <w:jc w:val="center"/>
        <w:tblLayout w:type="fixed"/>
        <w:tblCellMar>
          <w:top w:w="0" w:type="dxa"/>
          <w:left w:w="108" w:type="dxa"/>
          <w:bottom w:w="0" w:type="dxa"/>
          <w:right w:w="108" w:type="dxa"/>
        </w:tblCellMar>
      </w:tblPr>
      <w:tblGrid>
        <w:gridCol w:w="3081"/>
        <w:gridCol w:w="3081"/>
        <w:gridCol w:w="3081"/>
      </w:tblGrid>
      <w:tr w14:paraId="2270E1CA">
        <w:tblPrEx>
          <w:tblCellMar>
            <w:top w:w="0" w:type="dxa"/>
            <w:left w:w="108" w:type="dxa"/>
            <w:bottom w:w="0" w:type="dxa"/>
            <w:right w:w="108" w:type="dxa"/>
          </w:tblCellMar>
        </w:tblPrEx>
        <w:trPr>
          <w:cantSplit/>
          <w:tblHeader/>
          <w:jc w:val="center"/>
        </w:trPr>
        <w:tc>
          <w:tcPr>
            <w:tcW w:w="950" w:type="dxa"/>
            <w:tcBorders>
              <w:top w:val="single" w:color="151515" w:sz="12" w:space="0"/>
              <w:bottom w:val="single" w:color="151515" w:sz="8" w:space="0"/>
            </w:tcBorders>
            <w:vAlign w:val="center"/>
          </w:tcPr>
          <w:p w14:paraId="667911F2">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优先级</w:t>
            </w:r>
          </w:p>
        </w:tc>
        <w:tc>
          <w:tcPr>
            <w:tcW w:w="3082" w:type="dxa"/>
            <w:tcBorders>
              <w:top w:val="single" w:color="151515" w:sz="12" w:space="0"/>
              <w:bottom w:val="single" w:color="151515" w:sz="8" w:space="0"/>
            </w:tcBorders>
            <w:vAlign w:val="center"/>
          </w:tcPr>
          <w:p w14:paraId="505C8A05">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触发线索</w:t>
            </w:r>
          </w:p>
        </w:tc>
        <w:tc>
          <w:tcPr>
            <w:tcW w:w="4968" w:type="dxa"/>
            <w:tcBorders>
              <w:top w:val="single" w:color="151515" w:sz="12" w:space="0"/>
              <w:bottom w:val="single" w:color="151515" w:sz="8" w:space="0"/>
            </w:tcBorders>
            <w:vAlign w:val="center"/>
          </w:tcPr>
          <w:p w14:paraId="1DA39257">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优先核验与反证</w:t>
            </w:r>
          </w:p>
        </w:tc>
      </w:tr>
      <w:tr w14:paraId="1F301586">
        <w:tblPrEx>
          <w:tblCellMar>
            <w:top w:w="0" w:type="dxa"/>
            <w:left w:w="108" w:type="dxa"/>
            <w:bottom w:w="0" w:type="dxa"/>
            <w:right w:w="108" w:type="dxa"/>
          </w:tblCellMar>
        </w:tblPrEx>
        <w:trPr>
          <w:cantSplit/>
          <w:jc w:val="center"/>
        </w:trPr>
        <w:tc>
          <w:tcPr>
            <w:tcW w:w="950" w:type="dxa"/>
            <w:vAlign w:val="center"/>
          </w:tcPr>
          <w:p w14:paraId="6A98B0AB">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P1</w:t>
            </w:r>
          </w:p>
        </w:tc>
        <w:tc>
          <w:tcPr>
            <w:tcW w:w="3082" w:type="dxa"/>
            <w:vAlign w:val="center"/>
          </w:tcPr>
          <w:p w14:paraId="4BA613FF">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同cell多个beam同小时异常</w:t>
            </w:r>
          </w:p>
        </w:tc>
        <w:tc>
          <w:tcPr>
            <w:tcW w:w="4968" w:type="dxa"/>
            <w:vAlign w:val="center"/>
          </w:tcPr>
          <w:p w14:paraId="723BF7AE">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检查小区告警、载荷及相邻beam；若均为规律峰值则降低故障优先级</w:t>
            </w:r>
          </w:p>
        </w:tc>
      </w:tr>
      <w:tr w14:paraId="5FCF1E08">
        <w:tblPrEx>
          <w:tblCellMar>
            <w:top w:w="0" w:type="dxa"/>
            <w:left w:w="108" w:type="dxa"/>
            <w:bottom w:w="0" w:type="dxa"/>
            <w:right w:w="108" w:type="dxa"/>
          </w:tblCellMar>
        </w:tblPrEx>
        <w:trPr>
          <w:cantSplit/>
          <w:jc w:val="center"/>
        </w:trPr>
        <w:tc>
          <w:tcPr>
            <w:tcW w:w="950" w:type="dxa"/>
            <w:vAlign w:val="center"/>
          </w:tcPr>
          <w:p w14:paraId="722C5084">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P1</w:t>
            </w:r>
          </w:p>
        </w:tc>
        <w:tc>
          <w:tcPr>
            <w:tcW w:w="3082" w:type="dxa"/>
            <w:vAlign w:val="center"/>
          </w:tcPr>
          <w:p w14:paraId="07192A61">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同beam连续多小时反复候选</w:t>
            </w:r>
          </w:p>
        </w:tc>
        <w:tc>
          <w:tcPr>
            <w:tcW w:w="4968" w:type="dxa"/>
            <w:vAlign w:val="center"/>
          </w:tcPr>
          <w:p w14:paraId="7456EE5B">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比对前后6小时与往日同小时；若具周期性则可能为常规高负载</w:t>
            </w:r>
          </w:p>
        </w:tc>
      </w:tr>
      <w:tr w14:paraId="49952F45">
        <w:tblPrEx>
          <w:tblCellMar>
            <w:top w:w="0" w:type="dxa"/>
            <w:left w:w="108" w:type="dxa"/>
            <w:bottom w:w="0" w:type="dxa"/>
            <w:right w:w="108" w:type="dxa"/>
          </w:tblCellMar>
        </w:tblPrEx>
        <w:trPr>
          <w:cantSplit/>
          <w:jc w:val="center"/>
        </w:trPr>
        <w:tc>
          <w:tcPr>
            <w:tcW w:w="950" w:type="dxa"/>
            <w:vAlign w:val="center"/>
          </w:tcPr>
          <w:p w14:paraId="652DB84E">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P2</w:t>
            </w:r>
          </w:p>
        </w:tc>
        <w:tc>
          <w:tcPr>
            <w:tcW w:w="3082" w:type="dxa"/>
            <w:vAlign w:val="center"/>
          </w:tcPr>
          <w:p w14:paraId="398D6F12">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DLPRB与MR_number同时偏高</w:t>
            </w:r>
          </w:p>
        </w:tc>
        <w:tc>
          <w:tcPr>
            <w:tcW w:w="4968" w:type="dxa"/>
            <w:vAlign w:val="center"/>
          </w:tcPr>
          <w:p w14:paraId="41A41B38">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排查调度负荷和测量上报；无相关告警/质量恶化时不作拥塞认定</w:t>
            </w:r>
          </w:p>
        </w:tc>
      </w:tr>
      <w:tr w14:paraId="33599B6A">
        <w:tblPrEx>
          <w:tblCellMar>
            <w:top w:w="0" w:type="dxa"/>
            <w:left w:w="108" w:type="dxa"/>
            <w:bottom w:w="0" w:type="dxa"/>
            <w:right w:w="108" w:type="dxa"/>
          </w:tblCellMar>
        </w:tblPrEx>
        <w:trPr>
          <w:cantSplit/>
          <w:jc w:val="center"/>
        </w:trPr>
        <w:tc>
          <w:tcPr>
            <w:tcW w:w="950" w:type="dxa"/>
            <w:tcBorders>
              <w:bottom w:val="single" w:color="151515" w:sz="12" w:space="0"/>
            </w:tcBorders>
            <w:vAlign w:val="center"/>
          </w:tcPr>
          <w:p w14:paraId="443BEAEC">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P2</w:t>
            </w:r>
          </w:p>
        </w:tc>
        <w:tc>
          <w:tcPr>
            <w:tcW w:w="3082" w:type="dxa"/>
            <w:tcBorders>
              <w:bottom w:val="single" w:color="151515" w:sz="12" w:space="0"/>
            </w:tcBorders>
            <w:vAlign w:val="center"/>
          </w:tcPr>
          <w:p w14:paraId="194BFE67">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DLThpVol与DLThpTime共同变化</w:t>
            </w:r>
          </w:p>
        </w:tc>
        <w:tc>
          <w:tcPr>
            <w:tcW w:w="4968" w:type="dxa"/>
            <w:tcBorders>
              <w:bottom w:val="single" w:color="151515" w:sz="12" w:space="0"/>
            </w:tcBorders>
            <w:vAlign w:val="center"/>
          </w:tcPr>
          <w:p w14:paraId="70F481C4">
            <w:pPr>
              <w:widowControl/>
              <w:rPr>
                <w:rFonts w:hint="default" w:ascii="Times New Roman" w:hAnsi="Times New Roman" w:eastAsia="宋体" w:cs="Times New Roman"/>
                <w:b w:val="0"/>
                <w:color w:val="000000"/>
              </w:rPr>
            </w:pPr>
            <w:r>
              <w:rPr>
                <w:rFonts w:hint="default" w:ascii="Times New Roman" w:hAnsi="Times New Roman" w:eastAsia="宋体" w:cs="Times New Roman"/>
                <w:b w:val="0"/>
                <w:color w:val="000000"/>
              </w:rPr>
              <w:t>核查业务量和吞吐时长的同步趋势；不由相关性单独推定链路故障</w:t>
            </w:r>
          </w:p>
        </w:tc>
      </w:tr>
    </w:tbl>
    <w:p w14:paraId="678EBFD2">
      <w:pPr>
        <w:pStyle w:val="4"/>
        <w:spacing w:before="140" w:after="60"/>
        <w:rPr>
          <w:rFonts w:hint="default" w:ascii="Times New Roman" w:hAnsi="Times New Roman" w:eastAsia="宋体" w:cs="Times New Roman"/>
        </w:rPr>
      </w:pPr>
      <w:r>
        <w:rPr>
          <w:rFonts w:hint="default" w:ascii="Times New Roman" w:hAnsi="Times New Roman" w:eastAsia="宋体" w:cs="Times New Roman"/>
        </w:rPr>
        <w:t>6.1 个案与总体推断的边界</w:t>
      </w:r>
    </w:p>
    <w:p w14:paraId="49F427A4">
      <w:pPr>
        <w:spacing w:after="100"/>
        <w:rPr>
          <w:rFonts w:hint="default" w:ascii="Times New Roman" w:hAnsi="Times New Roman" w:eastAsia="宋体" w:cs="Times New Roman"/>
        </w:rPr>
      </w:pPr>
      <w:r>
        <w:rPr>
          <w:rFonts w:hint="default" w:ascii="Times New Roman" w:hAnsi="Times New Roman" w:eastAsia="宋体" w:cs="Times New Roman"/>
        </w:rPr>
        <w:t>在已导出的2,000条高优先级事件里，Time=711、base_station=13、cell=0、beam=11 出现四个KPI均超过逐beam的3σ阈值；Time=715、基站22、小区2、beam13 中 DLPRB、DLThpVol、DLThpTime 分别约为3.09σ、3.36σ、3.42σ。上述实例可用作调查样例，不能据此证明设备故障。</w:t>
      </w:r>
    </w:p>
    <w:p w14:paraId="765BAA2B">
      <w:pPr>
        <w:spacing w:after="100"/>
        <w:rPr>
          <w:rFonts w:hint="default" w:ascii="Times New Roman" w:hAnsi="Times New Roman" w:eastAsia="宋体" w:cs="Times New Roman"/>
        </w:rPr>
      </w:pPr>
      <w:r>
        <w:rPr>
          <w:rFonts w:hint="default" w:ascii="Times New Roman" w:hAnsi="Times New Roman" w:eastAsia="宋体" w:cs="Times New Roman"/>
        </w:rPr>
        <w:t>候选子集的 Pearson r(DLPRB, MR_number)≈0.889，属于已按异常规则筛选后的相关结构；筛选本身可能造成或加强相关性。建议增补未筛选测试集、正常时段与候选子集的相关矩阵作对照，并对事件前后变化进行检验。</w:t>
      </w:r>
    </w:p>
    <w:p w14:paraId="7550BD95">
      <w:pPr>
        <w:spacing w:after="100"/>
        <w:rPr>
          <w:rFonts w:hint="default" w:ascii="Times New Roman" w:hAnsi="Times New Roman" w:eastAsia="宋体" w:cs="Times New Roman"/>
        </w:rPr>
      </w:pPr>
      <w:r>
        <w:rPr>
          <w:rFonts w:hint="default" w:ascii="Times New Roman" w:hAnsi="Times New Roman" w:eastAsia="宋体" w:cs="Times New Roman"/>
        </w:rPr>
        <w:t>报告完成标准为：对每个重点事件生成可追溯的Time/基站/cell/beam标识、触发规则、主要偏离KPI、邻近时段曲线、同小区对照、外部验证状态。无法取得工单或设备告警时，输出“待核验假设”，而非具体故障标签。</w:t>
      </w:r>
    </w:p>
    <w:p w14:paraId="7F674726">
      <w:pPr>
        <w:pStyle w:val="3"/>
        <w:rPr>
          <w:rFonts w:hint="default" w:ascii="Times New Roman" w:hAnsi="Times New Roman" w:eastAsia="宋体" w:cs="Times New Roman"/>
        </w:rPr>
      </w:pPr>
      <w:r>
        <w:rPr>
          <w:rFonts w:hint="default" w:ascii="Times New Roman" w:hAnsi="Times New Roman" w:eastAsia="宋体" w:cs="Times New Roman"/>
        </w:rPr>
        <w:t>7. 局限、后续工作与结论</w:t>
      </w:r>
    </w:p>
    <w:p w14:paraId="45871993">
      <w:pPr>
        <w:rPr>
          <w:rFonts w:hint="default" w:ascii="Times New Roman" w:hAnsi="Times New Roman" w:eastAsia="宋体" w:cs="Times New Roman"/>
        </w:rPr>
      </w:pPr>
      <w:r>
        <w:rPr>
          <w:rFonts w:hint="default" w:ascii="Times New Roman" w:hAnsi="Times New Roman" w:eastAsia="宋体" w:cs="Times New Roman"/>
        </w:rPr>
        <w:t>当前仅覆盖四类 KPI，缺少射频质量、移动性、业务类型、终端数量、设备告警及现场维护记录，因此暂不具备完成“设备故障、拥塞、干扰或切换故障”确定性归因的证据条件。相关矩阵基于已筛选事件，不宜推广为正常网络的普遍相关规律；导出的前 2,000 条记录亦不可代表全部 3,165 条候选的空间分布。</w:t>
      </w:r>
    </w:p>
    <w:p w14:paraId="3EB79091">
      <w:pPr>
        <w:spacing w:after="80"/>
        <w:rPr>
          <w:rFonts w:hint="default" w:ascii="Times New Roman" w:hAnsi="Times New Roman" w:eastAsia="宋体" w:cs="Times New Roman"/>
        </w:rPr>
      </w:pPr>
      <w:r>
        <w:rPr>
          <w:rFonts w:hint="default" w:ascii="Times New Roman" w:hAnsi="Times New Roman" w:eastAsia="宋体" w:cs="Times New Roman"/>
        </w:rPr>
        <w:t>本初步方案基于现有无监督候选、真实 KPI 相关性以及时空聚集证据提出分层排查路径。建议优先调查 Time=691–692、715、739–740、835–836 等密集时段，并将同一 beam 的重复出现、同小区同步异常以及外部告警是否吻合列为后续验证重点。本阶段结论保持为“异常关联与排查建议”，不直接认定故障原因。</w:t>
      </w:r>
      <w:bookmarkStart w:id="0" w:name="_GoBack"/>
      <w:bookmarkEnd w:id="0"/>
    </w:p>
    <w:sectPr>
      <w:headerReference r:id="rId5" w:type="default"/>
      <w:footerReference r:id="rId6" w:type="default"/>
      <w:pgSz w:w="11906" w:h="16838"/>
      <w:pgMar w:top="1304" w:right="1332" w:bottom="1049" w:left="1332" w:header="425" w:footer="48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91D122">
    <w:pPr>
      <w:pStyle w:val="24"/>
      <w:jc w:val="center"/>
      <w:rPr>
        <w:rFonts w:hint="default" w:ascii="Times New Roman" w:hAnsi="Times New Roman" w:eastAsia="宋体" w:cs="Times New Roman"/>
      </w:rPr>
    </w:pPr>
    <w:r>
      <w:rPr>
        <w:rFonts w:hint="default" w:ascii="Times New Roman" w:hAnsi="Times New Roman" w:eastAsia="宋体" w:cs="Times New Roman"/>
        <w:sz w:val="18"/>
      </w:rPr>
      <w:t xml:space="preserve">第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PAGE</w:instrText>
    </w:r>
    <w:r>
      <w:rPr>
        <w:rFonts w:hint="default" w:ascii="Times New Roman" w:hAnsi="Times New Roman" w:eastAsia="宋体" w:cs="Times New Roman"/>
      </w:rPr>
      <w:fldChar w:fldCharType="separate"/>
    </w:r>
    <w:r>
      <w:rPr>
        <w:rFonts w:hint="default" w:ascii="Times New Roman" w:hAnsi="Times New Roman" w:eastAsia="宋体" w:cs="Times New Roman"/>
      </w:rPr>
      <w:fldChar w:fldCharType="end"/>
    </w:r>
    <w:r>
      <w:rPr>
        <w:rFonts w:hint="default" w:ascii="Times New Roman" w:hAnsi="Times New Roman" w:eastAsia="宋体" w:cs="Times New Roman"/>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AE73F">
    <w:pPr>
      <w:pStyle w:val="25"/>
      <w:jc w:val="right"/>
      <w:rPr>
        <w:rFonts w:hint="default" w:ascii="Times New Roman" w:hAnsi="Times New Roman" w:eastAsia="宋体" w:cs="Times New Roman"/>
      </w:rPr>
    </w:pPr>
    <w:r>
      <w:rPr>
        <w:rFonts w:hint="default" w:ascii="Times New Roman" w:hAnsi="Times New Roman" w:eastAsia="宋体" w:cs="Times New Roman"/>
        <w:color w:val="878C93"/>
        <w:sz w:val="16"/>
      </w:rPr>
      <w:t>Week3|异常根因分析初步方案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1B618CE"/>
    <w:rsid w:val="3E5B0273"/>
    <w:rsid w:val="5C2F2CBC"/>
    <w:rsid w:val="5ED2495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80" w:line="300" w:lineRule="auto"/>
    </w:pPr>
    <w:rPr>
      <w:rFonts w:ascii="Times New Roman" w:hAnsi="Times New Roman" w:eastAsia="宋体" w:cs="Times New Roman"/>
      <w:sz w:val="21"/>
      <w:szCs w:val="22"/>
      <w:lang w:val="en-US" w:eastAsia="en-US" w:bidi="ar-SA"/>
    </w:rPr>
  </w:style>
  <w:style w:type="paragraph" w:styleId="3">
    <w:name w:val="heading 1"/>
    <w:basedOn w:val="1"/>
    <w:next w:val="1"/>
    <w:link w:val="138"/>
    <w:qFormat/>
    <w:uiPriority w:val="9"/>
    <w:pPr>
      <w:keepNext/>
      <w:keepLines/>
      <w:spacing w:before="480" w:after="0" w:line="300" w:lineRule="auto"/>
      <w:outlineLvl w:val="0"/>
    </w:pPr>
    <w:rPr>
      <w:rFonts w:cs="Times New Roman"/>
      <w:b/>
      <w:bCs/>
      <w:color w:val="163A5F"/>
      <w:sz w:val="30"/>
      <w:szCs w:val="28"/>
    </w:rPr>
  </w:style>
  <w:style w:type="paragraph" w:styleId="4">
    <w:name w:val="heading 2"/>
    <w:basedOn w:val="1"/>
    <w:next w:val="1"/>
    <w:link w:val="139"/>
    <w:unhideWhenUsed/>
    <w:qFormat/>
    <w:uiPriority w:val="9"/>
    <w:pPr>
      <w:keepNext/>
      <w:keepLines/>
      <w:spacing w:before="140" w:after="60"/>
      <w:outlineLvl w:val="1"/>
    </w:pPr>
    <w:rPr>
      <w:rFonts w:asciiTheme="majorHAnsi" w:hAnsiTheme="majorHAnsi" w:eastAsiaTheme="majorEastAsia" w:cstheme="majorBidi"/>
      <w:b/>
      <w:bCs/>
      <w:color w:val="2F5597"/>
      <w:sz w:val="22"/>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link w:val="3"/>
    <w:qFormat/>
    <w:uiPriority w:val="9"/>
    <w:rPr>
      <w:rFonts w:ascii="Times New Roman" w:hAnsi="Times New Roman" w:eastAsia="宋体" w:cs="Times New Roman"/>
      <w:b/>
      <w:bCs/>
      <w:color w:val="163A5F"/>
      <w:sz w:val="30"/>
      <w:szCs w:val="28"/>
      <w:lang w:val="en-US" w:eastAsia="en-US" w:bidi="ar-SA"/>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2281</Words>
  <Characters>3160</Characters>
  <Lines>0</Lines>
  <Paragraphs>0</Paragraphs>
  <TotalTime>0</TotalTime>
  <ScaleCrop>false</ScaleCrop>
  <LinksUpToDate>false</LinksUpToDate>
  <CharactersWithSpaces>3331</CharactersWithSpaces>
  <Application>WPS Office_12.1.0.28599_F1E327BC-269C-435d-A152-05C5408002CA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白鸟</cp:lastModifiedBy>
  <dcterms:modified xsi:type="dcterms:W3CDTF">2026-10-18T13:24:25Z</dcterms:modified>
  <dc:subject>基于 AI 的 5G 网络关键性能指标预测与异常检测系统（压缩项目第三阶段）</dc:subject>
  <dc:title>异常根因分析初步方案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eyJoZGlkIjoiM2NkYThkNzk1NjRiY2FkMmQxYTI1NDIwYTAwZTc5NjYiLCJ1c2VySWQiOiIyODgyMzk1NzcifQ==</vt:lpwstr>
  </property>
  <property fmtid="{D5CDD505-2E9C-101B-9397-08002B2CF9AE}" pid="3" name="KSOProductBuildVer">
    <vt:lpwstr>2052-12.1.0.28599</vt:lpwstr>
  </property>
  <property fmtid="{D5CDD505-2E9C-101B-9397-08002B2CF9AE}" pid="4" name="ICV">
    <vt:lpwstr>EE90784FCB594E93A023FF8BE7566FCA_12</vt:lpwstr>
  </property>
</Properties>
</file>