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F306C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02D41C6B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1"/>
          <w:lang w:eastAsia="zh-CN"/>
        </w:rPr>
      </w:pPr>
    </w:p>
    <w:p w14:paraId="3DF02C2A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第三阶段周实验报告</w:t>
      </w:r>
    </w:p>
    <w:p w14:paraId="3024B7E5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深度学习 KPI 预测、模型比较与网络异常检测</w:t>
      </w:r>
    </w:p>
    <w:p w14:paraId="211EF13F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数据：gotsf-ds / 四类 beam-level KPI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技术：PyTorch / scikit-learn / Pandas</w:t>
      </w:r>
    </w:p>
    <w:p w14:paraId="71DCD8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688D563E">
      <w:pPr>
        <w:pStyle w:val="3"/>
        <w:bidi w:val="0"/>
        <w:rPr>
          <w:rFonts w:hint="default"/>
        </w:rPr>
      </w:pPr>
      <w:r>
        <w:rPr>
          <w:rFonts w:hint="default"/>
        </w:rPr>
        <w:t>1. 本阶段目标与任务范围</w:t>
      </w:r>
    </w:p>
    <w:p w14:paraId="1F116D55">
      <w:pPr>
        <w:bidi w:val="0"/>
        <w:rPr>
          <w:rFonts w:hint="default"/>
        </w:rPr>
      </w:pPr>
      <w:r>
        <w:rPr>
          <w:rFonts w:hint="default"/>
        </w:rPr>
        <w:t>本阶段将原计划第5周“基于深度学习的KPI预测”与第6周“5G网络异常检测系统开发”合并实施。在第二阶段已构建的统一数据基础上，完成LSTM、GRU、Transformer预测实验，比较传统ML与DL模型，并实现3σ、IQR、Isolation Forest、One-Class SVM与初步根因排查。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FE5B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9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3FF4A1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原计划任务</w:t>
            </w:r>
          </w:p>
        </w:tc>
        <w:tc>
          <w:tcPr>
            <w:tcW w:w="3499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4B5CBF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重点内容</w:t>
            </w:r>
          </w:p>
        </w:tc>
        <w:tc>
          <w:tcPr>
            <w:tcW w:w="3456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1F6DE14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对应交付物</w:t>
            </w:r>
          </w:p>
        </w:tc>
      </w:tr>
      <w:tr w14:paraId="4D2DC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vAlign w:val="center"/>
          </w:tcPr>
          <w:p w14:paraId="16776FE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第5周：深度学习KPI预测</w:t>
            </w:r>
          </w:p>
        </w:tc>
        <w:tc>
          <w:tcPr>
            <w:tcW w:w="3499" w:type="dxa"/>
            <w:vAlign w:val="center"/>
          </w:tcPr>
          <w:p w14:paraId="53B96BB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LSTM/GRU/Transformer；模型对比</w:t>
            </w:r>
          </w:p>
        </w:tc>
        <w:tc>
          <w:tcPr>
            <w:tcW w:w="3456" w:type="dxa"/>
            <w:vAlign w:val="center"/>
          </w:tcPr>
          <w:p w14:paraId="654E773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模型代码；DL评估报告；ML-DL对比</w:t>
            </w:r>
          </w:p>
        </w:tc>
      </w:tr>
      <w:tr w14:paraId="62087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tcBorders>
              <w:bottom w:val="single" w:color="151515" w:sz="12" w:space="0"/>
            </w:tcBorders>
            <w:vAlign w:val="center"/>
          </w:tcPr>
          <w:p w14:paraId="3078C9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第6周：网络异常检测</w:t>
            </w:r>
          </w:p>
        </w:tc>
        <w:tc>
          <w:tcPr>
            <w:tcW w:w="3499" w:type="dxa"/>
            <w:tcBorders>
              <w:bottom w:val="single" w:color="151515" w:sz="12" w:space="0"/>
            </w:tcBorders>
            <w:vAlign w:val="center"/>
          </w:tcPr>
          <w:p w14:paraId="0A70579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3σ/IQR/IF/OCSVM；KPI关联</w:t>
            </w:r>
          </w:p>
        </w:tc>
        <w:tc>
          <w:tcPr>
            <w:tcW w:w="3456" w:type="dxa"/>
            <w:tcBorders>
              <w:bottom w:val="single" w:color="151515" w:sz="12" w:space="0"/>
            </w:tcBorders>
            <w:vAlign w:val="center"/>
          </w:tcPr>
          <w:p w14:paraId="1B80582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异常检测代码；结果报告；根因方案</w:t>
            </w:r>
          </w:p>
        </w:tc>
      </w:tr>
    </w:tbl>
    <w:p w14:paraId="0AA53650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数据和评价口径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67C6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54BDAED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7272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E59E96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阶段采用的设置</w:t>
            </w:r>
          </w:p>
        </w:tc>
      </w:tr>
      <w:tr w14:paraId="4C66C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5942FED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数据集及KPI</w:t>
            </w:r>
          </w:p>
        </w:tc>
        <w:tc>
          <w:tcPr>
            <w:tcW w:w="7272" w:type="dxa"/>
            <w:vAlign w:val="center"/>
          </w:tcPr>
          <w:p w14:paraId="3F0620A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gotsf-ds；DLPRB、DLThpVol、DLThpTime、MR_number</w:t>
            </w:r>
          </w:p>
        </w:tc>
      </w:tr>
      <w:tr w14:paraId="69CBC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0DD47D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对象与规模</w:t>
            </w:r>
          </w:p>
        </w:tc>
        <w:tc>
          <w:tcPr>
            <w:tcW w:w="7272" w:type="dxa"/>
            <w:vAlign w:val="center"/>
          </w:tcPr>
          <w:p w14:paraId="17FBDD4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2,880个beam；Time 0–839；基础长表2,419,200行</w:t>
            </w:r>
          </w:p>
        </w:tc>
      </w:tr>
      <w:tr w14:paraId="55D01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507A9D7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模型测试集</w:t>
            </w:r>
          </w:p>
        </w:tc>
        <w:tc>
          <w:tcPr>
            <w:tcW w:w="7272" w:type="dxa"/>
            <w:vAlign w:val="center"/>
          </w:tcPr>
          <w:p w14:paraId="40F1FA7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目标时间672–839；共483,840条beam-hour</w:t>
            </w:r>
          </w:p>
        </w:tc>
      </w:tr>
      <w:tr w14:paraId="242B2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0646068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预测评估</w:t>
            </w:r>
          </w:p>
        </w:tc>
        <w:tc>
          <w:tcPr>
            <w:tcW w:w="7272" w:type="dxa"/>
            <w:vAlign w:val="center"/>
          </w:tcPr>
          <w:p w14:paraId="5306D94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下一时间步；原始KPI尺度的MAE、RMSE、R²</w:t>
            </w:r>
          </w:p>
        </w:tc>
      </w:tr>
      <w:tr w14:paraId="389F8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bottom w:val="single" w:color="151515" w:sz="12" w:space="0"/>
            </w:tcBorders>
            <w:vAlign w:val="center"/>
          </w:tcPr>
          <w:p w14:paraId="1AA7644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异常检测</w:t>
            </w:r>
          </w:p>
        </w:tc>
        <w:tc>
          <w:tcPr>
            <w:tcW w:w="7272" w:type="dxa"/>
            <w:tcBorders>
              <w:bottom w:val="single" w:color="151515" w:sz="12" w:space="0"/>
            </w:tcBorders>
            <w:vAlign w:val="center"/>
          </w:tcPr>
          <w:p w14:paraId="0D5CEC8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训练时间0–671；测试时间672–839；无已确认故障标签</w:t>
            </w:r>
          </w:p>
        </w:tc>
      </w:tr>
    </w:tbl>
    <w:p w14:paraId="7C1163EB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训练与验证采用时间先后切分，测试段未进入神经网络模型选择；模型图展示按小时的beam均值，但预测指标均以逐beam×时间样本计算。</w:t>
      </w:r>
    </w:p>
    <w:p w14:paraId="0AE970EA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深度学习KPI预测实验</w:t>
      </w:r>
    </w:p>
    <w:p w14:paraId="3F02BD1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单层LSTM、GRU和轻量Transformer，输入连续24个时间步×四类标准化KPI，另补充t−168的四维特征，输出下一小时四项预测。训练样本随机抽取60,000个窗口、验证12,000个，测试为483,840条全量记录；种子42，设备CPU，Adam学习率0.001，最多12轮，patience=3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063D3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3F594F7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584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1F9FAC4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</w:t>
            </w:r>
          </w:p>
        </w:tc>
        <w:tc>
          <w:tcPr>
            <w:tcW w:w="172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3D82C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RMSE</w:t>
            </w:r>
          </w:p>
        </w:tc>
        <w:tc>
          <w:tcPr>
            <w:tcW w:w="1584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7F6E04C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R²</w:t>
            </w:r>
          </w:p>
        </w:tc>
        <w:tc>
          <w:tcPr>
            <w:tcW w:w="208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3FDF9A1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当前DL组最佳MAE</w:t>
            </w:r>
          </w:p>
        </w:tc>
      </w:tr>
      <w:tr w14:paraId="5A6F2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695E93C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584" w:type="dxa"/>
            <w:vAlign w:val="center"/>
          </w:tcPr>
          <w:p w14:paraId="3213C13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1728" w:type="dxa"/>
            <w:vAlign w:val="center"/>
          </w:tcPr>
          <w:p w14:paraId="0A42083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0.468861</w:t>
            </w:r>
          </w:p>
        </w:tc>
        <w:tc>
          <w:tcPr>
            <w:tcW w:w="1584" w:type="dxa"/>
            <w:vAlign w:val="center"/>
          </w:tcPr>
          <w:p w14:paraId="4EBD315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0.808018</w:t>
            </w:r>
          </w:p>
        </w:tc>
        <w:tc>
          <w:tcPr>
            <w:tcW w:w="2088" w:type="dxa"/>
            <w:vAlign w:val="center"/>
          </w:tcPr>
          <w:p w14:paraId="3FB6474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  <w:tr w14:paraId="2BC83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6D4CC26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584" w:type="dxa"/>
            <w:vAlign w:val="center"/>
          </w:tcPr>
          <w:p w14:paraId="402AD4F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1728" w:type="dxa"/>
            <w:vAlign w:val="center"/>
          </w:tcPr>
          <w:p w14:paraId="42593A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0.496740</w:t>
            </w:r>
          </w:p>
        </w:tc>
        <w:tc>
          <w:tcPr>
            <w:tcW w:w="1584" w:type="dxa"/>
            <w:vAlign w:val="center"/>
          </w:tcPr>
          <w:p w14:paraId="1312804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0.551737</w:t>
            </w:r>
          </w:p>
        </w:tc>
        <w:tc>
          <w:tcPr>
            <w:tcW w:w="2088" w:type="dxa"/>
            <w:vAlign w:val="center"/>
          </w:tcPr>
          <w:p w14:paraId="5931A36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  <w:tr w14:paraId="2A653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2C8AD43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584" w:type="dxa"/>
            <w:vAlign w:val="center"/>
          </w:tcPr>
          <w:p w14:paraId="44CF113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1728" w:type="dxa"/>
            <w:vAlign w:val="center"/>
          </w:tcPr>
          <w:p w14:paraId="357149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0.513352</w:t>
            </w:r>
          </w:p>
        </w:tc>
        <w:tc>
          <w:tcPr>
            <w:tcW w:w="1584" w:type="dxa"/>
            <w:vAlign w:val="center"/>
          </w:tcPr>
          <w:p w14:paraId="0B949B1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0.714872</w:t>
            </w:r>
          </w:p>
        </w:tc>
        <w:tc>
          <w:tcPr>
            <w:tcW w:w="2088" w:type="dxa"/>
            <w:vAlign w:val="center"/>
          </w:tcPr>
          <w:p w14:paraId="7A225F4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  <w:tr w14:paraId="60666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bottom w:val="single" w:color="151515" w:sz="12" w:space="0"/>
            </w:tcBorders>
            <w:vAlign w:val="center"/>
          </w:tcPr>
          <w:p w14:paraId="0B0FDF7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584" w:type="dxa"/>
            <w:tcBorders>
              <w:bottom w:val="single" w:color="151515" w:sz="12" w:space="0"/>
            </w:tcBorders>
            <w:vAlign w:val="center"/>
          </w:tcPr>
          <w:p w14:paraId="251D369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1728" w:type="dxa"/>
            <w:tcBorders>
              <w:bottom w:val="single" w:color="151515" w:sz="12" w:space="0"/>
            </w:tcBorders>
            <w:vAlign w:val="center"/>
          </w:tcPr>
          <w:p w14:paraId="26AC3B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0.366888</w:t>
            </w:r>
          </w:p>
        </w:tc>
        <w:tc>
          <w:tcPr>
            <w:tcW w:w="1584" w:type="dxa"/>
            <w:tcBorders>
              <w:bottom w:val="single" w:color="151515" w:sz="12" w:space="0"/>
            </w:tcBorders>
            <w:vAlign w:val="center"/>
          </w:tcPr>
          <w:p w14:paraId="10F5B7C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0.885789</w:t>
            </w:r>
          </w:p>
        </w:tc>
        <w:tc>
          <w:tcPr>
            <w:tcW w:w="2088" w:type="dxa"/>
            <w:tcBorders>
              <w:bottom w:val="single" w:color="151515" w:sz="12" w:space="0"/>
            </w:tcBorders>
            <w:vAlign w:val="center"/>
          </w:tcPr>
          <w:p w14:paraId="4DAFD5D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</w:tbl>
    <w:p w14:paraId="32E27800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GRU在四种KPI上取得当前三个DL模型中的最小MAE，但DLThpVol的DL组最小RMSE由LSTM取得（0.484384），说明典型误差与较大误差的改善不完全同步。Transformer在当前轻量配置下未成为最佳模型。</w:t>
      </w:r>
    </w:p>
    <w:p w14:paraId="3AFB3C69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传统机器学习与深度学习的统一对比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1AA32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72F87FE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2045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69BC642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ML最优MAE</w:t>
            </w:r>
          </w:p>
        </w:tc>
        <w:tc>
          <w:tcPr>
            <w:tcW w:w="1786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215049C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</w:t>
            </w:r>
          </w:p>
        </w:tc>
        <w:tc>
          <w:tcPr>
            <w:tcW w:w="136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3AF3D8F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MAE改善</w:t>
            </w:r>
          </w:p>
        </w:tc>
        <w:tc>
          <w:tcPr>
            <w:tcW w:w="2232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58881BD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RMSE结果</w:t>
            </w:r>
          </w:p>
        </w:tc>
      </w:tr>
      <w:tr w14:paraId="2CD89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DF3730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2045" w:type="dxa"/>
            <w:vAlign w:val="center"/>
          </w:tcPr>
          <w:p w14:paraId="3426655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XGB 0.261817</w:t>
            </w:r>
          </w:p>
        </w:tc>
        <w:tc>
          <w:tcPr>
            <w:tcW w:w="1786" w:type="dxa"/>
            <w:vAlign w:val="center"/>
          </w:tcPr>
          <w:p w14:paraId="1475D6F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1368" w:type="dxa"/>
            <w:vAlign w:val="center"/>
          </w:tcPr>
          <w:p w14:paraId="36666E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+6.19%</w:t>
            </w:r>
          </w:p>
        </w:tc>
        <w:tc>
          <w:tcPr>
            <w:tcW w:w="2232" w:type="dxa"/>
            <w:vAlign w:val="center"/>
          </w:tcPr>
          <w:p w14:paraId="570880B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GRU改善5.03%</w:t>
            </w:r>
          </w:p>
        </w:tc>
      </w:tr>
      <w:tr w14:paraId="12892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5639CB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2045" w:type="dxa"/>
            <w:vAlign w:val="center"/>
          </w:tcPr>
          <w:p w14:paraId="198E3E5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RF 0.207615</w:t>
            </w:r>
          </w:p>
        </w:tc>
        <w:tc>
          <w:tcPr>
            <w:tcW w:w="1786" w:type="dxa"/>
            <w:vAlign w:val="center"/>
          </w:tcPr>
          <w:p w14:paraId="56A6F1B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1368" w:type="dxa"/>
            <w:vAlign w:val="center"/>
          </w:tcPr>
          <w:p w14:paraId="3836EE2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+1.46%</w:t>
            </w:r>
          </w:p>
        </w:tc>
        <w:tc>
          <w:tcPr>
            <w:tcW w:w="2232" w:type="dxa"/>
            <w:vAlign w:val="center"/>
          </w:tcPr>
          <w:p w14:paraId="1EB8C32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RF仍更低</w:t>
            </w:r>
          </w:p>
        </w:tc>
      </w:tr>
      <w:tr w14:paraId="3B2C0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7EAF8B9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2045" w:type="dxa"/>
            <w:vAlign w:val="center"/>
          </w:tcPr>
          <w:p w14:paraId="1BFD70D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XGB 0.243576</w:t>
            </w:r>
          </w:p>
        </w:tc>
        <w:tc>
          <w:tcPr>
            <w:tcW w:w="1786" w:type="dxa"/>
            <w:vAlign w:val="center"/>
          </w:tcPr>
          <w:p w14:paraId="5F514B1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1368" w:type="dxa"/>
            <w:vAlign w:val="center"/>
          </w:tcPr>
          <w:p w14:paraId="3BF0CD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+5.66%</w:t>
            </w:r>
          </w:p>
        </w:tc>
        <w:tc>
          <w:tcPr>
            <w:tcW w:w="2232" w:type="dxa"/>
            <w:vAlign w:val="center"/>
          </w:tcPr>
          <w:p w14:paraId="08BA5DE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GRU改善2.12%</w:t>
            </w:r>
          </w:p>
        </w:tc>
      </w:tr>
      <w:tr w14:paraId="48693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bottom w:val="single" w:color="151515" w:sz="12" w:space="0"/>
            </w:tcBorders>
            <w:vAlign w:val="center"/>
          </w:tcPr>
          <w:p w14:paraId="4D7020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2045" w:type="dxa"/>
            <w:tcBorders>
              <w:bottom w:val="single" w:color="151515" w:sz="12" w:space="0"/>
            </w:tcBorders>
            <w:vAlign w:val="center"/>
          </w:tcPr>
          <w:p w14:paraId="5728EA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XGB 0.224767</w:t>
            </w:r>
          </w:p>
        </w:tc>
        <w:tc>
          <w:tcPr>
            <w:tcW w:w="1786" w:type="dxa"/>
            <w:tcBorders>
              <w:bottom w:val="single" w:color="151515" w:sz="12" w:space="0"/>
            </w:tcBorders>
            <w:vAlign w:val="center"/>
          </w:tcPr>
          <w:p w14:paraId="146EA69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1368" w:type="dxa"/>
            <w:tcBorders>
              <w:bottom w:val="single" w:color="151515" w:sz="12" w:space="0"/>
            </w:tcBorders>
            <w:vAlign w:val="center"/>
          </w:tcPr>
          <w:p w14:paraId="7A0270C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+6.71%</w:t>
            </w:r>
          </w:p>
        </w:tc>
        <w:tc>
          <w:tcPr>
            <w:tcW w:w="2232" w:type="dxa"/>
            <w:tcBorders>
              <w:bottom w:val="single" w:color="151515" w:sz="12" w:space="0"/>
            </w:tcBorders>
            <w:vAlign w:val="center"/>
          </w:tcPr>
          <w:p w14:paraId="625B149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GRU改善7.27%</w:t>
            </w:r>
          </w:p>
        </w:tc>
      </w:tr>
    </w:tbl>
    <w:p w14:paraId="7AE0C8CB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第二阶段传统ML综合等权排名以Random Forest为第一（平均名次1.417），并已实施三折扩展窗口验证、传统模型内部HAC显著性检验；这不等于GRU与传统ML之间完成统计显著性比较。ML使用约144.86万训练行，DL抽样6万序列窗，输入表示与训练预算不同，应将现阶段结论表述为“固定测试集上的已运行实现比较”。</w:t>
      </w:r>
    </w:p>
    <w:p w14:paraId="793FB7D7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网络异常检测与联合筛选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491E0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3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4CCC439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方法</w:t>
            </w:r>
          </w:p>
        </w:tc>
        <w:tc>
          <w:tcPr>
            <w:tcW w:w="172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5B5A4B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检测样本</w:t>
            </w:r>
          </w:p>
        </w:tc>
        <w:tc>
          <w:tcPr>
            <w:tcW w:w="1555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66FD661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标记数量</w:t>
            </w:r>
          </w:p>
        </w:tc>
        <w:tc>
          <w:tcPr>
            <w:tcW w:w="1512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6363460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标记比例</w:t>
            </w:r>
          </w:p>
        </w:tc>
        <w:tc>
          <w:tcPr>
            <w:tcW w:w="1440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3576C8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检测范围</w:t>
            </w:r>
          </w:p>
        </w:tc>
      </w:tr>
      <w:tr w14:paraId="213DF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3" w:type="dxa"/>
            <w:vAlign w:val="center"/>
          </w:tcPr>
          <w:p w14:paraId="46B33AE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3σ</w:t>
            </w:r>
          </w:p>
        </w:tc>
        <w:tc>
          <w:tcPr>
            <w:tcW w:w="1728" w:type="dxa"/>
            <w:vAlign w:val="center"/>
          </w:tcPr>
          <w:p w14:paraId="4FD8CB7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1555" w:type="dxa"/>
            <w:vAlign w:val="center"/>
          </w:tcPr>
          <w:p w14:paraId="1073EF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22,059</w:t>
            </w:r>
          </w:p>
        </w:tc>
        <w:tc>
          <w:tcPr>
            <w:tcW w:w="1512" w:type="dxa"/>
            <w:vAlign w:val="center"/>
          </w:tcPr>
          <w:p w14:paraId="60D2201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4.56%</w:t>
            </w:r>
          </w:p>
        </w:tc>
        <w:tc>
          <w:tcPr>
            <w:tcW w:w="1440" w:type="dxa"/>
            <w:vAlign w:val="center"/>
          </w:tcPr>
          <w:p w14:paraId="75129EE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全量</w:t>
            </w:r>
          </w:p>
        </w:tc>
      </w:tr>
      <w:tr w14:paraId="29A75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3" w:type="dxa"/>
            <w:vAlign w:val="center"/>
          </w:tcPr>
          <w:p w14:paraId="49B251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IQR</w:t>
            </w:r>
          </w:p>
        </w:tc>
        <w:tc>
          <w:tcPr>
            <w:tcW w:w="1728" w:type="dxa"/>
            <w:vAlign w:val="center"/>
          </w:tcPr>
          <w:p w14:paraId="743BE9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1555" w:type="dxa"/>
            <w:vAlign w:val="center"/>
          </w:tcPr>
          <w:p w14:paraId="7B4C9D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51,318</w:t>
            </w:r>
          </w:p>
        </w:tc>
        <w:tc>
          <w:tcPr>
            <w:tcW w:w="1512" w:type="dxa"/>
            <w:vAlign w:val="center"/>
          </w:tcPr>
          <w:p w14:paraId="48E8C93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10.61%</w:t>
            </w:r>
          </w:p>
        </w:tc>
        <w:tc>
          <w:tcPr>
            <w:tcW w:w="1440" w:type="dxa"/>
            <w:vAlign w:val="center"/>
          </w:tcPr>
          <w:p w14:paraId="1E45199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全量</w:t>
            </w:r>
          </w:p>
        </w:tc>
      </w:tr>
      <w:tr w14:paraId="2ED3C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3" w:type="dxa"/>
            <w:vAlign w:val="center"/>
          </w:tcPr>
          <w:p w14:paraId="51F72E8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Isolation Forest</w:t>
            </w:r>
          </w:p>
        </w:tc>
        <w:tc>
          <w:tcPr>
            <w:tcW w:w="1728" w:type="dxa"/>
            <w:vAlign w:val="center"/>
          </w:tcPr>
          <w:p w14:paraId="4BAED6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1555" w:type="dxa"/>
            <w:vAlign w:val="center"/>
          </w:tcPr>
          <w:p w14:paraId="772AF75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9,900</w:t>
            </w:r>
          </w:p>
        </w:tc>
        <w:tc>
          <w:tcPr>
            <w:tcW w:w="1512" w:type="dxa"/>
            <w:vAlign w:val="center"/>
          </w:tcPr>
          <w:p w14:paraId="48DA149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2.05%</w:t>
            </w:r>
          </w:p>
        </w:tc>
        <w:tc>
          <w:tcPr>
            <w:tcW w:w="1440" w:type="dxa"/>
            <w:vAlign w:val="center"/>
          </w:tcPr>
          <w:p w14:paraId="457EBC2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全量</w:t>
            </w:r>
          </w:p>
        </w:tc>
      </w:tr>
      <w:tr w14:paraId="7D562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3" w:type="dxa"/>
            <w:tcBorders>
              <w:bottom w:val="single" w:color="151515" w:sz="12" w:space="0"/>
            </w:tcBorders>
            <w:vAlign w:val="center"/>
          </w:tcPr>
          <w:p w14:paraId="4B14BC7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One-Class SVM</w:t>
            </w:r>
          </w:p>
        </w:tc>
        <w:tc>
          <w:tcPr>
            <w:tcW w:w="1728" w:type="dxa"/>
            <w:tcBorders>
              <w:bottom w:val="single" w:color="151515" w:sz="12" w:space="0"/>
            </w:tcBorders>
            <w:vAlign w:val="center"/>
          </w:tcPr>
          <w:p w14:paraId="53F8F1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12,000</w:t>
            </w:r>
          </w:p>
        </w:tc>
        <w:tc>
          <w:tcPr>
            <w:tcW w:w="1555" w:type="dxa"/>
            <w:tcBorders>
              <w:bottom w:val="single" w:color="151515" w:sz="12" w:space="0"/>
            </w:tcBorders>
            <w:vAlign w:val="center"/>
          </w:tcPr>
          <w:p w14:paraId="52441C8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552</w:t>
            </w:r>
          </w:p>
        </w:tc>
        <w:tc>
          <w:tcPr>
            <w:tcW w:w="1512" w:type="dxa"/>
            <w:tcBorders>
              <w:bottom w:val="single" w:color="151515" w:sz="12" w:space="0"/>
            </w:tcBorders>
            <w:vAlign w:val="center"/>
          </w:tcPr>
          <w:p w14:paraId="4C9AAB9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4.60%</w:t>
            </w:r>
          </w:p>
        </w:tc>
        <w:tc>
          <w:tcPr>
            <w:tcW w:w="1440" w:type="dxa"/>
            <w:tcBorders>
              <w:bottom w:val="single" w:color="151515" w:sz="12" w:space="0"/>
            </w:tcBorders>
            <w:vAlign w:val="center"/>
          </w:tcPr>
          <w:p w14:paraId="382E223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抽样</w:t>
            </w:r>
          </w:p>
        </w:tc>
      </w:tr>
    </w:tbl>
    <w:p w14:paraId="6EB4BF17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采用 Isolation Forest AND（3σ OR IQR）作为较高优先级筛选规则，得到3,165条联合候选（占全量测试0.654%）。One-Class SVM仅在12,000条测试子样本计算，不参加此联合规则。原始数据无故障标签，以上均为可疑异常标记率，不能解释为实际故障率或分类准确率。</w:t>
      </w:r>
    </w:p>
    <w:p w14:paraId="3EBBC891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KPI联动与根因分析初步方案</w:t>
      </w:r>
    </w:p>
    <w:p w14:paraId="0E343012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在3,165条联合候选样本中，DLPRB与MR_number的Pearson r约0.889，DLPRB与DLThpTime约0.697；Time=692有71条联合候选，715与739各68条，691有66条。高优先级事件CSV只导出前2,000条，基站出现频次不能当作全量风险排序。</w:t>
      </w:r>
    </w:p>
    <w:p w14:paraId="4495B94E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形成“时间窗口定位→beam偏离幅度→同cell/同站点联动→同期对照→告警及无线质量核验”的排查路径。结合可能的负载变化、测量活动或调度异常提出待验证假设，不依据相关系数直接认定网络故障根因。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304" w:right="1332" w:bottom="1049" w:left="1332" w:header="425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2A6E9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72656">
    <w:pPr>
      <w:pStyle w:val="25"/>
      <w:jc w:val="right"/>
    </w:pPr>
    <w:r>
      <w:t>Week3|第三阶段周实验报告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411B5"/>
    <w:rsid w:val="0D646FD0"/>
    <w:rsid w:val="3AFE7DCD"/>
    <w:rsid w:val="53276D9E"/>
    <w:rsid w:val="66684636"/>
    <w:rsid w:val="68F67599"/>
    <w:rsid w:val="70EB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00" w:lineRule="auto"/>
      <w:outlineLvl w:val="0"/>
    </w:pPr>
    <w:rPr>
      <w:rFonts w:cs="Times New Roman"/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1701</Words>
  <Characters>2970</Characters>
  <Lines>0</Lines>
  <Paragraphs>0</Paragraphs>
  <TotalTime>0</TotalTime>
  <ScaleCrop>false</ScaleCrop>
  <LinksUpToDate>false</LinksUpToDate>
  <CharactersWithSpaces>3013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2026-10-18T13:49:09Z</dcterms:modified>
  <dc:subject>基于 AI 的 5G 网络关键性能指标预测与异常检测系统（压缩项目第三阶段）</dc:subject>
  <dc:title>深度学习模型性能评估报告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2827BD8C330B420F8C6163557369A97D_12</vt:lpwstr>
  </property>
</Properties>
</file>