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4EE1C4">
      <w:pPr>
        <w:spacing w:before="1600" w:after="80" w:line="300" w:lineRule="auto"/>
        <w:jc w:val="center"/>
        <w:rPr>
          <w:rFonts w:hint="default" w:ascii="Times New Roman" w:hAnsi="Times New Roman" w:eastAsia="宋体" w:cs="Times New Roman"/>
          <w:b/>
          <w:color w:val="2F5597"/>
          <w:sz w:val="32"/>
          <w:lang w:eastAsia="zh-CN"/>
        </w:rPr>
      </w:pPr>
      <w:r>
        <w:rPr>
          <w:rFonts w:hint="default" w:ascii="Times New Roman" w:hAnsi="Times New Roman" w:eastAsia="宋体" w:cs="Times New Roman"/>
          <w:b/>
          <w:color w:val="2F5597"/>
          <w:sz w:val="32"/>
          <w:lang w:eastAsia="zh-CN"/>
        </w:rPr>
        <w:t>基于 AI 的 5G 网络关键性能指标预测与异常检测系统</w:t>
      </w:r>
    </w:p>
    <w:p w14:paraId="3C35B3D4">
      <w:pPr>
        <w:spacing w:before="360" w:after="80" w:line="300" w:lineRule="auto"/>
        <w:jc w:val="center"/>
        <w:rPr>
          <w:rFonts w:hint="default" w:ascii="Times New Roman" w:hAnsi="Times New Roman" w:eastAsia="宋体" w:cs="Times New Roman"/>
          <w:b/>
          <w:color w:val="163A5F"/>
          <w:sz w:val="50"/>
          <w:lang w:eastAsia="zh-CN"/>
        </w:rPr>
      </w:pPr>
      <w:r>
        <w:rPr>
          <w:rFonts w:hint="default" w:ascii="Times New Roman" w:hAnsi="Times New Roman" w:eastAsia="宋体" w:cs="Times New Roman"/>
          <w:b/>
          <w:color w:val="163A5F"/>
          <w:sz w:val="50"/>
          <w:lang w:eastAsia="zh-CN"/>
        </w:rPr>
        <w:t>第三周实验报告</w:t>
      </w:r>
    </w:p>
    <w:p w14:paraId="2BC9799D">
      <w:pPr>
        <w:spacing w:before="700" w:after="80" w:line="300" w:lineRule="auto"/>
        <w:jc w:val="center"/>
        <w:rPr>
          <w:rFonts w:hint="default" w:ascii="Times New Roman" w:hAnsi="Times New Roman" w:eastAsia="宋体" w:cs="Times New Roman"/>
          <w:b w:val="0"/>
          <w:sz w:val="24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深度学习 KPI 预测与 5G 网络异常检测</w:t>
      </w:r>
    </w:p>
    <w:p w14:paraId="7EAF4B7D">
      <w:pPr>
        <w:spacing w:before="700" w:after="80" w:line="300" w:lineRule="auto"/>
        <w:jc w:val="center"/>
        <w:rPr>
          <w:rFonts w:hint="default" w:ascii="Times New Roman" w:hAnsi="Times New Roman" w:eastAsia="宋体" w:cs="Times New Roman"/>
          <w:b w:val="0"/>
          <w:sz w:val="24"/>
        </w:rPr>
      </w:pPr>
    </w:p>
    <w:p w14:paraId="1672626D">
      <w:pPr>
        <w:spacing w:before="2000" w:after="80" w:line="300" w:lineRule="auto"/>
        <w:jc w:val="center"/>
        <w:rPr>
          <w:rFonts w:hint="default" w:ascii="Times New Roman" w:hAnsi="Times New Roman" w:eastAsia="宋体" w:cs="Times New Roman"/>
          <w:b w:val="0"/>
          <w:color w:val="5A5A5A"/>
          <w:sz w:val="20"/>
        </w:rPr>
      </w:pPr>
      <w:r>
        <w:rPr>
          <w:rFonts w:hint="default" w:ascii="Times New Roman" w:hAnsi="Times New Roman" w:eastAsia="宋体" w:cs="Times New Roman"/>
          <w:b w:val="0"/>
          <w:color w:val="5A5A5A"/>
          <w:sz w:val="20"/>
        </w:rPr>
        <w:t>深度学习 / 模型比较 / 异常检测与 KPI 联动</w:t>
      </w:r>
      <w:r>
        <w:rPr>
          <w:rFonts w:hint="default" w:ascii="Times New Roman" w:hAnsi="Times New Roman" w:eastAsia="宋体" w:cs="Times New Roman"/>
          <w:b w:val="0"/>
          <w:color w:val="5A5A5A"/>
          <w:sz w:val="20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5A5A5A"/>
          <w:sz w:val="20"/>
        </w:rPr>
        <w:t>实验依据：代码、实验配置与真实运行记录</w:t>
      </w:r>
    </w:p>
    <w:p w14:paraId="059683DB">
      <w:pPr>
        <w:spacing w:after="0"/>
      </w:pPr>
      <w:r>
        <w:br w:type="page"/>
      </w:r>
    </w:p>
    <w:p w14:paraId="4734B2B8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本周任务和进展</w:t>
      </w:r>
    </w:p>
    <w:p w14:paraId="495712C6">
      <w:pPr>
        <w:bidi w:val="0"/>
        <w:rPr>
          <w:rFonts w:hint="default"/>
        </w:rPr>
      </w:pPr>
      <w:r>
        <w:rPr>
          <w:rFonts w:hint="default"/>
        </w:rPr>
        <w:t>本周按照压缩后的四周项目计划，完成原计划第5周的深度学习 KPI 预测，以及原第6周的网络异常检测任务。在第二阶段已构建的 beam-level 时间序列上，训练 LSTM、GRU 和 Transformer，完成传统 ML 与 DL 的统一测试比较，并实现统计阈值、Isolation Forest、One-Class SVM 与基于 KPI 相关性的初步异常分析。</w:t>
      </w:r>
    </w:p>
    <w:p w14:paraId="1F6AF771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深度学习 KPI 预测</w:t>
      </w:r>
    </w:p>
    <w:p w14:paraId="5630EF72">
      <w:pPr>
        <w:spacing w:before="0" w:after="100" w:line="307" w:lineRule="auto"/>
      </w:pPr>
      <w:r>
        <w:rPr>
          <w:rFonts w:ascii="Times New Roman" w:hAnsi="Times New Roman" w:eastAsia="宋体"/>
          <w:b w:val="0"/>
          <w:sz w:val="21"/>
        </w:rPr>
        <w:t>使用 gotsf-ds 的四类 KPI（DLPRB、DLThpVol、DLThpTime、MR_number），每条样本由同一 beam 的过去24小时四维序列与 t−168 的四维季节性特征构成，预测下一小时四种 KPI。训练目标时刻为169–587，验证为588–671，留出测试为672–839；训练抽样60,000个窗口、验证12,000个，测试483,840条逐 beam 记录。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0"/>
        <w:gridCol w:w="2310"/>
      </w:tblGrid>
      <w:tr w14:paraId="2A493AFA">
        <w:trPr>
          <w:cantSplit/>
          <w:tblHeader/>
          <w:jc w:val="center"/>
        </w:trPr>
        <w:tc>
          <w:tcPr>
            <w:tcW w:w="1984" w:type="dxa"/>
            <w:tcBorders>
              <w:top w:val="single" w:color="222222" w:sz="12" w:space="0"/>
              <w:bottom w:val="single" w:color="222222" w:sz="6" w:space="0"/>
            </w:tcBorders>
            <w:tcMar>
              <w:top w:w="45" w:type="dxa"/>
              <w:bottom w:w="45" w:type="dxa"/>
            </w:tcMar>
            <w:vAlign w:val="center"/>
          </w:tcPr>
          <w:p w14:paraId="7C074163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KPI</w:t>
            </w:r>
          </w:p>
        </w:tc>
        <w:tc>
          <w:tcPr>
            <w:tcW w:w="2324" w:type="dxa"/>
            <w:tcBorders>
              <w:top w:val="single" w:color="222222" w:sz="12" w:space="0"/>
              <w:bottom w:val="single" w:color="222222" w:sz="6" w:space="0"/>
            </w:tcBorders>
            <w:tcMar>
              <w:top w:w="45" w:type="dxa"/>
              <w:bottom w:w="45" w:type="dxa"/>
            </w:tcMar>
            <w:vAlign w:val="center"/>
          </w:tcPr>
          <w:p w14:paraId="0AD9D542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GRU MAE↓</w:t>
            </w:r>
          </w:p>
        </w:tc>
        <w:tc>
          <w:tcPr>
            <w:tcW w:w="2494" w:type="dxa"/>
            <w:tcBorders>
              <w:top w:val="single" w:color="222222" w:sz="12" w:space="0"/>
              <w:bottom w:val="single" w:color="222222" w:sz="6" w:space="0"/>
            </w:tcBorders>
            <w:tcMar>
              <w:top w:w="45" w:type="dxa"/>
              <w:bottom w:w="45" w:type="dxa"/>
            </w:tcMar>
            <w:vAlign w:val="center"/>
          </w:tcPr>
          <w:p w14:paraId="2451C1B5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GRU RMSE↓</w:t>
            </w:r>
          </w:p>
        </w:tc>
        <w:tc>
          <w:tcPr>
            <w:tcW w:w="2324" w:type="dxa"/>
            <w:tcBorders>
              <w:top w:val="single" w:color="222222" w:sz="12" w:space="0"/>
              <w:bottom w:val="single" w:color="222222" w:sz="6" w:space="0"/>
            </w:tcBorders>
            <w:tcMar>
              <w:top w:w="45" w:type="dxa"/>
              <w:bottom w:w="45" w:type="dxa"/>
            </w:tcMar>
            <w:vAlign w:val="center"/>
          </w:tcPr>
          <w:p w14:paraId="1A161C1F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GRU R²↑</w:t>
            </w:r>
          </w:p>
        </w:tc>
      </w:tr>
      <w:tr w14:paraId="0F1FCD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45" w:type="dxa"/>
              <w:bottom w:w="45" w:type="dxa"/>
            </w:tcMar>
            <w:vAlign w:val="center"/>
          </w:tcPr>
          <w:p w14:paraId="51FC78E2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DLPRB</w:t>
            </w:r>
          </w:p>
        </w:tc>
        <w:tc>
          <w:tcPr>
            <w:tcW w:w="2324" w:type="dxa"/>
            <w:tcMar>
              <w:top w:w="45" w:type="dxa"/>
              <w:bottom w:w="45" w:type="dxa"/>
            </w:tcMar>
            <w:vAlign w:val="center"/>
          </w:tcPr>
          <w:p w14:paraId="0A8DA4A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0.245618</w:t>
            </w:r>
          </w:p>
        </w:tc>
        <w:tc>
          <w:tcPr>
            <w:tcW w:w="2494" w:type="dxa"/>
            <w:tcMar>
              <w:top w:w="45" w:type="dxa"/>
              <w:bottom w:w="45" w:type="dxa"/>
            </w:tcMar>
            <w:vAlign w:val="center"/>
          </w:tcPr>
          <w:p w14:paraId="29CDF7B7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0.468861</w:t>
            </w:r>
          </w:p>
        </w:tc>
        <w:tc>
          <w:tcPr>
            <w:tcW w:w="2324" w:type="dxa"/>
            <w:tcMar>
              <w:top w:w="45" w:type="dxa"/>
              <w:bottom w:w="45" w:type="dxa"/>
            </w:tcMar>
            <w:vAlign w:val="center"/>
          </w:tcPr>
          <w:p w14:paraId="13238A2B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0.808018</w:t>
            </w:r>
          </w:p>
        </w:tc>
      </w:tr>
      <w:tr w14:paraId="007071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45" w:type="dxa"/>
              <w:bottom w:w="45" w:type="dxa"/>
            </w:tcMar>
            <w:vAlign w:val="center"/>
          </w:tcPr>
          <w:p w14:paraId="52CFCCBA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DLThpVol</w:t>
            </w:r>
          </w:p>
        </w:tc>
        <w:tc>
          <w:tcPr>
            <w:tcW w:w="2324" w:type="dxa"/>
            <w:tcMar>
              <w:top w:w="45" w:type="dxa"/>
              <w:bottom w:w="45" w:type="dxa"/>
            </w:tcMar>
            <w:vAlign w:val="center"/>
          </w:tcPr>
          <w:p w14:paraId="168B663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0.204574</w:t>
            </w:r>
          </w:p>
        </w:tc>
        <w:tc>
          <w:tcPr>
            <w:tcW w:w="2494" w:type="dxa"/>
            <w:tcMar>
              <w:top w:w="45" w:type="dxa"/>
              <w:bottom w:w="45" w:type="dxa"/>
            </w:tcMar>
            <w:vAlign w:val="center"/>
          </w:tcPr>
          <w:p w14:paraId="44E9F2B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0.496740</w:t>
            </w:r>
          </w:p>
        </w:tc>
        <w:tc>
          <w:tcPr>
            <w:tcW w:w="2324" w:type="dxa"/>
            <w:tcMar>
              <w:top w:w="45" w:type="dxa"/>
              <w:bottom w:w="45" w:type="dxa"/>
            </w:tcMar>
            <w:vAlign w:val="center"/>
          </w:tcPr>
          <w:p w14:paraId="6F8D1B59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0.551737</w:t>
            </w:r>
          </w:p>
        </w:tc>
      </w:tr>
      <w:tr w14:paraId="20866D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45" w:type="dxa"/>
              <w:bottom w:w="45" w:type="dxa"/>
            </w:tcMar>
            <w:vAlign w:val="center"/>
          </w:tcPr>
          <w:p w14:paraId="5D75DAB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DLThpTime</w:t>
            </w:r>
          </w:p>
        </w:tc>
        <w:tc>
          <w:tcPr>
            <w:tcW w:w="2324" w:type="dxa"/>
            <w:tcMar>
              <w:top w:w="45" w:type="dxa"/>
              <w:bottom w:w="45" w:type="dxa"/>
            </w:tcMar>
            <w:vAlign w:val="center"/>
          </w:tcPr>
          <w:p w14:paraId="4D6232E4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0.229781</w:t>
            </w:r>
          </w:p>
        </w:tc>
        <w:tc>
          <w:tcPr>
            <w:tcW w:w="2494" w:type="dxa"/>
            <w:tcMar>
              <w:top w:w="45" w:type="dxa"/>
              <w:bottom w:w="45" w:type="dxa"/>
            </w:tcMar>
            <w:vAlign w:val="center"/>
          </w:tcPr>
          <w:p w14:paraId="04582AFC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0.513352</w:t>
            </w:r>
          </w:p>
        </w:tc>
        <w:tc>
          <w:tcPr>
            <w:tcW w:w="2324" w:type="dxa"/>
            <w:tcMar>
              <w:top w:w="45" w:type="dxa"/>
              <w:bottom w:w="45" w:type="dxa"/>
            </w:tcMar>
            <w:vAlign w:val="center"/>
          </w:tcPr>
          <w:p w14:paraId="0C451EBB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0.714872</w:t>
            </w:r>
          </w:p>
        </w:tc>
      </w:tr>
      <w:tr w14:paraId="7A5FE9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bottom w:val="single" w:color="222222" w:sz="12" w:space="0"/>
            </w:tcBorders>
            <w:tcMar>
              <w:top w:w="45" w:type="dxa"/>
              <w:bottom w:w="45" w:type="dxa"/>
            </w:tcMar>
            <w:vAlign w:val="center"/>
          </w:tcPr>
          <w:p w14:paraId="00E5CC8B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MR_number</w:t>
            </w:r>
          </w:p>
        </w:tc>
        <w:tc>
          <w:tcPr>
            <w:tcW w:w="2324" w:type="dxa"/>
            <w:tcBorders>
              <w:bottom w:val="single" w:color="222222" w:sz="12" w:space="0"/>
            </w:tcBorders>
            <w:tcMar>
              <w:top w:w="45" w:type="dxa"/>
              <w:bottom w:w="45" w:type="dxa"/>
            </w:tcMar>
            <w:vAlign w:val="center"/>
          </w:tcPr>
          <w:p w14:paraId="7FEC52F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0.209693</w:t>
            </w:r>
          </w:p>
        </w:tc>
        <w:tc>
          <w:tcPr>
            <w:tcW w:w="2494" w:type="dxa"/>
            <w:tcBorders>
              <w:bottom w:val="single" w:color="222222" w:sz="12" w:space="0"/>
            </w:tcBorders>
            <w:tcMar>
              <w:top w:w="45" w:type="dxa"/>
              <w:bottom w:w="45" w:type="dxa"/>
            </w:tcMar>
            <w:vAlign w:val="center"/>
          </w:tcPr>
          <w:p w14:paraId="35C9E50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0.366888</w:t>
            </w:r>
          </w:p>
        </w:tc>
        <w:tc>
          <w:tcPr>
            <w:tcW w:w="2324" w:type="dxa"/>
            <w:tcBorders>
              <w:bottom w:val="single" w:color="222222" w:sz="12" w:space="0"/>
            </w:tcBorders>
            <w:tcMar>
              <w:top w:w="45" w:type="dxa"/>
              <w:bottom w:w="45" w:type="dxa"/>
            </w:tcMar>
            <w:vAlign w:val="center"/>
          </w:tcPr>
          <w:p w14:paraId="6449259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0.885789</w:t>
            </w:r>
          </w:p>
        </w:tc>
      </w:tr>
    </w:tbl>
    <w:p w14:paraId="22C5054F">
      <w:pPr>
        <w:spacing w:after="0"/>
      </w:pPr>
    </w:p>
    <w:p w14:paraId="5099DC85">
      <w:pPr>
        <w:keepNext/>
        <w:spacing w:before="60" w:after="40"/>
        <w:jc w:val="center"/>
      </w:pPr>
      <w:r>
        <w:drawing>
          <wp:inline distT="0" distB="0" distL="114300" distR="114300">
            <wp:extent cx="5471795" cy="2087880"/>
            <wp:effectExtent l="0" t="0" r="146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08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D1E3">
      <w:pPr>
        <w:keepLines/>
        <w:spacing w:before="0" w:after="160" w:line="307" w:lineRule="auto"/>
        <w:jc w:val="center"/>
      </w:pPr>
      <w:r>
        <w:rPr>
          <w:rFonts w:ascii="Times New Roman" w:hAnsi="Times New Roman" w:eastAsia="宋体"/>
          <w:b w:val="0"/>
          <w:sz w:val="21"/>
        </w:rPr>
        <w:t>图 1 LSTM、GRU 与 Transformer 在四类 KPI 上的 MAE 比较</w:t>
      </w:r>
    </w:p>
    <w:p w14:paraId="4A81DF95">
      <w:pPr>
        <w:spacing w:before="0" w:after="100" w:line="307" w:lineRule="auto"/>
      </w:pPr>
      <w:r>
        <w:rPr>
          <w:rFonts w:ascii="Times New Roman" w:hAnsi="Times New Roman" w:eastAsia="宋体"/>
          <w:b w:val="0"/>
          <w:sz w:val="21"/>
        </w:rPr>
        <w:t>GRU 在四种 KPI 上均取得三种深度学习模型中最低的 MAE；DLThpVol 的最小 RMSE 则来自 LSTM（0.484384），表明不同损失指标的结论并不完全一致。</w:t>
      </w:r>
    </w:p>
    <w:p w14:paraId="5D06518C">
      <w:pPr>
        <w:spacing w:after="0"/>
      </w:pPr>
      <w:r>
        <w:br w:type="page"/>
      </w:r>
    </w:p>
    <w:p w14:paraId="7FFEF540">
      <w:pPr>
        <w:keepNext/>
        <w:spacing w:before="60" w:after="40"/>
        <w:jc w:val="center"/>
      </w:pPr>
      <w:r>
        <w:drawing>
          <wp:inline distT="0" distB="0" distL="114300" distR="114300">
            <wp:extent cx="5507990" cy="1988185"/>
            <wp:effectExtent l="0" t="0" r="889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198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3153E">
      <w:pPr>
        <w:keepLines/>
        <w:spacing w:before="0" w:after="160" w:line="307" w:lineRule="auto"/>
        <w:jc w:val="center"/>
      </w:pPr>
      <w:r>
        <w:rPr>
          <w:rFonts w:ascii="Times New Roman" w:hAnsi="Times New Roman" w:eastAsia="宋体"/>
          <w:b w:val="0"/>
          <w:sz w:val="21"/>
        </w:rPr>
        <w:t>图 2 三种深度学习模型的验证集 MSE 变化</w:t>
      </w:r>
    </w:p>
    <w:p w14:paraId="742C3BA6">
      <w:pPr>
        <w:pStyle w:val="3"/>
        <w:keepNext/>
        <w:spacing w:before="220" w:after="160"/>
      </w:pPr>
      <w:r>
        <w:rPr>
          <w:rFonts w:ascii="Times New Roman" w:hAnsi="Times New Roman" w:eastAsia="宋体"/>
          <w:b/>
          <w:color w:val="163A5F"/>
          <w:sz w:val="30"/>
        </w:rPr>
        <w:t>3. 传统 ML 与深度学习对比</w:t>
      </w:r>
    </w:p>
    <w:p w14:paraId="159CE5F7">
      <w:pPr>
        <w:spacing w:before="0" w:after="100" w:line="307" w:lineRule="auto"/>
      </w:pPr>
      <w:r>
        <w:rPr>
          <w:rFonts w:ascii="Times New Roman" w:hAnsi="Times New Roman" w:eastAsia="宋体"/>
          <w:b w:val="0"/>
          <w:sz w:val="21"/>
        </w:rPr>
        <w:t>对比沿用相同的下一小时预测目标、测试时段和原始 KPI 尺度。以各 KPI 的传统 ML 最佳 MAE 为参照，GRU 的相对误差改善如下。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0"/>
        <w:gridCol w:w="2310"/>
      </w:tblGrid>
      <w:tr w14:paraId="1C4C0A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222222" w:sz="12" w:space="0"/>
              <w:bottom w:val="single" w:color="222222" w:sz="6" w:space="0"/>
            </w:tcBorders>
            <w:tcMar>
              <w:top w:w="45" w:type="dxa"/>
              <w:bottom w:w="45" w:type="dxa"/>
            </w:tcMar>
            <w:vAlign w:val="center"/>
          </w:tcPr>
          <w:p w14:paraId="19256F64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KPI</w:t>
            </w:r>
          </w:p>
        </w:tc>
        <w:tc>
          <w:tcPr>
            <w:tcW w:w="3288" w:type="dxa"/>
            <w:tcBorders>
              <w:top w:val="single" w:color="222222" w:sz="12" w:space="0"/>
              <w:bottom w:val="single" w:color="222222" w:sz="6" w:space="0"/>
            </w:tcBorders>
            <w:tcMar>
              <w:top w:w="45" w:type="dxa"/>
              <w:bottom w:w="45" w:type="dxa"/>
            </w:tcMar>
            <w:vAlign w:val="center"/>
          </w:tcPr>
          <w:p w14:paraId="2A71B868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传统 ML 最佳 MAE</w:t>
            </w:r>
          </w:p>
        </w:tc>
        <w:tc>
          <w:tcPr>
            <w:tcW w:w="1984" w:type="dxa"/>
            <w:tcBorders>
              <w:top w:val="single" w:color="222222" w:sz="12" w:space="0"/>
              <w:bottom w:val="single" w:color="222222" w:sz="6" w:space="0"/>
            </w:tcBorders>
            <w:tcMar>
              <w:top w:w="45" w:type="dxa"/>
              <w:bottom w:w="45" w:type="dxa"/>
            </w:tcMar>
            <w:vAlign w:val="center"/>
          </w:tcPr>
          <w:p w14:paraId="1ACA052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GRU MAE</w:t>
            </w:r>
          </w:p>
        </w:tc>
        <w:tc>
          <w:tcPr>
            <w:tcW w:w="2211" w:type="dxa"/>
            <w:tcBorders>
              <w:top w:val="single" w:color="222222" w:sz="12" w:space="0"/>
              <w:bottom w:val="single" w:color="222222" w:sz="6" w:space="0"/>
            </w:tcBorders>
            <w:tcMar>
              <w:top w:w="45" w:type="dxa"/>
              <w:bottom w:w="45" w:type="dxa"/>
            </w:tcMar>
            <w:vAlign w:val="center"/>
          </w:tcPr>
          <w:p w14:paraId="583DC334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相对改善</w:t>
            </w:r>
          </w:p>
        </w:tc>
      </w:tr>
      <w:tr w14:paraId="6DE358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45" w:type="dxa"/>
              <w:bottom w:w="45" w:type="dxa"/>
            </w:tcMar>
            <w:vAlign w:val="center"/>
          </w:tcPr>
          <w:p w14:paraId="2D8EC16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DLPRB</w:t>
            </w:r>
          </w:p>
        </w:tc>
        <w:tc>
          <w:tcPr>
            <w:tcW w:w="3288" w:type="dxa"/>
            <w:tcMar>
              <w:top w:w="45" w:type="dxa"/>
              <w:bottom w:w="45" w:type="dxa"/>
            </w:tcMar>
            <w:vAlign w:val="center"/>
          </w:tcPr>
          <w:p w14:paraId="7B18BC55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0.261817（XGBoost）</w:t>
            </w:r>
          </w:p>
        </w:tc>
        <w:tc>
          <w:tcPr>
            <w:tcW w:w="1984" w:type="dxa"/>
            <w:tcMar>
              <w:top w:w="45" w:type="dxa"/>
              <w:bottom w:w="45" w:type="dxa"/>
            </w:tcMar>
            <w:vAlign w:val="center"/>
          </w:tcPr>
          <w:p w14:paraId="20F8963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0.245618</w:t>
            </w:r>
          </w:p>
        </w:tc>
        <w:tc>
          <w:tcPr>
            <w:tcW w:w="2211" w:type="dxa"/>
            <w:tcMar>
              <w:top w:w="45" w:type="dxa"/>
              <w:bottom w:w="45" w:type="dxa"/>
            </w:tcMar>
            <w:vAlign w:val="center"/>
          </w:tcPr>
          <w:p w14:paraId="40800F3A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6.19%</w:t>
            </w:r>
          </w:p>
        </w:tc>
      </w:tr>
      <w:tr w14:paraId="300B75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45" w:type="dxa"/>
              <w:bottom w:w="45" w:type="dxa"/>
            </w:tcMar>
            <w:vAlign w:val="center"/>
          </w:tcPr>
          <w:p w14:paraId="4D67B17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DLThpVol</w:t>
            </w:r>
          </w:p>
        </w:tc>
        <w:tc>
          <w:tcPr>
            <w:tcW w:w="3288" w:type="dxa"/>
            <w:tcMar>
              <w:top w:w="45" w:type="dxa"/>
              <w:bottom w:w="45" w:type="dxa"/>
            </w:tcMar>
            <w:vAlign w:val="center"/>
          </w:tcPr>
          <w:p w14:paraId="542A214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0.207615（RF）</w:t>
            </w:r>
          </w:p>
        </w:tc>
        <w:tc>
          <w:tcPr>
            <w:tcW w:w="1984" w:type="dxa"/>
            <w:tcMar>
              <w:top w:w="45" w:type="dxa"/>
              <w:bottom w:w="45" w:type="dxa"/>
            </w:tcMar>
            <w:vAlign w:val="center"/>
          </w:tcPr>
          <w:p w14:paraId="40AD6464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0.204574</w:t>
            </w:r>
          </w:p>
        </w:tc>
        <w:tc>
          <w:tcPr>
            <w:tcW w:w="2211" w:type="dxa"/>
            <w:tcMar>
              <w:top w:w="45" w:type="dxa"/>
              <w:bottom w:w="45" w:type="dxa"/>
            </w:tcMar>
            <w:vAlign w:val="center"/>
          </w:tcPr>
          <w:p w14:paraId="084101B3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1.46%</w:t>
            </w:r>
          </w:p>
        </w:tc>
      </w:tr>
      <w:tr w14:paraId="421322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45" w:type="dxa"/>
              <w:bottom w:w="45" w:type="dxa"/>
            </w:tcMar>
            <w:vAlign w:val="center"/>
          </w:tcPr>
          <w:p w14:paraId="60BB39B9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DLThpTime</w:t>
            </w:r>
          </w:p>
        </w:tc>
        <w:tc>
          <w:tcPr>
            <w:tcW w:w="3288" w:type="dxa"/>
            <w:tcMar>
              <w:top w:w="45" w:type="dxa"/>
              <w:bottom w:w="45" w:type="dxa"/>
            </w:tcMar>
            <w:vAlign w:val="center"/>
          </w:tcPr>
          <w:p w14:paraId="0E5C5F9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0.243576（XGBoost）</w:t>
            </w:r>
          </w:p>
        </w:tc>
        <w:tc>
          <w:tcPr>
            <w:tcW w:w="1984" w:type="dxa"/>
            <w:tcMar>
              <w:top w:w="45" w:type="dxa"/>
              <w:bottom w:w="45" w:type="dxa"/>
            </w:tcMar>
            <w:vAlign w:val="center"/>
          </w:tcPr>
          <w:p w14:paraId="30AED6AF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0.229781</w:t>
            </w:r>
          </w:p>
        </w:tc>
        <w:tc>
          <w:tcPr>
            <w:tcW w:w="2211" w:type="dxa"/>
            <w:tcMar>
              <w:top w:w="45" w:type="dxa"/>
              <w:bottom w:w="45" w:type="dxa"/>
            </w:tcMar>
            <w:vAlign w:val="center"/>
          </w:tcPr>
          <w:p w14:paraId="735522E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5.66%</w:t>
            </w:r>
          </w:p>
        </w:tc>
      </w:tr>
      <w:tr w14:paraId="200366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bottom w:val="single" w:color="222222" w:sz="12" w:space="0"/>
            </w:tcBorders>
            <w:tcMar>
              <w:top w:w="45" w:type="dxa"/>
              <w:bottom w:w="45" w:type="dxa"/>
            </w:tcMar>
            <w:vAlign w:val="center"/>
          </w:tcPr>
          <w:p w14:paraId="1E90DEDA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MR_number</w:t>
            </w:r>
          </w:p>
        </w:tc>
        <w:tc>
          <w:tcPr>
            <w:tcW w:w="3288" w:type="dxa"/>
            <w:tcBorders>
              <w:bottom w:val="single" w:color="222222" w:sz="12" w:space="0"/>
            </w:tcBorders>
            <w:tcMar>
              <w:top w:w="45" w:type="dxa"/>
              <w:bottom w:w="45" w:type="dxa"/>
            </w:tcMar>
            <w:vAlign w:val="center"/>
          </w:tcPr>
          <w:p w14:paraId="517CB5A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0.224767（XGBoost）</w:t>
            </w:r>
          </w:p>
        </w:tc>
        <w:tc>
          <w:tcPr>
            <w:tcW w:w="1984" w:type="dxa"/>
            <w:tcBorders>
              <w:bottom w:val="single" w:color="222222" w:sz="12" w:space="0"/>
            </w:tcBorders>
            <w:tcMar>
              <w:top w:w="45" w:type="dxa"/>
              <w:bottom w:w="45" w:type="dxa"/>
            </w:tcMar>
            <w:vAlign w:val="center"/>
          </w:tcPr>
          <w:p w14:paraId="1AE51A02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0.209693</w:t>
            </w:r>
          </w:p>
        </w:tc>
        <w:tc>
          <w:tcPr>
            <w:tcW w:w="2211" w:type="dxa"/>
            <w:tcBorders>
              <w:bottom w:val="single" w:color="222222" w:sz="12" w:space="0"/>
            </w:tcBorders>
            <w:tcMar>
              <w:top w:w="45" w:type="dxa"/>
              <w:bottom w:w="45" w:type="dxa"/>
            </w:tcMar>
            <w:vAlign w:val="center"/>
          </w:tcPr>
          <w:p w14:paraId="394E57AC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6.71%</w:t>
            </w:r>
          </w:p>
        </w:tc>
      </w:tr>
    </w:tbl>
    <w:p w14:paraId="387E6ACE">
      <w:pPr>
        <w:spacing w:after="0"/>
      </w:pPr>
    </w:p>
    <w:p w14:paraId="4690CA7C">
      <w:pPr>
        <w:keepNext/>
        <w:spacing w:before="60" w:after="40"/>
        <w:jc w:val="center"/>
      </w:pPr>
      <w:r>
        <w:drawing>
          <wp:inline distT="0" distB="0" distL="114300" distR="114300">
            <wp:extent cx="5399405" cy="2060575"/>
            <wp:effectExtent l="0" t="0" r="10795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6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E3E01">
      <w:pPr>
        <w:keepLines/>
        <w:spacing w:before="0" w:after="160" w:line="307" w:lineRule="auto"/>
        <w:jc w:val="center"/>
      </w:pPr>
      <w:r>
        <w:rPr>
          <w:rFonts w:ascii="Times New Roman" w:hAnsi="Times New Roman" w:eastAsia="宋体"/>
          <w:b w:val="0"/>
          <w:sz w:val="21"/>
        </w:rPr>
        <w:t>图 3 传统机器学习最佳模型与 GRU 的 MAE 对比</w:t>
      </w:r>
    </w:p>
    <w:p w14:paraId="0038B859">
      <w:pPr>
        <w:spacing w:before="0" w:after="100" w:line="307" w:lineRule="auto"/>
      </w:pPr>
      <w:r>
        <w:rPr>
          <w:rFonts w:ascii="Times New Roman" w:hAnsi="Times New Roman" w:eastAsia="宋体"/>
          <w:b w:val="0"/>
          <w:sz w:val="21"/>
        </w:rPr>
        <w:t>在同一留出测试段上，GRU 四项 MAE 均优于传统 ML 的最佳值；但 DLThpVol 的最优 DL RMSE（LSTM：0.484384）仍高于随机森林（0.460162）。传统 ML 的三折滚动验证和显著性检验不等于已完成 GRU 与传统 ML 之间的统计显著性比较。</w:t>
      </w:r>
    </w:p>
    <w:p w14:paraId="776A0FB7">
      <w:pPr>
        <w:spacing w:after="0"/>
      </w:pPr>
      <w:r>
        <w:br w:type="page"/>
      </w:r>
    </w:p>
    <w:p w14:paraId="7EE4AAB0">
      <w:pPr>
        <w:pStyle w:val="3"/>
        <w:keepNext/>
        <w:spacing w:before="220" w:after="160"/>
      </w:pPr>
      <w:r>
        <w:rPr>
          <w:rFonts w:ascii="Times New Roman" w:hAnsi="Times New Roman" w:eastAsia="宋体"/>
          <w:b/>
          <w:color w:val="163A5F"/>
          <w:sz w:val="30"/>
        </w:rPr>
        <w:t>4. 5G 网络异常检测与初步关联分析</w:t>
      </w:r>
    </w:p>
    <w:p w14:paraId="7B09F22F">
      <w:pPr>
        <w:spacing w:before="0" w:after="100" w:line="307" w:lineRule="auto"/>
      </w:pPr>
      <w:r>
        <w:rPr>
          <w:rFonts w:ascii="Times New Roman" w:hAnsi="Times New Roman" w:eastAsia="宋体"/>
          <w:b w:val="0"/>
          <w:sz w:val="21"/>
        </w:rPr>
        <w:t>在 2,880 个 beam、168 个测试小时构成的 483,840 条记录上，实现 3σ、IQR、Isolation Forest 与 One-Class SVM。统计阈值按 beam 的训练期分布计算；Isolation Forest 训练抽样80,000条、测试全量；One-Class SVM 训练2,500条、测试抽样12,000条。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0"/>
        <w:gridCol w:w="2310"/>
      </w:tblGrid>
      <w:tr w14:paraId="7C50FD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08" w:type="dxa"/>
            <w:tcBorders>
              <w:top w:val="single" w:color="222222" w:sz="12" w:space="0"/>
              <w:bottom w:val="single" w:color="222222" w:sz="6" w:space="0"/>
            </w:tcBorders>
            <w:tcMar>
              <w:top w:w="45" w:type="dxa"/>
              <w:bottom w:w="45" w:type="dxa"/>
            </w:tcMar>
            <w:vAlign w:val="center"/>
          </w:tcPr>
          <w:p w14:paraId="57E5C04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检测方法</w:t>
            </w:r>
          </w:p>
        </w:tc>
        <w:tc>
          <w:tcPr>
            <w:tcW w:w="2268" w:type="dxa"/>
            <w:tcBorders>
              <w:top w:val="single" w:color="222222" w:sz="12" w:space="0"/>
              <w:bottom w:val="single" w:color="222222" w:sz="6" w:space="0"/>
            </w:tcBorders>
            <w:tcMar>
              <w:top w:w="45" w:type="dxa"/>
              <w:bottom w:w="45" w:type="dxa"/>
            </w:tcMar>
            <w:vAlign w:val="center"/>
          </w:tcPr>
          <w:p w14:paraId="1B2F8E7F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测试记录数</w:t>
            </w:r>
          </w:p>
        </w:tc>
        <w:tc>
          <w:tcPr>
            <w:tcW w:w="2268" w:type="dxa"/>
            <w:tcBorders>
              <w:top w:val="single" w:color="222222" w:sz="12" w:space="0"/>
              <w:bottom w:val="single" w:color="222222" w:sz="6" w:space="0"/>
            </w:tcBorders>
            <w:tcMar>
              <w:top w:w="45" w:type="dxa"/>
              <w:bottom w:w="45" w:type="dxa"/>
            </w:tcMar>
            <w:vAlign w:val="center"/>
          </w:tcPr>
          <w:p w14:paraId="34AA5D0F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异常标记数</w:t>
            </w:r>
          </w:p>
        </w:tc>
        <w:tc>
          <w:tcPr>
            <w:tcW w:w="2041" w:type="dxa"/>
            <w:tcBorders>
              <w:top w:val="single" w:color="222222" w:sz="12" w:space="0"/>
              <w:bottom w:val="single" w:color="222222" w:sz="6" w:space="0"/>
            </w:tcBorders>
            <w:tcMar>
              <w:top w:w="45" w:type="dxa"/>
              <w:bottom w:w="45" w:type="dxa"/>
            </w:tcMar>
            <w:vAlign w:val="center"/>
          </w:tcPr>
          <w:p w14:paraId="296EB4CA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标记比例</w:t>
            </w:r>
          </w:p>
        </w:tc>
      </w:tr>
      <w:tr w14:paraId="187551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tcMar>
              <w:top w:w="45" w:type="dxa"/>
              <w:bottom w:w="45" w:type="dxa"/>
            </w:tcMar>
            <w:vAlign w:val="center"/>
          </w:tcPr>
          <w:p w14:paraId="65334CFF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3σ</w:t>
            </w:r>
          </w:p>
        </w:tc>
        <w:tc>
          <w:tcPr>
            <w:tcW w:w="2268" w:type="dxa"/>
            <w:tcMar>
              <w:top w:w="45" w:type="dxa"/>
              <w:bottom w:w="45" w:type="dxa"/>
            </w:tcMar>
            <w:vAlign w:val="center"/>
          </w:tcPr>
          <w:p w14:paraId="1AC0DCF5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483,840</w:t>
            </w:r>
          </w:p>
        </w:tc>
        <w:tc>
          <w:tcPr>
            <w:tcW w:w="2268" w:type="dxa"/>
            <w:tcMar>
              <w:top w:w="45" w:type="dxa"/>
              <w:bottom w:w="45" w:type="dxa"/>
            </w:tcMar>
            <w:vAlign w:val="center"/>
          </w:tcPr>
          <w:p w14:paraId="3D36469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22,059</w:t>
            </w:r>
          </w:p>
        </w:tc>
        <w:tc>
          <w:tcPr>
            <w:tcW w:w="2041" w:type="dxa"/>
            <w:tcMar>
              <w:top w:w="45" w:type="dxa"/>
              <w:bottom w:w="45" w:type="dxa"/>
            </w:tcMar>
            <w:vAlign w:val="center"/>
          </w:tcPr>
          <w:p w14:paraId="2AB0C178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4.56%</w:t>
            </w:r>
          </w:p>
        </w:tc>
      </w:tr>
      <w:tr w14:paraId="0D5034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tcMar>
              <w:top w:w="45" w:type="dxa"/>
              <w:bottom w:w="45" w:type="dxa"/>
            </w:tcMar>
            <w:vAlign w:val="center"/>
          </w:tcPr>
          <w:p w14:paraId="27F1C64A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IQR</w:t>
            </w:r>
          </w:p>
        </w:tc>
        <w:tc>
          <w:tcPr>
            <w:tcW w:w="2268" w:type="dxa"/>
            <w:tcMar>
              <w:top w:w="45" w:type="dxa"/>
              <w:bottom w:w="45" w:type="dxa"/>
            </w:tcMar>
            <w:vAlign w:val="center"/>
          </w:tcPr>
          <w:p w14:paraId="315985AE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483,840</w:t>
            </w:r>
          </w:p>
        </w:tc>
        <w:tc>
          <w:tcPr>
            <w:tcW w:w="2268" w:type="dxa"/>
            <w:tcMar>
              <w:top w:w="45" w:type="dxa"/>
              <w:bottom w:w="45" w:type="dxa"/>
            </w:tcMar>
            <w:vAlign w:val="center"/>
          </w:tcPr>
          <w:p w14:paraId="7185A7DA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51,318</w:t>
            </w:r>
          </w:p>
        </w:tc>
        <w:tc>
          <w:tcPr>
            <w:tcW w:w="2041" w:type="dxa"/>
            <w:tcMar>
              <w:top w:w="45" w:type="dxa"/>
              <w:bottom w:w="45" w:type="dxa"/>
            </w:tcMar>
            <w:vAlign w:val="center"/>
          </w:tcPr>
          <w:p w14:paraId="6E377927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10.61%</w:t>
            </w:r>
          </w:p>
        </w:tc>
      </w:tr>
      <w:tr w14:paraId="4BB449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tcMar>
              <w:top w:w="45" w:type="dxa"/>
              <w:bottom w:w="45" w:type="dxa"/>
            </w:tcMar>
            <w:vAlign w:val="center"/>
          </w:tcPr>
          <w:p w14:paraId="521FF389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Isolation Forest</w:t>
            </w:r>
          </w:p>
        </w:tc>
        <w:tc>
          <w:tcPr>
            <w:tcW w:w="2268" w:type="dxa"/>
            <w:tcMar>
              <w:top w:w="45" w:type="dxa"/>
              <w:bottom w:w="45" w:type="dxa"/>
            </w:tcMar>
            <w:vAlign w:val="center"/>
          </w:tcPr>
          <w:p w14:paraId="46D0F9D4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483,840</w:t>
            </w:r>
          </w:p>
        </w:tc>
        <w:tc>
          <w:tcPr>
            <w:tcW w:w="2268" w:type="dxa"/>
            <w:tcMar>
              <w:top w:w="45" w:type="dxa"/>
              <w:bottom w:w="45" w:type="dxa"/>
            </w:tcMar>
            <w:vAlign w:val="center"/>
          </w:tcPr>
          <w:p w14:paraId="6601FD07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9,900</w:t>
            </w:r>
          </w:p>
        </w:tc>
        <w:tc>
          <w:tcPr>
            <w:tcW w:w="2041" w:type="dxa"/>
            <w:tcMar>
              <w:top w:w="45" w:type="dxa"/>
              <w:bottom w:w="45" w:type="dxa"/>
            </w:tcMar>
            <w:vAlign w:val="center"/>
          </w:tcPr>
          <w:p w14:paraId="4E2E8CDA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2.05%</w:t>
            </w:r>
          </w:p>
        </w:tc>
      </w:tr>
      <w:tr w14:paraId="099B68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tcBorders>
              <w:bottom w:val="single" w:color="222222" w:sz="12" w:space="0"/>
            </w:tcBorders>
            <w:tcMar>
              <w:top w:w="45" w:type="dxa"/>
              <w:bottom w:w="45" w:type="dxa"/>
            </w:tcMar>
            <w:vAlign w:val="center"/>
          </w:tcPr>
          <w:p w14:paraId="04312AE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One-Class SVM*</w:t>
            </w:r>
          </w:p>
        </w:tc>
        <w:tc>
          <w:tcPr>
            <w:tcW w:w="2268" w:type="dxa"/>
            <w:tcBorders>
              <w:bottom w:val="single" w:color="222222" w:sz="12" w:space="0"/>
            </w:tcBorders>
            <w:tcMar>
              <w:top w:w="45" w:type="dxa"/>
              <w:bottom w:w="45" w:type="dxa"/>
            </w:tcMar>
            <w:vAlign w:val="center"/>
          </w:tcPr>
          <w:p w14:paraId="4C56C994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12,000</w:t>
            </w:r>
          </w:p>
        </w:tc>
        <w:tc>
          <w:tcPr>
            <w:tcW w:w="2268" w:type="dxa"/>
            <w:tcBorders>
              <w:bottom w:val="single" w:color="222222" w:sz="12" w:space="0"/>
            </w:tcBorders>
            <w:tcMar>
              <w:top w:w="45" w:type="dxa"/>
              <w:bottom w:w="45" w:type="dxa"/>
            </w:tcMar>
            <w:vAlign w:val="center"/>
          </w:tcPr>
          <w:p w14:paraId="2A50B54C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552</w:t>
            </w:r>
          </w:p>
        </w:tc>
        <w:tc>
          <w:tcPr>
            <w:tcW w:w="2041" w:type="dxa"/>
            <w:tcBorders>
              <w:bottom w:val="single" w:color="222222" w:sz="12" w:space="0"/>
            </w:tcBorders>
            <w:tcMar>
              <w:top w:w="45" w:type="dxa"/>
              <w:bottom w:w="45" w:type="dxa"/>
            </w:tcMar>
            <w:vAlign w:val="center"/>
          </w:tcPr>
          <w:p w14:paraId="54FA399C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4.60%</w:t>
            </w:r>
          </w:p>
        </w:tc>
      </w:tr>
    </w:tbl>
    <w:p w14:paraId="1E7733C6">
      <w:pPr>
        <w:spacing w:after="0"/>
      </w:pPr>
    </w:p>
    <w:p w14:paraId="15B31242">
      <w:pPr>
        <w:keepNext/>
        <w:spacing w:before="60" w:after="40"/>
        <w:jc w:val="center"/>
      </w:pPr>
      <w:r>
        <w:drawing>
          <wp:inline distT="0" distB="0" distL="114300" distR="114300">
            <wp:extent cx="5471795" cy="1975485"/>
            <wp:effectExtent l="0" t="0" r="1460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97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7195">
      <w:pPr>
        <w:keepLines/>
        <w:spacing w:before="0" w:after="160" w:line="307" w:lineRule="auto"/>
        <w:jc w:val="center"/>
      </w:pPr>
      <w:r>
        <w:rPr>
          <w:rFonts w:ascii="Times New Roman" w:hAnsi="Times New Roman" w:eastAsia="宋体"/>
          <w:b w:val="0"/>
          <w:sz w:val="21"/>
        </w:rPr>
        <w:t>图 4 四种异常检测方法的异常标记率（*SVM 为抽样测试）</w:t>
      </w:r>
    </w:p>
    <w:p w14:paraId="0CCC45E9">
      <w:pPr>
        <w:spacing w:before="0" w:after="100" w:line="307" w:lineRule="auto"/>
      </w:pPr>
      <w:r>
        <w:rPr>
          <w:rFonts w:ascii="Times New Roman" w:hAnsi="Times New Roman" w:eastAsia="宋体"/>
          <w:b w:val="0"/>
          <w:sz w:val="21"/>
        </w:rPr>
        <w:t>采用 Isolation Forest AND（3σ OR IQR）筛选出 3,165 条联合候选，占测试集约0.65%。这些记录属于待核查的异常候选，并非经网络告警或故障工单确认的真实故障。</w:t>
      </w:r>
    </w:p>
    <w:p w14:paraId="6CF01BBF">
      <w:pPr>
        <w:keepNext/>
        <w:spacing w:before="60" w:after="40"/>
        <w:jc w:val="center"/>
      </w:pPr>
      <w:r>
        <w:drawing>
          <wp:inline distT="0" distB="0" distL="114300" distR="114300">
            <wp:extent cx="4031615" cy="2646045"/>
            <wp:effectExtent l="0" t="0" r="698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1999" cy="264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59E71">
      <w:pPr>
        <w:keepLines/>
        <w:spacing w:before="0" w:after="160" w:line="307" w:lineRule="auto"/>
        <w:jc w:val="center"/>
      </w:pPr>
      <w:r>
        <w:rPr>
          <w:rFonts w:ascii="Times New Roman" w:hAnsi="Times New Roman" w:eastAsia="宋体"/>
          <w:b w:val="0"/>
          <w:sz w:val="21"/>
        </w:rPr>
        <w:t>图 5 联合异常候选样本的 KPI 相关性矩阵</w:t>
      </w:r>
    </w:p>
    <w:p w14:paraId="1820528C">
      <w:pPr>
        <w:spacing w:before="0" w:after="100" w:line="307" w:lineRule="auto"/>
      </w:pPr>
      <w:r>
        <w:rPr>
          <w:rFonts w:ascii="Times New Roman" w:hAnsi="Times New Roman" w:eastAsia="宋体"/>
          <w:b w:val="0"/>
          <w:sz w:val="21"/>
        </w:rPr>
        <w:t>在联合候选中，DLPRB 与 MR_number 的 Pearson 相关系数约为0.889，DLPRB 与 DLThpTime 约为0.697。相关性用于提出负载、调度和测量活动等排查假设，不能直接证明因果关系。</w:t>
      </w:r>
    </w:p>
    <w:p w14:paraId="7D15C4EC">
      <w:pPr>
        <w:pStyle w:val="3"/>
        <w:keepNext/>
        <w:pageBreakBefore w:val="0"/>
        <w:spacing w:before="220" w:after="160"/>
      </w:pPr>
      <w:r>
        <w:rPr>
          <w:rFonts w:ascii="Times New Roman" w:hAnsi="Times New Roman" w:eastAsia="宋体"/>
          <w:b/>
          <w:color w:val="163A5F"/>
          <w:sz w:val="30"/>
        </w:rPr>
        <w:t>5. 技术问题与阶段局限</w:t>
      </w:r>
    </w:p>
    <w:p w14:paraId="0C7A2B70">
      <w:pPr>
        <w:spacing w:before="0" w:after="100" w:line="307" w:lineRule="auto"/>
      </w:pPr>
      <w:r>
        <w:rPr>
          <w:rFonts w:ascii="Times New Roman" w:hAnsi="Times New Roman" w:eastAsia="宋体"/>
          <w:b w:val="0"/>
          <w:sz w:val="21"/>
        </w:rPr>
        <w:t>（1）训练样本与比较口径：深度学习随机抽样60,000个训练窗口，传统 ML 使用1,448,640条训练样本，输入表示、参数量与计算预算不同，因此当前比较属于同一测试期的描述性性能比较。</w:t>
      </w:r>
    </w:p>
    <w:p w14:paraId="5F194FAE">
      <w:pPr>
        <w:spacing w:before="0" w:after="100" w:line="307" w:lineRule="auto"/>
      </w:pPr>
      <w:r>
        <w:rPr>
          <w:rFonts w:ascii="Times New Roman" w:hAnsi="Times New Roman" w:eastAsia="宋体"/>
          <w:b w:val="0"/>
          <w:sz w:val="21"/>
        </w:rPr>
        <w:t>（2）验证独立性：神经网络继承的 StandardScaler 在时间0–671拟合，包含内部验证段588–671，但未包含测试段；如需严格评估调参稳定性，应仅在内部训练期拟合缩放器并重新验证。</w:t>
      </w:r>
    </w:p>
    <w:p w14:paraId="146A25B7">
      <w:pPr>
        <w:spacing w:before="0" w:after="100" w:line="307" w:lineRule="auto"/>
      </w:pPr>
      <w:r>
        <w:rPr>
          <w:rFonts w:ascii="Times New Roman" w:hAnsi="Times New Roman" w:eastAsia="宋体"/>
          <w:b w:val="0"/>
          <w:sz w:val="21"/>
        </w:rPr>
        <w:t>（3）异常解释边界：数据无真实故障标签，无法计算故障识别的 Precision、Recall 或 F1；One-Class SVM 为抽样测试，其比例不可按全量结果解释。事件 CSV 只导出联合候选中优先级最高的2,000条。</w:t>
      </w:r>
    </w:p>
    <w:p w14:paraId="2E69A623">
      <w:pPr>
        <w:pStyle w:val="3"/>
        <w:keepNext/>
        <w:spacing w:before="220" w:after="160"/>
      </w:pPr>
      <w:r>
        <w:rPr>
          <w:rFonts w:ascii="Times New Roman" w:hAnsi="Times New Roman" w:eastAsia="宋体"/>
          <w:b/>
          <w:color w:val="163A5F"/>
          <w:sz w:val="30"/>
        </w:rPr>
        <w:t>6. 交付物核对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6CD29D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082" w:type="dxa"/>
            <w:tcBorders>
              <w:top w:val="single" w:color="222222" w:sz="12" w:space="0"/>
              <w:bottom w:val="single" w:color="222222" w:sz="6" w:space="0"/>
            </w:tcBorders>
            <w:tcMar>
              <w:top w:w="45" w:type="dxa"/>
              <w:bottom w:w="45" w:type="dxa"/>
            </w:tcMar>
            <w:vAlign w:val="center"/>
          </w:tcPr>
          <w:p w14:paraId="65A337E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任务书交付物</w:t>
            </w:r>
          </w:p>
        </w:tc>
        <w:tc>
          <w:tcPr>
            <w:tcW w:w="5102" w:type="dxa"/>
            <w:tcBorders>
              <w:top w:val="single" w:color="222222" w:sz="12" w:space="0"/>
              <w:bottom w:val="single" w:color="222222" w:sz="6" w:space="0"/>
            </w:tcBorders>
            <w:tcMar>
              <w:top w:w="45" w:type="dxa"/>
              <w:bottom w:w="45" w:type="dxa"/>
            </w:tcMar>
            <w:vAlign w:val="center"/>
          </w:tcPr>
          <w:p w14:paraId="3B1BB82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可核对的文件</w:t>
            </w:r>
          </w:p>
        </w:tc>
      </w:tr>
      <w:tr w14:paraId="3B98AC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82" w:type="dxa"/>
            <w:tcMar>
              <w:top w:w="45" w:type="dxa"/>
              <w:bottom w:w="45" w:type="dxa"/>
            </w:tcMar>
            <w:vAlign w:val="center"/>
          </w:tcPr>
          <w:p w14:paraId="4F5EA39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1. 深度学习 KPI 预测模型代码</w:t>
            </w:r>
          </w:p>
        </w:tc>
        <w:tc>
          <w:tcPr>
            <w:tcW w:w="5102" w:type="dxa"/>
            <w:tcMar>
              <w:top w:w="45" w:type="dxa"/>
              <w:bottom w:w="45" w:type="dxa"/>
            </w:tcMar>
            <w:vAlign w:val="center"/>
          </w:tcPr>
          <w:p w14:paraId="1543263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w3_dl_prediction.py</w:t>
            </w:r>
          </w:p>
        </w:tc>
      </w:tr>
      <w:tr w14:paraId="55D390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82" w:type="dxa"/>
            <w:tcMar>
              <w:top w:w="45" w:type="dxa"/>
              <w:bottom w:w="45" w:type="dxa"/>
            </w:tcMar>
            <w:vAlign w:val="center"/>
          </w:tcPr>
          <w:p w14:paraId="2821BB53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2. 深度学习模型性能评估报告</w:t>
            </w:r>
          </w:p>
        </w:tc>
        <w:tc>
          <w:tcPr>
            <w:tcW w:w="5102" w:type="dxa"/>
            <w:tcMar>
              <w:top w:w="45" w:type="dxa"/>
              <w:bottom w:w="45" w:type="dxa"/>
            </w:tcMar>
            <w:vAlign w:val="center"/>
          </w:tcPr>
          <w:p w14:paraId="2E7801B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深度学习模型性能评估报告.docx</w:t>
            </w:r>
          </w:p>
        </w:tc>
      </w:tr>
      <w:tr w14:paraId="44A09A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82" w:type="dxa"/>
            <w:tcMar>
              <w:top w:w="45" w:type="dxa"/>
              <w:bottom w:w="45" w:type="dxa"/>
            </w:tcMar>
            <w:vAlign w:val="center"/>
          </w:tcPr>
          <w:p w14:paraId="705952A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3. 传统 ML 与 DL 模型对比分析</w:t>
            </w:r>
          </w:p>
        </w:tc>
        <w:tc>
          <w:tcPr>
            <w:tcW w:w="5102" w:type="dxa"/>
            <w:tcMar>
              <w:top w:w="45" w:type="dxa"/>
              <w:bottom w:w="45" w:type="dxa"/>
            </w:tcMar>
            <w:vAlign w:val="center"/>
          </w:tcPr>
          <w:p w14:paraId="48722614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传统ML与DL模型对比分析.docx；w3_dl_comparison.py</w:t>
            </w:r>
          </w:p>
        </w:tc>
      </w:tr>
      <w:tr w14:paraId="316E8A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82" w:type="dxa"/>
            <w:tcMar>
              <w:top w:w="45" w:type="dxa"/>
              <w:bottom w:w="45" w:type="dxa"/>
            </w:tcMar>
            <w:vAlign w:val="center"/>
          </w:tcPr>
          <w:p w14:paraId="1C24C0BE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4. 异常检测模型代码</w:t>
            </w:r>
          </w:p>
        </w:tc>
        <w:tc>
          <w:tcPr>
            <w:tcW w:w="5102" w:type="dxa"/>
            <w:tcMar>
              <w:top w:w="45" w:type="dxa"/>
              <w:bottom w:w="45" w:type="dxa"/>
            </w:tcMar>
            <w:vAlign w:val="center"/>
          </w:tcPr>
          <w:p w14:paraId="5D9E447F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w3_anomaly_detection.py</w:t>
            </w:r>
          </w:p>
        </w:tc>
      </w:tr>
      <w:tr w14:paraId="58C3C4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82" w:type="dxa"/>
            <w:tcMar>
              <w:top w:w="45" w:type="dxa"/>
              <w:bottom w:w="45" w:type="dxa"/>
            </w:tcMar>
            <w:vAlign w:val="center"/>
          </w:tcPr>
          <w:p w14:paraId="31B2721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5. 异常检测结果报告</w:t>
            </w:r>
          </w:p>
        </w:tc>
        <w:tc>
          <w:tcPr>
            <w:tcW w:w="5102" w:type="dxa"/>
            <w:tcMar>
              <w:top w:w="45" w:type="dxa"/>
              <w:bottom w:w="45" w:type="dxa"/>
            </w:tcMar>
            <w:vAlign w:val="center"/>
          </w:tcPr>
          <w:p w14:paraId="0A278F9B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异常检测结果报告.docx</w:t>
            </w:r>
          </w:p>
        </w:tc>
      </w:tr>
      <w:tr w14:paraId="6A3A27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82" w:type="dxa"/>
            <w:tcBorders>
              <w:bottom w:val="single" w:color="222222" w:sz="12" w:space="0"/>
            </w:tcBorders>
            <w:tcMar>
              <w:top w:w="45" w:type="dxa"/>
              <w:bottom w:w="45" w:type="dxa"/>
            </w:tcMar>
            <w:vAlign w:val="center"/>
          </w:tcPr>
          <w:p w14:paraId="24F50A2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6. 异常根因分析初步方案</w:t>
            </w:r>
          </w:p>
        </w:tc>
        <w:tc>
          <w:tcPr>
            <w:tcW w:w="5102" w:type="dxa"/>
            <w:tcBorders>
              <w:bottom w:val="single" w:color="222222" w:sz="12" w:space="0"/>
            </w:tcBorders>
            <w:tcMar>
              <w:top w:w="45" w:type="dxa"/>
              <w:bottom w:w="45" w:type="dxa"/>
            </w:tcMar>
            <w:vAlign w:val="center"/>
          </w:tcPr>
          <w:p w14:paraId="7692277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异常根因分析初步方案.docx</w:t>
            </w:r>
          </w:p>
        </w:tc>
      </w:tr>
    </w:tbl>
    <w:p w14:paraId="53696AFE">
      <w:pPr>
        <w:spacing w:after="0"/>
      </w:pPr>
    </w:p>
    <w:p w14:paraId="73377F9D">
      <w:pPr>
        <w:pStyle w:val="3"/>
        <w:keepNext/>
        <w:spacing w:before="160" w:after="160"/>
      </w:pPr>
      <w:r>
        <w:rPr>
          <w:rFonts w:ascii="Times New Roman" w:hAnsi="Times New Roman" w:eastAsia="宋体"/>
          <w:b/>
          <w:color w:val="163A5F"/>
          <w:sz w:val="30"/>
        </w:rPr>
        <w:t>7. 下一周工作</w:t>
      </w:r>
    </w:p>
    <w:p w14:paraId="7C767952">
      <w:pPr>
        <w:spacing w:before="0" w:after="0" w:line="307" w:lineRule="auto"/>
      </w:pPr>
      <w:r>
        <w:rPr>
          <w:rFonts w:ascii="Times New Roman" w:hAnsi="Times New Roman" w:eastAsia="宋体"/>
          <w:b w:val="0"/>
          <w:sz w:val="21"/>
        </w:rPr>
        <w:t>第四阶段对应原计划第7—8周，重点完成系统集成、Web展示与项目总结汇报。原第7周：先集成KPI预测和异常检测模块，统一数据输入与结果输出；再使用Streamlit开发交互式Web界面；最后完成系统测试与性能优化。本部分交付完整的系统代码、可运行的Web应用和系统使用手册。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>原第8周：汇总前期的数据预处理、传统</w:t>
      </w:r>
      <w:bookmarkStart w:id="0" w:name="_GoBack"/>
      <w:bookmarkEnd w:id="0"/>
      <w:r>
        <w:rPr>
          <w:rFonts w:ascii="Times New Roman" w:hAnsi="Times New Roman" w:eastAsia="宋体"/>
          <w:b w:val="0"/>
          <w:sz w:val="21"/>
        </w:rPr>
        <w:t>机器学习、深度学习和异常检测工作，撰写完整项目技术报告；制作项目演示PPT；整理代码、依赖说明及技术文档并归档至GitHub。本部分交付完整的项目技术报告、项目演示PPT，以及包含所有代码和文档的GitHub仓库。</w:t>
      </w:r>
    </w:p>
    <w:sectPr>
      <w:headerReference r:id="rId5" w:type="default"/>
      <w:footerReference r:id="rId6" w:type="default"/>
      <w:pgSz w:w="11906" w:h="16838"/>
      <w:pgMar w:top="1304" w:right="1332" w:bottom="1049" w:left="1332" w:header="737" w:footer="79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A22579">
    <w:pPr>
      <w:pStyle w:val="24"/>
      <w:jc w:val="center"/>
      <w:rPr>
        <w:rFonts w:hint="default" w:ascii="Times New Roman" w:hAnsi="Times New Roman" w:eastAsia="宋体" w:cs="Times New Roman"/>
      </w:rPr>
    </w:pPr>
    <w:r>
      <w:rPr>
        <w:rFonts w:hint="default" w:ascii="Times New Roman" w:hAnsi="Times New Roman" w:eastAsia="宋体" w:cs="Times New Roman"/>
        <w:color w:val="90979E"/>
        <w:sz w:val="15"/>
      </w:rPr>
      <w:t xml:space="preserve">第 </w:t>
    </w:r>
    <w:r>
      <w:rPr>
        <w:rFonts w:hint="default" w:ascii="Times New Roman" w:hAnsi="Times New Roman" w:eastAsia="宋体" w:cs="Times New Roman"/>
      </w:rPr>
      <w:fldChar w:fldCharType="begin"/>
    </w:r>
    <w:r>
      <w:rPr>
        <w:rFonts w:hint="default" w:ascii="Times New Roman" w:hAnsi="Times New Roman" w:eastAsia="宋体" w:cs="Times New Roman"/>
      </w:rPr>
      <w:instrText xml:space="preserve">PAGE</w:instrText>
    </w:r>
    <w:r>
      <w:rPr>
        <w:rFonts w:hint="default" w:ascii="Times New Roman" w:hAnsi="Times New Roman" w:eastAsia="宋体" w:cs="Times New Roman"/>
      </w:rPr>
      <w:fldChar w:fldCharType="separate"/>
    </w:r>
    <w:r>
      <w:rPr>
        <w:rFonts w:hint="default" w:ascii="Times New Roman" w:hAnsi="Times New Roman" w:eastAsia="宋体" w:cs="Times New Roman"/>
      </w:rPr>
      <w:fldChar w:fldCharType="end"/>
    </w:r>
    <w:r>
      <w:rPr>
        <w:rFonts w:hint="default" w:ascii="Times New Roman" w:hAnsi="Times New Roman" w:eastAsia="宋体" w:cs="Times New Roman"/>
        <w:color w:val="90979E"/>
        <w:sz w:val="15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96B5A6">
    <w:pPr>
      <w:pStyle w:val="25"/>
      <w:jc w:val="right"/>
      <w:rPr>
        <w:rFonts w:hint="default" w:ascii="Times New Roman" w:hAnsi="Times New Roman" w:eastAsia="宋体" w:cs="Times New Roman"/>
      </w:rPr>
    </w:pPr>
    <w:r>
      <w:rPr>
        <w:rFonts w:hint="default" w:ascii="Times New Roman" w:hAnsi="Times New Roman" w:eastAsia="宋体" w:cs="Times New Roman"/>
      </w:rPr>
      <w:t>Week3|第三周实验报告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0929"/>
    <w:rsid w:val="00AA1D8D"/>
    <w:rsid w:val="00B47730"/>
    <w:rsid w:val="00CB0664"/>
    <w:rsid w:val="00FC693F"/>
    <w:rsid w:val="06BA6E2B"/>
    <w:rsid w:val="0CB95777"/>
    <w:rsid w:val="13BE44BB"/>
    <w:rsid w:val="15252F8C"/>
    <w:rsid w:val="16E23A1B"/>
    <w:rsid w:val="190F7D00"/>
    <w:rsid w:val="1B5B0843"/>
    <w:rsid w:val="1BA23AE5"/>
    <w:rsid w:val="2CCE1A9C"/>
    <w:rsid w:val="35CE027A"/>
    <w:rsid w:val="35DC6627"/>
    <w:rsid w:val="38E242AF"/>
    <w:rsid w:val="3D29607D"/>
    <w:rsid w:val="3D9C58D4"/>
    <w:rsid w:val="493E205F"/>
    <w:rsid w:val="4BAC12C9"/>
    <w:rsid w:val="50356F62"/>
    <w:rsid w:val="50766D67"/>
    <w:rsid w:val="55F36621"/>
    <w:rsid w:val="581E27FC"/>
    <w:rsid w:val="58DA1098"/>
    <w:rsid w:val="60684FBE"/>
    <w:rsid w:val="61283F3B"/>
    <w:rsid w:val="6BE578C4"/>
    <w:rsid w:val="739B16FB"/>
    <w:rsid w:val="75184DC0"/>
    <w:rsid w:val="78EA477D"/>
    <w:rsid w:val="7BD922C2"/>
    <w:rsid w:val="7D525D45"/>
    <w:rsid w:val="7FD94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80" w:line="300" w:lineRule="auto"/>
    </w:pPr>
    <w:rPr>
      <w:rFonts w:ascii="Times New Roman" w:hAnsi="Times New Roman" w:eastAsia="宋体" w:cs="Times New Roman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b/>
      <w:bCs/>
      <w:color w:val="163A5F"/>
      <w:sz w:val="30"/>
      <w:szCs w:val="28"/>
      <w:lang w:eastAsia="zh-CN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bCs/>
      <w:color w:val="153D68"/>
      <w:sz w:val="21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140" w:after="60"/>
      <w:outlineLvl w:val="2"/>
    </w:pPr>
    <w:rPr>
      <w:rFonts w:asciiTheme="majorHAnsi" w:hAnsiTheme="majorHAnsi" w:eastAsiaTheme="majorEastAsia" w:cstheme="majorBidi"/>
      <w:b/>
      <w:bCs/>
      <w:color w:val="153D68"/>
      <w:sz w:val="20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after="160" w:line="240" w:lineRule="auto"/>
    </w:pPr>
    <w:rPr>
      <w:rFonts w:ascii="Noto Serif CJK SC" w:hAnsi="Noto Serif CJK SC" w:eastAsia="Noto Serif CJK SC"/>
      <w:bCs/>
      <w:color w:val="3F4C5A"/>
      <w:sz w:val="16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keepNext/>
      <w:pBdr>
        <w:bottom w:val="single" w:color="4F81BD" w:themeColor="accent1" w:sz="8" w:space="4"/>
      </w:pBdr>
      <w:spacing w:before="180" w:after="360" w:line="240" w:lineRule="auto"/>
      <w:contextualSpacing/>
    </w:pPr>
    <w:rPr>
      <w:rFonts w:asciiTheme="majorHAnsi" w:hAnsiTheme="majorHAnsi" w:eastAsiaTheme="majorEastAsia" w:cstheme="majorBidi"/>
      <w:b/>
      <w:color w:val="153D68"/>
      <w:spacing w:val="5"/>
      <w:kern w:val="28"/>
      <w:sz w:val="36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uiPriority w:val="99"/>
  </w:style>
  <w:style w:type="character" w:customStyle="1" w:styleId="138">
    <w:name w:val="Footer Char"/>
    <w:basedOn w:val="133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link w:val="3"/>
    <w:qFormat/>
    <w:uiPriority w:val="9"/>
    <w:rPr>
      <w:rFonts w:ascii="Times New Roman" w:hAnsi="Times New Roman" w:eastAsia="宋体" w:cs="Times New Roman"/>
      <w:b/>
      <w:bCs/>
      <w:color w:val="163A5F"/>
      <w:sz w:val="30"/>
      <w:szCs w:val="28"/>
      <w:lang w:val="en-US" w:eastAsia="zh-CN" w:bidi="ar-SA"/>
    </w:rPr>
  </w:style>
  <w:style w:type="character" w:customStyle="1" w:styleId="141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SmallText"/>
    <w:qFormat/>
    <w:uiPriority w:val="0"/>
    <w:pPr>
      <w:spacing w:after="200" w:line="276" w:lineRule="auto"/>
    </w:pPr>
    <w:rPr>
      <w:rFonts w:ascii="Noto Serif CJK SC" w:hAnsi="Noto Serif CJK SC" w:eastAsia="Noto Serif CJK SC" w:cstheme="minorBidi"/>
      <w:color w:val="4C5B6E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1576</Words>
  <Characters>2698</Characters>
  <Lines>0</Lines>
  <Paragraphs>0</Paragraphs>
  <TotalTime>6</TotalTime>
  <ScaleCrop>false</ScaleCrop>
  <LinksUpToDate>false</LinksUpToDate>
  <CharactersWithSpaces>2875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白鸟</dc:creator>
  <dc:description>generated by python-docx</dc:description>
  <cp:lastModifiedBy>白鸟</cp:lastModifiedBy>
  <dcterms:modified xsi:type="dcterms:W3CDTF">2026-10-18T14:10:23Z</dcterms:modified>
  <dc:subject>5G KPI预测与异常检测系统，第三阶段周实验报告</dc:subject>
  <dc:title>第三周实验报告｜深度学习 KPI 预测与网络异常检测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eyJoZGlkIjoiM2NkYThkNzk1NjRiY2FkMmQxYTI1NDIwYTAwZTc5NjYiLCJ1c2VySWQiOiIyODgyMzk1NzcifQ==</vt:lpwstr>
  </property>
  <property fmtid="{D5CDD505-2E9C-101B-9397-08002B2CF9AE}" pid="3" name="KSOProductBuildVer">
    <vt:lpwstr>2052-12.1.0.28599</vt:lpwstr>
  </property>
  <property fmtid="{D5CDD505-2E9C-101B-9397-08002B2CF9AE}" pid="4" name="ICV">
    <vt:lpwstr>05742E0EE6754355BA9EBB53984C9798_12</vt:lpwstr>
  </property>
</Properties>
</file>