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AE0E78">
      <w:pPr>
        <w:rPr>
          <w:rFonts w:hint="default" w:ascii="Times New Roman" w:hAnsi="Times New Roman" w:eastAsia="宋体" w:cs="Times New Roman"/>
          <w:i w:val="0"/>
          <w:iCs w:val="0"/>
        </w:rPr>
      </w:pPr>
    </w:p>
    <w:p w14:paraId="3013B444">
      <w:pPr>
        <w:rPr>
          <w:rFonts w:hint="default" w:ascii="Times New Roman" w:hAnsi="Times New Roman" w:eastAsia="宋体" w:cs="Times New Roman"/>
          <w:i w:val="0"/>
          <w:iCs w:val="0"/>
        </w:rPr>
      </w:pPr>
    </w:p>
    <w:p w14:paraId="3EFFFD6F">
      <w:pPr>
        <w:rPr>
          <w:rFonts w:hint="default" w:ascii="Times New Roman" w:hAnsi="Times New Roman" w:eastAsia="宋体" w:cs="Times New Roman"/>
          <w:i w:val="0"/>
          <w:iCs w:val="0"/>
        </w:rPr>
      </w:pPr>
    </w:p>
    <w:p w14:paraId="241A7287">
      <w:pPr>
        <w:pStyle w:val="164"/>
        <w:jc w:val="center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/>
          <w:i w:val="0"/>
          <w:iCs w:val="0"/>
          <w:color w:val="1C4877"/>
          <w:sz w:val="31"/>
        </w:rPr>
        <w:t>基于 AI 的 5G 网络关键性能指标预测与异常检测系统</w:t>
      </w:r>
    </w:p>
    <w:p w14:paraId="4E8DE0AE">
      <w:pPr>
        <w:rPr>
          <w:rFonts w:hint="default" w:ascii="Times New Roman" w:hAnsi="Times New Roman" w:eastAsia="宋体" w:cs="Times New Roman"/>
          <w:i w:val="0"/>
          <w:iCs w:val="0"/>
        </w:rPr>
      </w:pPr>
    </w:p>
    <w:p w14:paraId="02C28564">
      <w:pPr>
        <w:rPr>
          <w:rFonts w:hint="default" w:ascii="Times New Roman" w:hAnsi="Times New Roman" w:eastAsia="宋体" w:cs="Times New Roman"/>
          <w:i w:val="0"/>
          <w:iCs w:val="0"/>
        </w:rPr>
      </w:pPr>
    </w:p>
    <w:p w14:paraId="24F91217">
      <w:pPr>
        <w:pStyle w:val="165"/>
        <w:jc w:val="center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/>
          <w:i w:val="0"/>
          <w:iCs w:val="0"/>
          <w:color w:val="222222"/>
          <w:sz w:val="46"/>
        </w:rPr>
        <w:t>完整项目技术报告</w:t>
      </w:r>
    </w:p>
    <w:p w14:paraId="6DEEB3B2">
      <w:pPr>
        <w:pStyle w:val="26"/>
        <w:jc w:val="center"/>
        <w:rPr>
          <w:rFonts w:hint="default" w:ascii="Times New Roman" w:hAnsi="Times New Roman" w:eastAsia="宋体" w:cs="Times New Roman"/>
          <w:i w:val="0"/>
          <w:iCs w:val="0"/>
          <w:color w:val="626E78"/>
          <w:sz w:val="24"/>
        </w:rPr>
      </w:pPr>
    </w:p>
    <w:p w14:paraId="7CF91718">
      <w:pPr>
        <w:pStyle w:val="26"/>
        <w:jc w:val="center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i w:val="0"/>
          <w:iCs w:val="0"/>
          <w:color w:val="626E78"/>
          <w:sz w:val="24"/>
        </w:rPr>
        <w:t>5G SA 仿真 · KPI 时序预测 · 异常检测与初步根因分析</w:t>
      </w:r>
    </w:p>
    <w:p w14:paraId="2E9B2864">
      <w:pPr>
        <w:rPr>
          <w:rFonts w:hint="default" w:ascii="Times New Roman" w:hAnsi="Times New Roman" w:eastAsia="宋体" w:cs="Times New Roman"/>
          <w:i w:val="0"/>
          <w:iCs w:val="0"/>
        </w:rPr>
      </w:pPr>
    </w:p>
    <w:p w14:paraId="234FC9C8">
      <w:pPr>
        <w:ind w:left="0" w:leftChars="0" w:firstLine="0" w:firstLineChars="0"/>
        <w:rPr>
          <w:rFonts w:hint="default" w:ascii="Times New Roman" w:hAnsi="Times New Roman" w:eastAsia="宋体" w:cs="Times New Roman"/>
          <w:i w:val="0"/>
          <w:iCs w:val="0"/>
        </w:rPr>
      </w:pPr>
    </w:p>
    <w:p w14:paraId="7D0B5F10">
      <w:pPr>
        <w:rPr>
          <w:rFonts w:hint="default" w:ascii="Times New Roman" w:hAnsi="Times New Roman" w:eastAsia="宋体" w:cs="Times New Roman"/>
          <w:i w:val="0"/>
          <w:iCs w:val="0"/>
        </w:rPr>
      </w:pPr>
    </w:p>
    <w:p w14:paraId="567F2A1E">
      <w:pPr>
        <w:rPr>
          <w:rFonts w:hint="default" w:ascii="Times New Roman" w:hAnsi="Times New Roman" w:eastAsia="宋体" w:cs="Times New Roman"/>
          <w:i w:val="0"/>
          <w:iCs w:val="0"/>
        </w:rPr>
      </w:pPr>
    </w:p>
    <w:p w14:paraId="14666389">
      <w:pPr>
        <w:pStyle w:val="26"/>
        <w:jc w:val="center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i w:val="0"/>
          <w:iCs w:val="0"/>
          <w:color w:val="626E78"/>
          <w:sz w:val="20"/>
        </w:rPr>
        <w:t>实验平台：free5GC v4.2.3 / UERANSIM v3.3.0 / Ubuntu 22.04</w:t>
      </w:r>
    </w:p>
    <w:p w14:paraId="27726FC4">
      <w:pPr>
        <w:pStyle w:val="26"/>
        <w:jc w:val="center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i w:val="0"/>
          <w:iCs w:val="0"/>
          <w:color w:val="626E78"/>
          <w:sz w:val="20"/>
        </w:rPr>
        <w:t>数据基础：gotsf-ds / 2,880 beam / 4 类 KPI</w:t>
      </w:r>
    </w:p>
    <w:p w14:paraId="11BF9DC0">
      <w:pPr>
        <w:pStyle w:val="26"/>
        <w:jc w:val="center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i w:val="0"/>
          <w:iCs w:val="0"/>
          <w:color w:val="626E78"/>
          <w:sz w:val="20"/>
        </w:rPr>
        <w:t>技术方法：传统 ML / LSTM / GRU / Transformer / Isolation Forest</w:t>
      </w:r>
    </w:p>
    <w:p w14:paraId="31D3852D">
      <w:pPr>
        <w:pStyle w:val="3"/>
        <w:pageBreakBefore/>
        <w:ind w:firstLine="0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i w:val="0"/>
          <w:iCs w:val="0"/>
        </w:rPr>
        <w:t>摘要</w:t>
      </w:r>
    </w:p>
    <w:p w14:paraId="5D783B2F">
      <w:pPr>
        <w:spacing w:line="240" w:lineRule="auto"/>
        <w:jc w:val="both"/>
        <w:rPr>
          <w:rFonts w:hint="default" w:ascii="Times New Roman" w:hAnsi="Times New Roman" w:eastAsia="宋体" w:cs="Times New Roman"/>
          <w:b w:val="0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</w:rPr>
        <w:t xml:space="preserve">本项目面向 5G 网络运维中性能指标波动预测及疑似异常事件筛查需求，构建由 5G SA </w:t>
      </w:r>
      <w:r>
        <w:rPr>
          <w:rFonts w:hint="default" w:ascii="Times New Roman" w:hAnsi="Times New Roman" w:eastAsia="宋体" w:cs="Times New Roman"/>
          <w:b w:val="0"/>
          <w:i w:val="0"/>
          <w:iCs w:val="0"/>
          <w:lang w:val="en-US" w:eastAsia="zh-CN"/>
        </w:rPr>
        <w:t>网络仿真</w:t>
      </w:r>
      <w:r>
        <w:rPr>
          <w:rFonts w:hint="default" w:ascii="Times New Roman" w:hAnsi="Times New Roman" w:eastAsia="宋体" w:cs="Times New Roman"/>
          <w:b w:val="0"/>
          <w:i w:val="0"/>
          <w:iCs w:val="0"/>
        </w:rPr>
        <w:t>、协议验证、开放数据处理、KPI 时序预测、无监督异常检测和根因排查假设组成的分阶段技术方案。实验采用 free5GC 与 UERANSIM 搭建双虚拟机 5G SA 测试环境，借助 tcpdump 和 Wireshark 核实 UE 注册、PDU Session 资源配置及 N3 用户面 GTP-U 转发。</w:t>
      </w:r>
    </w:p>
    <w:p w14:paraId="7B6C9471">
      <w:pPr>
        <w:spacing w:line="240" w:lineRule="auto"/>
        <w:jc w:val="both"/>
        <w:rPr>
          <w:rFonts w:hint="default" w:ascii="Times New Roman" w:hAnsi="Times New Roman" w:eastAsia="宋体" w:cs="Times New Roman"/>
          <w:b w:val="0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</w:rPr>
        <w:t>KPI 建模使用 gotsf-ds 数据集中的 DLPRB、DLThpVol、DLThpTime、MR_number 四类 beam 级时间序列，共覆盖 2,880 个 beam 和 840 个小时索引。传统机器学习比较了 Persistence、线性回归、决策树、随机森林、XGBoost 和 LightGBM；深度学习比较了 LSTM、GRU 和轻量 Transformer。根据已报告的 483,840 条留出测试观测，GRU 在四类 KPI 上取得最低 MAE，分别为 0.2456、0.2046、0.2298 和 0.2097；但 DLThpVol 的 RMSE 仍由随机森林领先。</w:t>
      </w:r>
    </w:p>
    <w:p w14:paraId="44414520">
      <w:pPr>
        <w:spacing w:line="240" w:lineRule="auto"/>
        <w:jc w:val="both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异常检测使用逐 beam 的 3σ、IQR、Isolation Forest 和抽样 One-Class SVM，并采用“IF AND（3σ OR IQR）”筛选高优先级候选：483,840 条留出测试观测中得到 3,165 条（0.654%）。针对导师提出的异常率差异、共识逻辑与相关性显著性问题，进一步完成分布形态统计、10 类逻辑组合对照，以及基于 30 个基站聚类的相关性检验。系统已通过 Streamlit 整合六个页面，支持模型训练、版本归档、实际预测与异常检测及 CSV 导出；Web 功能验收与正式模型实验分别记录。[R11,R14–R18]</w:t>
      </w:r>
    </w:p>
    <w:p w14:paraId="69AC2FFC">
      <w:pPr>
        <w:pStyle w:val="3"/>
        <w:ind w:firstLine="0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i w:val="0"/>
          <w:iCs w:val="0"/>
        </w:rPr>
        <w:t>1 项目背景与总体要求</w:t>
      </w:r>
    </w:p>
    <w:p w14:paraId="7671A880">
      <w:pPr>
        <w:pStyle w:val="4"/>
        <w:ind w:firstLine="0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i w:val="0"/>
          <w:iCs w:val="0"/>
        </w:rPr>
        <w:t>1.1 项目背景与技术目标</w:t>
      </w:r>
    </w:p>
    <w:p w14:paraId="44DE78A1">
      <w:pPr>
        <w:jc w:val="both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i w:val="0"/>
          <w:iCs w:val="0"/>
        </w:rPr>
        <w:t>随着网络规模、并发业务量和无线资源负载变化增加，仅依赖人工检查历史 KPI 及收到告警后定位问题，难以实现高频率、可扩展的趋势监测。项目要求围绕真实/公开数据与开源 5G 仿真环境，建立从协议理解到 KPI 建模，再到异常筛查和 Web 展示的完整开发链条。[R1]</w:t>
      </w:r>
    </w:p>
    <w:p w14:paraId="0E5B7868">
      <w:pPr>
        <w:jc w:val="both"/>
        <w:rPr>
          <w:rFonts w:hint="default" w:ascii="Times New Roman" w:hAnsi="Times New Roman" w:eastAsia="宋体" w:cs="Times New Roman"/>
          <w:b w:val="0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</w:rPr>
        <w:t>本项目采用两条数据与证据链：其一为 free5GC + UERANSIM 的仿真网络链路，用于验证 5G 控制面和用户面流程；其二为公开 beam 级 KPI 时间序列，用于离线模型训练、留出期评估及异常候选筛查。</w:t>
      </w:r>
    </w:p>
    <w:p w14:paraId="57950548">
      <w:pPr>
        <w:pStyle w:val="4"/>
        <w:ind w:firstLine="0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i w:val="0"/>
          <w:iCs w:val="0"/>
        </w:rPr>
        <w:t>1.</w:t>
      </w:r>
      <w:r>
        <w:rPr>
          <w:rFonts w:hint="default" w:ascii="Times New Roman" w:hAnsi="Times New Roman" w:eastAsia="宋体" w:cs="Times New Roman"/>
          <w:i w:val="0"/>
          <w:iCs w:val="0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i w:val="0"/>
          <w:iCs w:val="0"/>
        </w:rPr>
        <w:t xml:space="preserve"> 关键定义与评价边界</w:t>
      </w:r>
    </w:p>
    <w:p w14:paraId="13BE0852">
      <w:pPr>
        <w:jc w:val="both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i w:val="0"/>
          <w:iCs w:val="0"/>
        </w:rPr>
        <w:t>KPI 指关键性能指标（Key Performance Indicator）；beam-hour 指一个 beam 在一个时间索引下的一条观测；t+1 指下一小时预测目标。本文“异常”仅指偏离既有统计分布或无监督模型边界的候选点，未与网络故障工单匹配。MAE、RMSE 和 R² 均针对原始 KPI 数值尺度的逐 beam-hour 留出期观测计算，不以跨 beam 平均曲线替代实际评分。</w:t>
      </w:r>
    </w:p>
    <w:p w14:paraId="3DA762F4">
      <w:pPr>
        <w:pStyle w:val="3"/>
        <w:ind w:firstLine="0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i w:val="0"/>
          <w:iCs w:val="0"/>
        </w:rPr>
        <w:t>2 实验平台与 5G SA 通信链路</w:t>
      </w:r>
    </w:p>
    <w:p w14:paraId="3DD64405">
      <w:pPr>
        <w:pStyle w:val="4"/>
        <w:ind w:firstLine="0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i w:val="0"/>
          <w:iCs w:val="0"/>
        </w:rPr>
        <w:t>2.1 开发与仿真环境分离</w:t>
      </w:r>
    </w:p>
    <w:p w14:paraId="039990FA">
      <w:pPr>
        <w:jc w:val="both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i w:val="0"/>
          <w:iCs w:val="0"/>
        </w:rPr>
        <w:t>初期在 Windows 下部署 WSL2 Ubuntu 22.04，配置 Python、Git、Docker 与常用网络工具。部署过程中发现 WSL2 使用 Microsoft 定制 Linux 内核且缺少当前内核对应的标准构建目录，无法直接满足 free5GC 用户面 gtp5g 内核模块的既定实验条件。项目因此保留 WSL2 作为数据处理和 AI 开发环境，另以 VirtualBox Ubuntu 22.04 运行核心网及 gNB/UE 仿真。[R2,R3]</w:t>
      </w:r>
    </w:p>
    <w:p w14:paraId="266A4782">
      <w:pPr>
        <w:pStyle w:val="166"/>
        <w:keepNext/>
        <w:ind w:firstLine="0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i w:val="0"/>
          <w:iCs w:val="0"/>
        </w:rPr>
        <w:t xml:space="preserve">表 </w:t>
      </w:r>
      <w:r>
        <w:rPr>
          <w:rFonts w:hint="default" w:ascii="Times New Roman" w:hAnsi="Times New Roman" w:eastAsia="宋体" w:cs="Times New Roman"/>
          <w:i w:val="0"/>
          <w:iCs w:val="0"/>
          <w:lang w:val="en-US" w:eastAsia="zh-CN"/>
        </w:rPr>
        <w:t>1</w:t>
      </w:r>
      <w:r>
        <w:rPr>
          <w:rFonts w:hint="default" w:ascii="Times New Roman" w:hAnsi="Times New Roman" w:eastAsia="宋体" w:cs="Times New Roman"/>
          <w:i w:val="0"/>
          <w:iCs w:val="0"/>
        </w:rPr>
        <w:t xml:space="preserve"> 实验环境与地址参数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8"/>
        <w:gridCol w:w="6860"/>
      </w:tblGrid>
      <w:tr w14:paraId="3B07B0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438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3E27C626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组成</w:t>
            </w:r>
          </w:p>
        </w:tc>
        <w:tc>
          <w:tcPr>
            <w:tcW w:w="686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7D860F96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配置与用途</w:t>
            </w:r>
          </w:p>
        </w:tc>
      </w:tr>
      <w:tr w14:paraId="615164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38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3C636BBB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WSL2 开发侧</w:t>
            </w:r>
          </w:p>
        </w:tc>
        <w:tc>
          <w:tcPr>
            <w:tcW w:w="686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6A213408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Ubuntu 22.04；Python / Pandas / scikit-learn / PyTorch 等</w:t>
            </w:r>
          </w:p>
        </w:tc>
      </w:tr>
      <w:tr w14:paraId="746640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661D8413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free5GC 虚拟机</w:t>
            </w:r>
          </w:p>
        </w:tc>
        <w:tc>
          <w:tcPr>
            <w:tcW w:w="68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2205EF51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Ubuntu 22.04；192.168.56.101；AMF、SMF、UPF、MongoDB、gtp5g</w:t>
            </w:r>
          </w:p>
        </w:tc>
      </w:tr>
      <w:tr w14:paraId="1CED1E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7ADE8995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UERANSIM 虚拟机</w:t>
            </w:r>
          </w:p>
        </w:tc>
        <w:tc>
          <w:tcPr>
            <w:tcW w:w="68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452E698C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Ubuntu 22.04；192.168.56.102；nr-gnb / nr-ue</w:t>
            </w:r>
          </w:p>
        </w:tc>
      </w:tr>
      <w:tr w14:paraId="5914A1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7541BE88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VM 网络</w:t>
            </w:r>
          </w:p>
        </w:tc>
        <w:tc>
          <w:tcPr>
            <w:tcW w:w="68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1A282B7E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网卡 1 NAT 出网；网卡 2 Host-Only 承载实验 N2/N3</w:t>
            </w:r>
          </w:p>
        </w:tc>
      </w:tr>
      <w:tr w14:paraId="1C0481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2AF0DF16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UE 用户面</w:t>
            </w:r>
          </w:p>
        </w:tc>
        <w:tc>
          <w:tcPr>
            <w:tcW w:w="68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4F1DF089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PDU Session 建立后 uesimtun0=10.60.0.1</w:t>
            </w:r>
          </w:p>
        </w:tc>
      </w:tr>
      <w:tr w14:paraId="188FE5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3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62725555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抓包分析</w:t>
            </w:r>
          </w:p>
        </w:tc>
        <w:tc>
          <w:tcPr>
            <w:tcW w:w="686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51127F05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tcpdump on enp0s8；Wireshark 3.6.2 离线分析</w:t>
            </w:r>
          </w:p>
        </w:tc>
      </w:tr>
    </w:tbl>
    <w:p w14:paraId="2826AD55">
      <w:pPr>
        <w:spacing w:after="20"/>
        <w:rPr>
          <w:rFonts w:hint="default" w:ascii="Times New Roman" w:hAnsi="Times New Roman" w:eastAsia="宋体" w:cs="Times New Roman"/>
          <w:i w:val="0"/>
          <w:iCs w:val="0"/>
        </w:rPr>
      </w:pPr>
    </w:p>
    <w:p w14:paraId="1A50C647">
      <w:pPr>
        <w:pStyle w:val="4"/>
        <w:ind w:firstLine="0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i w:val="0"/>
          <w:iCs w:val="0"/>
        </w:rPr>
        <w:t>2.2 5G 核心网功能与协议关系</w:t>
      </w:r>
    </w:p>
    <w:p w14:paraId="69358866">
      <w:pPr>
        <w:jc w:val="both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i w:val="0"/>
          <w:iCs w:val="0"/>
        </w:rPr>
        <w:t>5G SA 场景中，UE 经 gNodeB 接入 5GC。AMF 执行接入与移动性控制，SMF 管理 PDU Session，UPF 转发用户数据；N1 是 UE 与 AMF 的逻辑控制接口，N2 承载 gNB 与 AMF 间 NGAP 控制信令，N3 则采用 GTP-U 承载 gNB 与 UPF 间的实际用户面数据。[R4,R6]</w:t>
      </w:r>
    </w:p>
    <w:p w14:paraId="0882693F">
      <w:pPr>
        <w:pStyle w:val="4"/>
        <w:ind w:firstLine="0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i w:val="0"/>
          <w:iCs w:val="0"/>
        </w:rPr>
        <w:t>2.3 端到端链路及实际报文证据</w:t>
      </w:r>
    </w:p>
    <w:p w14:paraId="50D31BDF">
      <w:pPr>
        <w:jc w:val="both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i w:val="0"/>
          <w:iCs w:val="0"/>
        </w:rPr>
        <w:t>在 WebConsole 中完成与 UE 配置一致的 Subscriber 参数，随后依次启动 5GC、gNB 与 UE。UE 生成 uesimtun0 并获得 10.60.0.1，实际以该接口向外部目标发起 ping，可收到 ICMP Echo Reply，时延约 10–12 ms。该结果表明测试场景下 UE→gNB→UPF→NAT→外网 的基本用户面链路成立。[R2,R3]</w:t>
      </w:r>
    </w:p>
    <w:p w14:paraId="7E3C8D3C">
      <w:pPr>
        <w:pStyle w:val="166"/>
        <w:keepNext/>
        <w:ind w:firstLine="0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i w:val="0"/>
          <w:iCs w:val="0"/>
        </w:rPr>
        <w:t>表</w:t>
      </w:r>
      <w:r>
        <w:rPr>
          <w:rFonts w:hint="default" w:ascii="Times New Roman" w:hAnsi="Times New Roman" w:eastAsia="宋体" w:cs="Times New Roman"/>
          <w:i w:val="0"/>
          <w:iCs w:val="0"/>
          <w:lang w:val="en-US" w:eastAsia="zh-CN"/>
        </w:rPr>
        <w:t xml:space="preserve">2 </w:t>
      </w:r>
      <w:r>
        <w:rPr>
          <w:rFonts w:hint="default" w:ascii="Times New Roman" w:hAnsi="Times New Roman" w:eastAsia="宋体" w:cs="Times New Roman"/>
          <w:i w:val="0"/>
          <w:iCs w:val="0"/>
        </w:rPr>
        <w:t xml:space="preserve"> 实际 PCAP 中的关键信令和用户面报文 [R4,R5]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3798"/>
        <w:gridCol w:w="4365"/>
      </w:tblGrid>
      <w:tr w14:paraId="3100FB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134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6AD71DA1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Frame</w:t>
            </w:r>
          </w:p>
        </w:tc>
        <w:tc>
          <w:tcPr>
            <w:tcW w:w="3798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6BE18CC6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协议或消息</w:t>
            </w:r>
          </w:p>
        </w:tc>
        <w:tc>
          <w:tcPr>
            <w:tcW w:w="4365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4A4FAE06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对应结论</w:t>
            </w:r>
          </w:p>
        </w:tc>
      </w:tr>
      <w:tr w14:paraId="6F7509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33F04FD5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560–563</w:t>
            </w:r>
          </w:p>
        </w:tc>
        <w:tc>
          <w:tcPr>
            <w:tcW w:w="3798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02A01772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SCTP INIT / INIT_ACK / COOKIE 交互</w:t>
            </w:r>
          </w:p>
        </w:tc>
        <w:tc>
          <w:tcPr>
            <w:tcW w:w="4365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473E5B77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N2 传输关联建立</w:t>
            </w:r>
          </w:p>
        </w:tc>
      </w:tr>
      <w:tr w14:paraId="789097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091DBD45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564 / 566</w:t>
            </w:r>
          </w:p>
        </w:tc>
        <w:tc>
          <w:tcPr>
            <w:tcW w:w="37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229CCC3C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NGSetupRequest / Response</w:t>
            </w:r>
          </w:p>
        </w:tc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1AC09569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NG 接口初始化成功</w:t>
            </w:r>
          </w:p>
        </w:tc>
      </w:tr>
      <w:tr w14:paraId="6E9CBA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23D81B86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604</w:t>
            </w:r>
          </w:p>
        </w:tc>
        <w:tc>
          <w:tcPr>
            <w:tcW w:w="37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1DF05BCB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InitialUEMessage / 明文 NAS 注册请求</w:t>
            </w:r>
          </w:p>
        </w:tc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33595C89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UE 发起注册</w:t>
            </w:r>
          </w:p>
        </w:tc>
      </w:tr>
      <w:tr w14:paraId="335D2D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7CF9CF1E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605 / 606</w:t>
            </w:r>
          </w:p>
        </w:tc>
        <w:tc>
          <w:tcPr>
            <w:tcW w:w="37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586E46CA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Authentication Request / Response</w:t>
            </w:r>
          </w:p>
        </w:tc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42973D63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5G AKA 认证交互可见</w:t>
            </w:r>
          </w:p>
        </w:tc>
      </w:tr>
      <w:tr w14:paraId="5CE95B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48DF13D4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607 / 608</w:t>
            </w:r>
          </w:p>
        </w:tc>
        <w:tc>
          <w:tcPr>
            <w:tcW w:w="37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5B4E9CC5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Security Mode Command / 受保护 NAS</w:t>
            </w:r>
          </w:p>
        </w:tc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1EDFD216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后续 NAS 完整性保护及加密生效</w:t>
            </w:r>
          </w:p>
        </w:tc>
      </w:tr>
      <w:tr w14:paraId="372B4D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2383AAD5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610 / 611</w:t>
            </w:r>
          </w:p>
        </w:tc>
        <w:tc>
          <w:tcPr>
            <w:tcW w:w="37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42E980DD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Initial Context Setup / Response</w:t>
            </w:r>
          </w:p>
        </w:tc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49C7A17F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UE 接入侧上下文建立</w:t>
            </w:r>
          </w:p>
        </w:tc>
      </w:tr>
      <w:tr w14:paraId="42F398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1977AD80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617 / 618</w:t>
            </w:r>
          </w:p>
        </w:tc>
        <w:tc>
          <w:tcPr>
            <w:tcW w:w="37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270A5F76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PDU Session Resource Setup / Response</w:t>
            </w:r>
          </w:p>
        </w:tc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5985285B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N3 隧道端点参数协商</w:t>
            </w:r>
          </w:p>
        </w:tc>
      </w:tr>
      <w:tr w14:paraId="223462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5C9D412B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646 / 647</w:t>
            </w:r>
          </w:p>
        </w:tc>
        <w:tc>
          <w:tcPr>
            <w:tcW w:w="379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6AA27B38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GTP-U T-PDU 承载 ICMP Request / Reply</w:t>
            </w:r>
          </w:p>
        </w:tc>
        <w:tc>
          <w:tcPr>
            <w:tcW w:w="4365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7829A412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用户面双向传输</w:t>
            </w:r>
          </w:p>
        </w:tc>
      </w:tr>
    </w:tbl>
    <w:p w14:paraId="49DD5E26">
      <w:pPr>
        <w:spacing w:after="20"/>
        <w:rPr>
          <w:rFonts w:hint="default" w:ascii="Times New Roman" w:hAnsi="Times New Roman" w:eastAsia="宋体" w:cs="Times New Roman"/>
          <w:i w:val="0"/>
          <w:iCs w:val="0"/>
        </w:rPr>
      </w:pPr>
    </w:p>
    <w:p w14:paraId="2059AACD">
      <w:pPr>
        <w:jc w:val="both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i w:val="0"/>
          <w:iCs w:val="0"/>
        </w:rPr>
        <w:t>Frame 617 中，UPF 侧 N3 Transport Layer Address=192.168.56.101，UL GTP-TEID=0x00000002；Frame 618 返回 gNB 侧地址 192.168.56.102 和 GTP-TEID=0x00000001。Frame 646 的外层地址为 192.168.56.102→192.168.56.101，UDP/2152，GTP-U TEID=0x00000002，内层 IP 流为 10.60.0.1→8.8.8.8；该 TEID 与控制面配置一致，构成了控制与数据路径的一致性证据。[R4,R5]</w:t>
      </w:r>
    </w:p>
    <w:p w14:paraId="7129BD90">
      <w:pPr>
        <w:spacing w:after="20"/>
        <w:ind w:firstLine="0"/>
        <w:jc w:val="center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i w:val="0"/>
          <w:iCs w:val="0"/>
        </w:rPr>
        <w:drawing>
          <wp:inline distT="0" distB="0" distL="114300" distR="114300">
            <wp:extent cx="4572000" cy="485838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858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A1C6D">
      <w:pPr>
        <w:pStyle w:val="167"/>
        <w:keepNext w:val="0"/>
        <w:jc w:val="center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i w:val="0"/>
          <w:iCs w:val="0"/>
        </w:rPr>
        <w:t xml:space="preserve">图 </w:t>
      </w:r>
      <w:r>
        <w:rPr>
          <w:rFonts w:hint="default" w:ascii="Times New Roman" w:hAnsi="Times New Roman" w:eastAsia="宋体" w:cs="Times New Roman"/>
          <w:i w:val="0"/>
          <w:iCs w:val="0"/>
          <w:lang w:val="en-US" w:eastAsia="zh-CN"/>
        </w:rPr>
        <w:t>1</w:t>
      </w:r>
      <w:r>
        <w:rPr>
          <w:rFonts w:hint="default" w:ascii="Times New Roman" w:hAnsi="Times New Roman" w:eastAsia="宋体" w:cs="Times New Roman"/>
          <w:i w:val="0"/>
          <w:iCs w:val="0"/>
        </w:rPr>
        <w:t xml:space="preserve"> Frame 646：GTP-U 解封装后的 N3 外层地址、TEID 与内部 ICMP（截图来源：[R4]，第 11 页）</w:t>
      </w:r>
    </w:p>
    <w:p w14:paraId="78C4E78F">
      <w:pPr>
        <w:pStyle w:val="168"/>
        <w:ind w:firstLine="0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i w:val="0"/>
          <w:iCs w:val="0"/>
        </w:rPr>
        <w:t>协议解读限制：Frame 608 等处已启用安全保护的 NAS 载荷不能依据未解密抓包指定其内部明文消息类型；报告沿用原协议分析中的证据边界。</w:t>
      </w:r>
    </w:p>
    <w:p w14:paraId="5D528A1A">
      <w:pPr>
        <w:pStyle w:val="3"/>
        <w:ind w:firstLine="0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i w:val="0"/>
          <w:iCs w:val="0"/>
        </w:rPr>
        <w:t>3 KPI 数据集与时序预处理</w:t>
      </w:r>
    </w:p>
    <w:p w14:paraId="6885DAA7">
      <w:pPr>
        <w:pStyle w:val="4"/>
        <w:ind w:firstLine="0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i w:val="0"/>
          <w:iCs w:val="0"/>
        </w:rPr>
        <w:t>3.1 数据来源与目标</w:t>
      </w:r>
    </w:p>
    <w:p w14:paraId="7B35C74D">
      <w:pPr>
        <w:jc w:val="both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i w:val="0"/>
          <w:iCs w:val="0"/>
        </w:rPr>
        <w:t>预测与异常模块采用公开 gotsf-ds 数据集。</w:t>
      </w:r>
      <w:r>
        <w:rPr>
          <w:rFonts w:hint="default" w:ascii="Times New Roman" w:hAnsi="Times New Roman" w:eastAsia="宋体" w:cs="Times New Roman"/>
          <w:i w:val="0"/>
          <w:iCs w:val="0"/>
          <w:lang w:val="en-US" w:eastAsia="zh-CN"/>
        </w:rPr>
        <w:t>使用数据集</w:t>
      </w:r>
      <w:r>
        <w:rPr>
          <w:rFonts w:hint="default" w:ascii="Times New Roman" w:hAnsi="Times New Roman" w:eastAsia="宋体" w:cs="Times New Roman"/>
          <w:i w:val="0"/>
          <w:iCs w:val="0"/>
        </w:rPr>
        <w:t>中的 DLPRB、DLThpVol、DLThpTime、MR_number 四类 beam 级数据，整理成长表 kpi_timeseries.csv，规模为 2,419,200 行×17 列。索引 0–839 每个按 1 小时处理，覆盖 30 个基站、90 个 cell、2,880 个 beam，各 beam 均有 840 个索引记录。[R8,R9]</w:t>
      </w:r>
    </w:p>
    <w:p w14:paraId="2D319311">
      <w:pPr>
        <w:pStyle w:val="166"/>
        <w:keepNext/>
        <w:ind w:firstLine="0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i w:val="0"/>
          <w:iCs w:val="0"/>
        </w:rPr>
        <w:t xml:space="preserve">表 </w:t>
      </w:r>
      <w:r>
        <w:rPr>
          <w:rFonts w:hint="default" w:ascii="Times New Roman" w:hAnsi="Times New Roman" w:eastAsia="宋体" w:cs="Times New Roman"/>
          <w:i w:val="0"/>
          <w:iCs w:val="0"/>
          <w:lang w:val="en-US" w:eastAsia="zh-CN"/>
        </w:rPr>
        <w:t>3</w:t>
      </w:r>
      <w:r>
        <w:rPr>
          <w:rFonts w:hint="default" w:ascii="Times New Roman" w:hAnsi="Times New Roman" w:eastAsia="宋体" w:cs="Times New Roman"/>
          <w:i w:val="0"/>
          <w:iCs w:val="0"/>
        </w:rPr>
        <w:t xml:space="preserve"> KPI 数据与空间时间维度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1"/>
        <w:gridCol w:w="3345"/>
        <w:gridCol w:w="3402"/>
      </w:tblGrid>
      <w:tr w14:paraId="38074A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55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0719DA8F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字段或对象</w:t>
            </w:r>
          </w:p>
        </w:tc>
        <w:tc>
          <w:tcPr>
            <w:tcW w:w="3345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615833D5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含义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zh-CN"/>
              </w:rPr>
              <w:t>/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规模</w:t>
            </w:r>
          </w:p>
        </w:tc>
        <w:tc>
          <w:tcPr>
            <w:tcW w:w="3402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6B0ECDFA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作用</w:t>
            </w:r>
          </w:p>
        </w:tc>
      </w:tr>
      <w:tr w14:paraId="63833C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5D9E601F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Time</w:t>
            </w:r>
          </w:p>
        </w:tc>
        <w:tc>
          <w:tcPr>
            <w:tcW w:w="3345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3B89AD43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0–839；每索引 1 小时</w:t>
            </w:r>
          </w:p>
        </w:tc>
        <w:tc>
          <w:tcPr>
            <w:tcW w:w="3402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2E90129E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时间切分及滞后关系</w:t>
            </w:r>
          </w:p>
        </w:tc>
      </w:tr>
      <w:tr w14:paraId="318F9E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164B7C15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base_station / cell / beam</w:t>
            </w:r>
          </w:p>
        </w:tc>
        <w:tc>
          <w:tcPr>
            <w:tcW w:w="33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495F1F42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30 站、90 cell、2,880 beam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6DF09B94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定义独立时序单元</w:t>
            </w:r>
          </w:p>
        </w:tc>
      </w:tr>
      <w:tr w14:paraId="403992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3B5CE126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DLPRB</w:t>
            </w:r>
          </w:p>
        </w:tc>
        <w:tc>
          <w:tcPr>
            <w:tcW w:w="33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303D1F81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下行 PRB 相关 KPI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6BBB5A8D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资源使用表征</w:t>
            </w:r>
          </w:p>
        </w:tc>
      </w:tr>
      <w:tr w14:paraId="351A94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2523326E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DLThpVol</w:t>
            </w:r>
          </w:p>
        </w:tc>
        <w:tc>
          <w:tcPr>
            <w:tcW w:w="33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70012712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下行吞吐数据量相关 KPI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2EED0ED0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流量强度表征</w:t>
            </w:r>
          </w:p>
        </w:tc>
      </w:tr>
      <w:tr w14:paraId="04D8B2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37A3E9D6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DLThpTime</w:t>
            </w:r>
          </w:p>
        </w:tc>
        <w:tc>
          <w:tcPr>
            <w:tcW w:w="33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5182F54A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下行吞吐持续时间相关 KPI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1F780207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业务时长表征</w:t>
            </w:r>
          </w:p>
        </w:tc>
      </w:tr>
      <w:tr w14:paraId="209A41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0331C93F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MR_number</w:t>
            </w:r>
          </w:p>
        </w:tc>
        <w:tc>
          <w:tcPr>
            <w:tcW w:w="33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595361A6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测量报告数量相关 KPI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26178D14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测量活动表征</w:t>
            </w:r>
          </w:p>
        </w:tc>
      </w:tr>
      <w:tr w14:paraId="31AB85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5FD264F5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长表规模</w:t>
            </w:r>
          </w:p>
        </w:tc>
        <w:tc>
          <w:tcPr>
            <w:tcW w:w="3345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36C0BE11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2,419,200×17</w:t>
            </w:r>
          </w:p>
        </w:tc>
        <w:tc>
          <w:tcPr>
            <w:tcW w:w="3402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4C76E15B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建模的整理后数据</w:t>
            </w:r>
          </w:p>
        </w:tc>
      </w:tr>
    </w:tbl>
    <w:p w14:paraId="2713D747">
      <w:pPr>
        <w:spacing w:after="20"/>
        <w:rPr>
          <w:rFonts w:hint="default" w:ascii="Times New Roman" w:hAnsi="Times New Roman" w:eastAsia="宋体" w:cs="Times New Roman"/>
          <w:i w:val="0"/>
          <w:iCs w:val="0"/>
        </w:rPr>
      </w:pPr>
    </w:p>
    <w:p w14:paraId="142B142A">
      <w:pPr>
        <w:pStyle w:val="4"/>
        <w:ind w:firstLine="0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i w:val="0"/>
          <w:iCs w:val="0"/>
        </w:rPr>
        <w:t>3.2 时序数据构建与数据泄漏控制</w:t>
      </w:r>
    </w:p>
    <w:p w14:paraId="4F240752">
      <w:pPr>
        <w:jc w:val="both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i w:val="0"/>
          <w:iCs w:val="0"/>
        </w:rPr>
        <w:t>传统模型在同一 beam 内提取四种 KPI 在 t、t−1、t−2、t−24、t−168 共五个历史位置的标准化数值，形成 4×5=20 维输入，目标为 t+1 的某一 KPI 原始数值。最长滞后为 168 步，故标签目标时刻从 169 开始，最终有效样本为 2,880×671=1,932,480 行。训练与测试以目标时刻而非随机记录拆分，前者为 target_time&lt;672，共 1,448,640 行；后者为 672–839，共 483,840 行。[R8]</w:t>
      </w:r>
    </w:p>
    <w:p w14:paraId="043AEB9B">
      <w:pPr>
        <w:jc w:val="both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i w:val="0"/>
          <w:iCs w:val="0"/>
        </w:rPr>
        <w:t>深度模型采用前 24 小时的 4 维标准化连续观测序列（形状 [24,4]），并拼接 t−168 的额外 4 维历史值，联合预测下一小时四种 KPI。时序上进一步划分训练目标 169–587、验证 588–671、测试 672–839。训练与验证分别随机抽取 60,000 与 12,000 个窗口；测试使用全部 483,840 条 beam-hour。[R9]</w:t>
      </w:r>
    </w:p>
    <w:p w14:paraId="4FBECE4E">
      <w:pPr>
        <w:pStyle w:val="166"/>
        <w:keepNext/>
        <w:ind w:firstLine="0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i w:val="0"/>
          <w:iCs w:val="0"/>
        </w:rPr>
        <w:t>表 5 预测建模的数据分割与采样口径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1"/>
        <w:gridCol w:w="2268"/>
        <w:gridCol w:w="4989"/>
      </w:tblGrid>
      <w:tr w14:paraId="339B19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4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06ABB72E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用途</w:t>
            </w:r>
          </w:p>
        </w:tc>
        <w:tc>
          <w:tcPr>
            <w:tcW w:w="2268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2751C383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目标时段</w:t>
            </w:r>
          </w:p>
        </w:tc>
        <w:tc>
          <w:tcPr>
            <w:tcW w:w="4989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0D5DDD41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规模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zh-CN"/>
              </w:rPr>
              <w:t>/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说明</w:t>
            </w:r>
          </w:p>
        </w:tc>
      </w:tr>
      <w:tr w14:paraId="1CF81A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73E8839A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ML 训练</w:t>
            </w:r>
          </w:p>
        </w:tc>
        <w:tc>
          <w:tcPr>
            <w:tcW w:w="2268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7E12E519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169–671</w:t>
            </w:r>
          </w:p>
        </w:tc>
        <w:tc>
          <w:tcPr>
            <w:tcW w:w="4989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1DE411BB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1,448,640 行；全量输入样本</w:t>
            </w:r>
          </w:p>
        </w:tc>
      </w:tr>
      <w:tr w14:paraId="77E052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738570D2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ML 留出测试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3996AC79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672–839</w:t>
            </w:r>
          </w:p>
        </w:tc>
        <w:tc>
          <w:tcPr>
            <w:tcW w:w="49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2AF62AEB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483,840 行；全量评分</w:t>
            </w:r>
          </w:p>
        </w:tc>
      </w:tr>
      <w:tr w14:paraId="695E72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2E800264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DL 训练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47647A09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169–587</w:t>
            </w:r>
          </w:p>
        </w:tc>
        <w:tc>
          <w:tcPr>
            <w:tcW w:w="49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4EEA47D6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随机抽取 60,000 个序列窗口</w:t>
            </w:r>
          </w:p>
        </w:tc>
      </w:tr>
      <w:tr w14:paraId="347457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3AA0193D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DL 验证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4D19096D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588–671</w:t>
            </w:r>
          </w:p>
        </w:tc>
        <w:tc>
          <w:tcPr>
            <w:tcW w:w="49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5482B237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随机抽取 12,000 个序列窗口</w:t>
            </w:r>
          </w:p>
        </w:tc>
      </w:tr>
      <w:tr w14:paraId="27E64D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602334A5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DL 测试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2FDF777F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672–839</w:t>
            </w:r>
          </w:p>
        </w:tc>
        <w:tc>
          <w:tcPr>
            <w:tcW w:w="4989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7F188B18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483,840 条；与 ML 测试期一致</w:t>
            </w:r>
          </w:p>
        </w:tc>
      </w:tr>
    </w:tbl>
    <w:p w14:paraId="455236D6">
      <w:pPr>
        <w:spacing w:after="20"/>
        <w:rPr>
          <w:rFonts w:hint="default" w:ascii="Times New Roman" w:hAnsi="Times New Roman" w:eastAsia="宋体" w:cs="Times New Roman"/>
          <w:i w:val="0"/>
          <w:iCs w:val="0"/>
        </w:rPr>
      </w:pPr>
    </w:p>
    <w:p w14:paraId="13D4EEAE">
      <w:pPr>
        <w:pStyle w:val="4"/>
        <w:ind w:firstLine="0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i w:val="0"/>
          <w:iCs w:val="0"/>
        </w:rPr>
        <w:t>3.3 预处理实施证据与注意事项</w:t>
      </w:r>
    </w:p>
    <w:p w14:paraId="796F3780">
      <w:pPr>
        <w:jc w:val="both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</w:rPr>
        <w:t>数据审计实际输出 reports/raw_data_audit.json 与 raw_data_audit_summary.csv：四份原始 KPI 表时间轴和波束列一致，均无缺失观测与重复时间，小时索引步长为 1；完整长表共 2,419,200 行。预处理过程保留原始 KPI 数值并生成 StandardScaler、MinMaxScaler 变换列，变换统计量由 Time 0–671 拟合后用于后续留出测试。[R8,R15]</w:t>
      </w:r>
    </w:p>
    <w:p w14:paraId="29302457">
      <w:pPr>
        <w:jc w:val="both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i w:val="0"/>
          <w:iCs w:val="0"/>
        </w:rPr>
        <w:t>模型对比文档进一步指出，深度模型使用的 scaler 在 Time 0–671 拟合，包含验证目标期 588–671 对应的观测统计信息，使其内部验证受到预处理信息覆盖影响；最终测试期 672–839 未参与该 scaler 拟合。后续正式滚动验证应按训练子段单独拟合 scaler，并在各折冻结预处理参数。传统模型的三折扩展窗口已记录“每折训练期重新拟合 scaler”的做法。[R8,R9,R10]</w:t>
      </w:r>
    </w:p>
    <w:p w14:paraId="5D4D5739">
      <w:pPr>
        <w:pStyle w:val="3"/>
        <w:ind w:firstLine="0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i w:val="0"/>
          <w:iCs w:val="0"/>
        </w:rPr>
        <w:t>4 预测模型设计与实验方法</w:t>
      </w:r>
    </w:p>
    <w:p w14:paraId="36F855BB">
      <w:pPr>
        <w:pStyle w:val="4"/>
        <w:ind w:firstLine="0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i w:val="0"/>
          <w:iCs w:val="0"/>
        </w:rPr>
        <w:t>4.1 传统机器学习预测器</w:t>
      </w:r>
    </w:p>
    <w:p w14:paraId="052F2D63">
      <w:pPr>
        <w:jc w:val="both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i w:val="0"/>
          <w:iCs w:val="0"/>
        </w:rPr>
        <w:t>传统方法包括无参数 Persistence 基线、Linear Regression、Decision Tree、Random Forest、XGBoost 与 LightGBM。Persistence 直接以当前指标值作为下一小时预测，即 ŷ(b,t+1)=y(b,t)。五种需拟合模型在相同训练与测试记录上使用 20 维历史输入，每种 KPI 单独拟合并评估，获得 4×6=24 组主实验结果。[R8]</w:t>
      </w:r>
    </w:p>
    <w:p w14:paraId="3C64CFDC">
      <w:pPr>
        <w:pStyle w:val="166"/>
        <w:keepNext/>
        <w:ind w:firstLine="0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i w:val="0"/>
          <w:iCs w:val="0"/>
        </w:rPr>
        <w:t>表 6 传统 ML 的已报告设置（主实验 seed=42）[R8]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1"/>
        <w:gridCol w:w="4762"/>
        <w:gridCol w:w="2665"/>
      </w:tblGrid>
      <w:tr w14:paraId="631E6E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7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1332D40D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模型</w:t>
            </w:r>
          </w:p>
        </w:tc>
        <w:tc>
          <w:tcPr>
            <w:tcW w:w="4762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05590D1A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关键主实验参数</w:t>
            </w:r>
          </w:p>
        </w:tc>
        <w:tc>
          <w:tcPr>
            <w:tcW w:w="2665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48F5B3CA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功能定位</w:t>
            </w:r>
          </w:p>
        </w:tc>
      </w:tr>
      <w:tr w14:paraId="0D8804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6471FEB8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Persistence</w:t>
            </w:r>
          </w:p>
        </w:tc>
        <w:tc>
          <w:tcPr>
            <w:tcW w:w="4762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6135882F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ŷ(t+1)=y(t)</w:t>
            </w:r>
          </w:p>
        </w:tc>
        <w:tc>
          <w:tcPr>
            <w:tcW w:w="2665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2682D779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短期持续性参考基线</w:t>
            </w:r>
          </w:p>
        </w:tc>
      </w:tr>
      <w:tr w14:paraId="43DA93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5B7563C0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Linear Regression</w:t>
            </w:r>
          </w:p>
        </w:tc>
        <w:tc>
          <w:tcPr>
            <w:tcW w:w="47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27790B07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普通线性回归</w:t>
            </w:r>
          </w:p>
        </w:tc>
        <w:tc>
          <w:tcPr>
            <w:tcW w:w="26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282A3225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低复杂度线性模型</w:t>
            </w:r>
          </w:p>
        </w:tc>
      </w:tr>
      <w:tr w14:paraId="431435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400AEA84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Decision Tree</w:t>
            </w:r>
          </w:p>
        </w:tc>
        <w:tc>
          <w:tcPr>
            <w:tcW w:w="47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509B008F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max_depth=18；min_samples_leaf=20</w:t>
            </w:r>
          </w:p>
        </w:tc>
        <w:tc>
          <w:tcPr>
            <w:tcW w:w="26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138DDDD2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单树非线性模型</w:t>
            </w:r>
          </w:p>
        </w:tc>
      </w:tr>
      <w:tr w14:paraId="341B95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3C4270B0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Random Forest</w:t>
            </w:r>
          </w:p>
        </w:tc>
        <w:tc>
          <w:tcPr>
            <w:tcW w:w="47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6F7AB209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n_estimators=30；max_depth=16；min_samples_leaf=20；max_features=sqrt；max_samples=0.6</w:t>
            </w:r>
          </w:p>
        </w:tc>
        <w:tc>
          <w:tcPr>
            <w:tcW w:w="26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031F5038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袋装树集成；综合主基线</w:t>
            </w:r>
          </w:p>
        </w:tc>
      </w:tr>
      <w:tr w14:paraId="7A5186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4F613356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XGBoost</w:t>
            </w:r>
          </w:p>
        </w:tc>
        <w:tc>
          <w:tcPr>
            <w:tcW w:w="47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45AA900B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n_estimators=250；max_depth=8；learning_rate=0.05；subsample=0.8；colsample_bytree=0.8</w:t>
            </w:r>
          </w:p>
        </w:tc>
        <w:tc>
          <w:tcPr>
            <w:tcW w:w="26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796F56F1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梯度提升模型</w:t>
            </w:r>
          </w:p>
        </w:tc>
      </w:tr>
      <w:tr w14:paraId="5B55F6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7F23B98A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LightGBM</w:t>
            </w:r>
          </w:p>
        </w:tc>
        <w:tc>
          <w:tcPr>
            <w:tcW w:w="4762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540926FA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n_estimators=250；num_leaves=63；learning_rate=0.05；min_child_samples=20</w:t>
            </w:r>
          </w:p>
        </w:tc>
        <w:tc>
          <w:tcPr>
            <w:tcW w:w="2665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05E0F5E5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叶子优先提升树</w:t>
            </w:r>
          </w:p>
        </w:tc>
      </w:tr>
    </w:tbl>
    <w:p w14:paraId="761B8EA6">
      <w:pPr>
        <w:spacing w:after="20"/>
        <w:rPr>
          <w:rFonts w:hint="default" w:ascii="Times New Roman" w:hAnsi="Times New Roman" w:eastAsia="宋体" w:cs="Times New Roman"/>
          <w:i w:val="0"/>
          <w:iCs w:val="0"/>
        </w:rPr>
      </w:pPr>
    </w:p>
    <w:p w14:paraId="7E55653C">
      <w:pPr>
        <w:pStyle w:val="4"/>
        <w:ind w:firstLine="0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i w:val="0"/>
          <w:iCs w:val="0"/>
        </w:rPr>
        <w:t>4.2 LSTM、GRU 与轻量 Transformer</w:t>
      </w:r>
    </w:p>
    <w:p w14:paraId="19ADE401">
      <w:pPr>
        <w:jc w:val="both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i w:val="0"/>
          <w:iCs w:val="0"/>
        </w:rPr>
        <w:t>三种模型均输入 [24,4] 的历史序列及 t−168 对应的额外 4 维特征，联合输出下一小时四种 KPI。LSTM、GRU 使用单层循环编码器（hidden=32）；Transformer 使用线性嵌入、可学习位置参数、单层 Transformer Encoder（4 个注意力头、前馈宽度 64）及预测头。三者均采用标准化尺度多输出 MSE 损失、Adam 优化器，学习率 0.001，batch size 256，最多训练 12 epoch，patience=3，运行配置为 CPU、seed=42。[R9]</w:t>
      </w:r>
    </w:p>
    <w:p w14:paraId="6E6EE023">
      <w:pPr>
        <w:pStyle w:val="166"/>
        <w:keepNext/>
        <w:ind w:firstLine="0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i w:val="0"/>
          <w:iCs w:val="0"/>
        </w:rPr>
        <w:t>表 7 深度模型容量与收敛记录 [R9]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247"/>
        <w:gridCol w:w="1871"/>
        <w:gridCol w:w="2211"/>
        <w:gridCol w:w="2268"/>
      </w:tblGrid>
      <w:tr w14:paraId="032DCD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5AD5CD2E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模型</w:t>
            </w:r>
          </w:p>
        </w:tc>
        <w:tc>
          <w:tcPr>
            <w:tcW w:w="1247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47DD9D3F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参数量</w:t>
            </w:r>
          </w:p>
        </w:tc>
        <w:tc>
          <w:tcPr>
            <w:tcW w:w="187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25F53A01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最佳验证 epoch</w:t>
            </w:r>
          </w:p>
        </w:tc>
        <w:tc>
          <w:tcPr>
            <w:tcW w:w="221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7DD56310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最佳验证 MSE</w:t>
            </w:r>
          </w:p>
        </w:tc>
        <w:tc>
          <w:tcPr>
            <w:tcW w:w="2268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41E1D7AE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实际训练 epoch</w:t>
            </w:r>
          </w:p>
        </w:tc>
      </w:tr>
      <w:tr w14:paraId="17DDC8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56BD3C0B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LSTM</w:t>
            </w:r>
          </w:p>
        </w:tc>
        <w:tc>
          <w:tcPr>
            <w:tcW w:w="1247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2F09CBD2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6,180</w:t>
            </w:r>
          </w:p>
        </w:tc>
        <w:tc>
          <w:tcPr>
            <w:tcW w:w="187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6148DFA4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4</w:t>
            </w:r>
          </w:p>
        </w:tc>
        <w:tc>
          <w:tcPr>
            <w:tcW w:w="221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02A2E115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0.292830</w:t>
            </w:r>
          </w:p>
        </w:tc>
        <w:tc>
          <w:tcPr>
            <w:tcW w:w="2268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36B87D96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7</w:t>
            </w:r>
          </w:p>
        </w:tc>
      </w:tr>
      <w:tr w14:paraId="1DD8CD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62556AAA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GRU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27989A15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4,964</w:t>
            </w:r>
          </w:p>
        </w:tc>
        <w:tc>
          <w:tcPr>
            <w:tcW w:w="18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2E0A2DDC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9</w:t>
            </w:r>
          </w:p>
        </w:tc>
        <w:tc>
          <w:tcPr>
            <w:tcW w:w="22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1DE75FA1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0.295743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690D9967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12</w:t>
            </w:r>
          </w:p>
        </w:tc>
      </w:tr>
      <w:tr w14:paraId="3320AE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36F04B47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Transformer</w:t>
            </w:r>
          </w:p>
        </w:tc>
        <w:tc>
          <w:tcPr>
            <w:tcW w:w="1247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2DEE49FB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10,788</w:t>
            </w:r>
          </w:p>
        </w:tc>
        <w:tc>
          <w:tcPr>
            <w:tcW w:w="187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07FB4E08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1</w:t>
            </w:r>
          </w:p>
        </w:tc>
        <w:tc>
          <w:tcPr>
            <w:tcW w:w="221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282810B2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0.315027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5845DE2D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4</w:t>
            </w:r>
          </w:p>
        </w:tc>
      </w:tr>
    </w:tbl>
    <w:p w14:paraId="679C2D5D">
      <w:pPr>
        <w:spacing w:after="20"/>
        <w:rPr>
          <w:rFonts w:hint="default" w:ascii="Times New Roman" w:hAnsi="Times New Roman" w:eastAsia="宋体" w:cs="Times New Roman"/>
          <w:i w:val="0"/>
          <w:iCs w:val="0"/>
        </w:rPr>
      </w:pPr>
    </w:p>
    <w:p w14:paraId="0523D758">
      <w:pPr>
        <w:jc w:val="both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i w:val="0"/>
          <w:iCs w:val="0"/>
        </w:rPr>
        <w:t>模型容量和输入方式并不一致：传统模型处理手工选择的离散滞后点，而神经网络处理连续 24 小时序列并增加季节性历史信息；传统 ML 的训练集约 144.86 万条，DL 只抽样 6 万个训练窗口。[R10]</w:t>
      </w:r>
    </w:p>
    <w:p w14:paraId="46B1BDAE">
      <w:pPr>
        <w:pStyle w:val="4"/>
        <w:ind w:firstLine="0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i w:val="0"/>
          <w:iCs w:val="0"/>
        </w:rPr>
        <w:t>4.3 评价指标与稳健性设计</w:t>
      </w:r>
    </w:p>
    <w:p w14:paraId="52A13EBD">
      <w:pPr>
        <w:jc w:val="both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i w:val="0"/>
          <w:iCs w:val="0"/>
        </w:rPr>
        <w:t>模型性能采用 MAE=mean(|y−ŷ|)、RMSE=sqrt(mean((y−ŷ)²))、R²=1−Σ(y−ŷ)²/Σ(y−ȳ)²。MAE 衡量典型绝对偏差，RMSE 加重较大偏差的影响，R² 描述模型相对样本均值基线的拟合情况。同一 KPI 内可以比较不同预测器，不同 KPI 之间则不直接按原始绝对误差数值排名。</w:t>
      </w:r>
    </w:p>
    <w:p w14:paraId="4C3D32F9">
      <w:pPr>
        <w:jc w:val="both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i w:val="0"/>
          <w:iCs w:val="0"/>
        </w:rPr>
        <w:t>传统 ML 在主实验后增加三折 expanding-window 交叉验证：Fold 1 训练 169–383、验证 384–479；Fold 2 训练 169–479、验证 480–575；Fold 3 训练 169–575、验证 576–671。每折的 StandardScaler 仅使用该折训练数据拟合。还对 RF、XGBoost、LightGBM 在最终测试期的逐小时平均损失开展 Newey–West HAC（带宽 24）配对检验，并使用 Holm 方法校正多重比较。[R8,R10]</w:t>
      </w:r>
    </w:p>
    <w:p w14:paraId="51664257">
      <w:pPr>
        <w:jc w:val="both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i w:val="0"/>
          <w:iCs w:val="0"/>
        </w:rPr>
        <w:t>另有 12 次 Optuna TPE 搜索仅针对 DLPRB 的 Random Forest，以 256 个 beam 的三折平均 RMSE 为目标，得到 n_estimators=137、max_depth=13、min_samples_leaf=9、max_features=sqrt、max_samples≈0.6981，最佳交叉验证 RMSE≈0.473700。[R8]</w:t>
      </w:r>
    </w:p>
    <w:p w14:paraId="2B4D497F">
      <w:pPr>
        <w:pStyle w:val="3"/>
        <w:ind w:firstLine="0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i w:val="0"/>
          <w:iCs w:val="0"/>
        </w:rPr>
        <w:t>5 KPI 预测性能评估与比较</w:t>
      </w:r>
    </w:p>
    <w:p w14:paraId="5C527482">
      <w:pPr>
        <w:pStyle w:val="4"/>
        <w:ind w:firstLine="0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i w:val="0"/>
          <w:iCs w:val="0"/>
        </w:rPr>
        <w:t>5.1 传统 ML 测试结果</w:t>
      </w:r>
    </w:p>
    <w:p w14:paraId="160A6E3B">
      <w:pPr>
        <w:pStyle w:val="166"/>
        <w:keepNext/>
        <w:ind w:firstLine="0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i w:val="0"/>
          <w:iCs w:val="0"/>
        </w:rPr>
        <w:t>表 8 六种传统方法在全量测试集的 24 组得分 [R8]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2948"/>
        <w:gridCol w:w="1559"/>
        <w:gridCol w:w="1559"/>
        <w:gridCol w:w="1757"/>
      </w:tblGrid>
      <w:tr w14:paraId="6D9750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74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52566E3F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KPI</w:t>
            </w:r>
          </w:p>
        </w:tc>
        <w:tc>
          <w:tcPr>
            <w:tcW w:w="2948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0602D022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模型</w:t>
            </w:r>
          </w:p>
        </w:tc>
        <w:tc>
          <w:tcPr>
            <w:tcW w:w="1559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11327AC0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MAE↓</w:t>
            </w:r>
          </w:p>
        </w:tc>
        <w:tc>
          <w:tcPr>
            <w:tcW w:w="1559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75D4F677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RMSE↓</w:t>
            </w:r>
          </w:p>
        </w:tc>
        <w:tc>
          <w:tcPr>
            <w:tcW w:w="1757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449B3F5A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R²↑</w:t>
            </w:r>
          </w:p>
        </w:tc>
      </w:tr>
      <w:tr w14:paraId="4D648D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06C07139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DLPRB</w:t>
            </w:r>
          </w:p>
        </w:tc>
        <w:tc>
          <w:tcPr>
            <w:tcW w:w="2948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2DD09DD9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Persistence</w:t>
            </w:r>
          </w:p>
        </w:tc>
        <w:tc>
          <w:tcPr>
            <w:tcW w:w="1559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4F0766EA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0.298215</w:t>
            </w:r>
          </w:p>
        </w:tc>
        <w:tc>
          <w:tcPr>
            <w:tcW w:w="1559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1196F5B4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0.567152</w:t>
            </w:r>
          </w:p>
        </w:tc>
        <w:tc>
          <w:tcPr>
            <w:tcW w:w="1757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7F2275F5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0.719086</w:t>
            </w:r>
          </w:p>
        </w:tc>
      </w:tr>
      <w:tr w14:paraId="2BD5D2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75F141CB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DLPRB</w:t>
            </w:r>
          </w:p>
        </w:tc>
        <w:tc>
          <w:tcPr>
            <w:tcW w:w="29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6578BE35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Linear Regression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022CA454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0.274974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48FB46EF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0.522147</w:t>
            </w: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2A6DDAC5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0.761901</w:t>
            </w:r>
          </w:p>
        </w:tc>
      </w:tr>
      <w:tr w14:paraId="666121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16065771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DLPRB</w:t>
            </w:r>
          </w:p>
        </w:tc>
        <w:tc>
          <w:tcPr>
            <w:tcW w:w="29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0F06ED76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Decision Tree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13673724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0.282239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6658E8CB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0.534094</w:t>
            </w: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6B072B81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0.750880</w:t>
            </w:r>
          </w:p>
        </w:tc>
      </w:tr>
      <w:tr w14:paraId="4FB6BC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5820A68C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DLPRB</w:t>
            </w:r>
          </w:p>
        </w:tc>
        <w:tc>
          <w:tcPr>
            <w:tcW w:w="29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6FBB3DAE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Random Forest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44E62F12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0.262541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231A79E4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0.493705</w:t>
            </w: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30D5042D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0.787133</w:t>
            </w:r>
          </w:p>
        </w:tc>
      </w:tr>
      <w:tr w14:paraId="4CE1D6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1F9A383E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DLPRB</w:t>
            </w:r>
          </w:p>
        </w:tc>
        <w:tc>
          <w:tcPr>
            <w:tcW w:w="29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324D1670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XGBoost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770E22A8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0.261817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1618E862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0.496777</w:t>
            </w: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6D73D009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0.784475</w:t>
            </w:r>
          </w:p>
        </w:tc>
      </w:tr>
      <w:tr w14:paraId="1892C4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077091AD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DLPRB</w:t>
            </w:r>
          </w:p>
        </w:tc>
        <w:tc>
          <w:tcPr>
            <w:tcW w:w="29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5E958E74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LightGBM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0EA029E5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0.262246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42507290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0.498070</w:t>
            </w: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35973DDB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0.783352</w:t>
            </w:r>
          </w:p>
        </w:tc>
      </w:tr>
      <w:tr w14:paraId="50CDBC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3F42B9D9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DLThpVol</w:t>
            </w:r>
          </w:p>
        </w:tc>
        <w:tc>
          <w:tcPr>
            <w:tcW w:w="29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515E9D24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Persistence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546758F1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0.237776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30551607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0.546478</w:t>
            </w: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075E2C7C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0.457474</w:t>
            </w:r>
          </w:p>
        </w:tc>
      </w:tr>
      <w:tr w14:paraId="0195CF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4767590B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DLThpVol</w:t>
            </w:r>
          </w:p>
        </w:tc>
        <w:tc>
          <w:tcPr>
            <w:tcW w:w="29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28B6FEB3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Linear Regression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6B51B776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0.222735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71325088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0.487435</w:t>
            </w: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5B295533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0.568374</w:t>
            </w:r>
          </w:p>
        </w:tc>
      </w:tr>
      <w:tr w14:paraId="7F80E8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04FAA30D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DLThpVol</w:t>
            </w:r>
          </w:p>
        </w:tc>
        <w:tc>
          <w:tcPr>
            <w:tcW w:w="29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54BDE0E3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Decision Tree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6C2C4945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0.223274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3C10CF4D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0.514746</w:t>
            </w: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4C0D7638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0.518651</w:t>
            </w:r>
          </w:p>
        </w:tc>
      </w:tr>
      <w:tr w14:paraId="77C03B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55E7E94A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DLThpVol</w:t>
            </w:r>
          </w:p>
        </w:tc>
        <w:tc>
          <w:tcPr>
            <w:tcW w:w="29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5BB88459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Random Forest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1A5CECFE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0.207615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1B8A2244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0.460162</w:t>
            </w: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281FACD2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0.615323</w:t>
            </w:r>
          </w:p>
        </w:tc>
      </w:tr>
      <w:tr w14:paraId="26EBAA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1A536903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DLThpVol</w:t>
            </w:r>
          </w:p>
        </w:tc>
        <w:tc>
          <w:tcPr>
            <w:tcW w:w="29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04EAA1A4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XGBoost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1D87E73E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0.208802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61E4EF4C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0.481722</w:t>
            </w: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68C9765C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0.578433</w:t>
            </w:r>
          </w:p>
        </w:tc>
      </w:tr>
      <w:tr w14:paraId="52ACDD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78E2EB7D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DLThpVol</w:t>
            </w:r>
          </w:p>
        </w:tc>
        <w:tc>
          <w:tcPr>
            <w:tcW w:w="29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02084829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LightGBM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21D2E846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0.209779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6C7EC154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0.488796</w:t>
            </w: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6BD1782E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0.565961</w:t>
            </w:r>
          </w:p>
        </w:tc>
      </w:tr>
      <w:tr w14:paraId="0900B1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05420436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DLThpTime</w:t>
            </w:r>
          </w:p>
        </w:tc>
        <w:tc>
          <w:tcPr>
            <w:tcW w:w="29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392C9CBA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Persistence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34793A77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0.279268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4E71FF26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0.606604</w:t>
            </w: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28F13FED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0.601875</w:t>
            </w:r>
          </w:p>
        </w:tc>
      </w:tr>
      <w:tr w14:paraId="37EA96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6B0E36FB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DLThpTime</w:t>
            </w:r>
          </w:p>
        </w:tc>
        <w:tc>
          <w:tcPr>
            <w:tcW w:w="29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41E92EF1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Linear Regression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543125D8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0.253178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112D1F0F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0.545464</w:t>
            </w: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6A5D8472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0.678085</w:t>
            </w:r>
          </w:p>
        </w:tc>
      </w:tr>
      <w:tr w14:paraId="49101D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24808C8A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DLThpTime</w:t>
            </w:r>
          </w:p>
        </w:tc>
        <w:tc>
          <w:tcPr>
            <w:tcW w:w="29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0A3CF1DD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Decision Tree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510F6E49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0.262772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2518C2F3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0.573985</w:t>
            </w: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758C679A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0.643540</w:t>
            </w:r>
          </w:p>
        </w:tc>
      </w:tr>
      <w:tr w14:paraId="06B211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44B77525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DLThpTime</w:t>
            </w:r>
          </w:p>
        </w:tc>
        <w:tc>
          <w:tcPr>
            <w:tcW w:w="29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578E3C43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Random Forest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2E3E71CB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0.244028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46663B82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0.524467</w:t>
            </w: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58E8A2DA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0.702391</w:t>
            </w:r>
          </w:p>
        </w:tc>
      </w:tr>
      <w:tr w14:paraId="4DA291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520392A0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DLThpTime</w:t>
            </w:r>
          </w:p>
        </w:tc>
        <w:tc>
          <w:tcPr>
            <w:tcW w:w="29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0A11DC01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XGBoost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4C6F304E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0.243576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674738F4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0.530915</w:t>
            </w: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341A77EC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0.695028</w:t>
            </w:r>
          </w:p>
        </w:tc>
      </w:tr>
      <w:tr w14:paraId="060963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2582280F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DLThpTime</w:t>
            </w:r>
          </w:p>
        </w:tc>
        <w:tc>
          <w:tcPr>
            <w:tcW w:w="29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73FD7637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LightGBM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2CE44BBA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0.244187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373789AB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0.532348</w:t>
            </w: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2C481B50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0.693380</w:t>
            </w:r>
          </w:p>
        </w:tc>
      </w:tr>
      <w:tr w14:paraId="443B37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677A763B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MR_number</w:t>
            </w:r>
          </w:p>
        </w:tc>
        <w:tc>
          <w:tcPr>
            <w:tcW w:w="29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7B69AB45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Persistence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1507C6E3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0.245860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71F3935F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0.431494</w:t>
            </w: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5627DC00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0.842024</w:t>
            </w:r>
          </w:p>
        </w:tc>
      </w:tr>
      <w:tr w14:paraId="71B38F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24FFC685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MR_number</w:t>
            </w:r>
          </w:p>
        </w:tc>
        <w:tc>
          <w:tcPr>
            <w:tcW w:w="29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16DF7405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Linear Regression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49CCB56F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0.258042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001C7B0A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0.462582</w:t>
            </w: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5A61F94A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0.818441</w:t>
            </w:r>
          </w:p>
        </w:tc>
      </w:tr>
      <w:tr w14:paraId="44FEE4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6D5009DD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MR_number</w:t>
            </w:r>
          </w:p>
        </w:tc>
        <w:tc>
          <w:tcPr>
            <w:tcW w:w="29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5C36971F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Decision Tree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72AB79DB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0.242171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29B9A8FF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0.424696</w:t>
            </w: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242FD054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0.846963</w:t>
            </w:r>
          </w:p>
        </w:tc>
      </w:tr>
      <w:tr w14:paraId="7C2F4E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2907306E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MR_number</w:t>
            </w:r>
          </w:p>
        </w:tc>
        <w:tc>
          <w:tcPr>
            <w:tcW w:w="29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7975FB58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Random Forest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7CFF8142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0.225858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7678F9B1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0.395647</w:t>
            </w: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14D5A5F2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0.867182</w:t>
            </w:r>
          </w:p>
        </w:tc>
      </w:tr>
      <w:tr w14:paraId="0B0DA2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0CF54947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MR_number</w:t>
            </w:r>
          </w:p>
        </w:tc>
        <w:tc>
          <w:tcPr>
            <w:tcW w:w="29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6F9631CA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XGBoost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451EEF12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0.224767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2AEBD027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0.396050</w:t>
            </w: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2A99A79D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0.866912</w:t>
            </w:r>
          </w:p>
        </w:tc>
      </w:tr>
      <w:tr w14:paraId="005AED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383C807A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MR_number</w:t>
            </w:r>
          </w:p>
        </w:tc>
        <w:tc>
          <w:tcPr>
            <w:tcW w:w="294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20C27204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LightGBM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3ECAEAEB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0.225362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111C89B2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0.397979</w:t>
            </w:r>
          </w:p>
        </w:tc>
        <w:tc>
          <w:tcPr>
            <w:tcW w:w="1757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260B35AB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0.865612</w:t>
            </w:r>
          </w:p>
        </w:tc>
      </w:tr>
    </w:tbl>
    <w:p w14:paraId="24EC1834">
      <w:pPr>
        <w:spacing w:after="20"/>
        <w:rPr>
          <w:rFonts w:hint="default" w:ascii="Times New Roman" w:hAnsi="Times New Roman" w:eastAsia="宋体" w:cs="Times New Roman"/>
          <w:i w:val="0"/>
          <w:iCs w:val="0"/>
        </w:rPr>
      </w:pPr>
    </w:p>
    <w:p w14:paraId="7FF65E68">
      <w:pPr>
        <w:jc w:val="both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i w:val="0"/>
          <w:iCs w:val="0"/>
        </w:rPr>
        <w:t>随机森林在四种 KPI 的 RMSE 和 R² 上均为组内最佳；XGBoost 在 DLPRB、DLThpTime、MR_number 的 MAE 略低，而 DLThpVol 的 MAE 最低为随机森林。传统方法在四 KPI × 三指标上的等权平均排名中，随机森林综合名次 1.417 居首，XGBoost 为 1.750。[R8,R10]</w:t>
      </w:r>
    </w:p>
    <w:p w14:paraId="4532932D">
      <w:pPr>
        <w:pStyle w:val="4"/>
        <w:ind w:firstLine="0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i w:val="0"/>
          <w:iCs w:val="0"/>
        </w:rPr>
        <w:t>5.2 深度学习测试结果</w:t>
      </w:r>
    </w:p>
    <w:p w14:paraId="11FDEF1E">
      <w:pPr>
        <w:pStyle w:val="166"/>
        <w:keepNext/>
        <w:ind w:firstLine="0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i w:val="0"/>
          <w:iCs w:val="0"/>
        </w:rPr>
        <w:t>表 9 LSTM、GRU 与 Transformer 测试指标 [R9]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3005"/>
        <w:gridCol w:w="1531"/>
        <w:gridCol w:w="1587"/>
        <w:gridCol w:w="1587"/>
      </w:tblGrid>
      <w:tr w14:paraId="73B105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87" w:type="dxa"/>
            <w:tcBorders>
              <w:top w:val="single" w:color="222222" w:sz="12" w:space="0"/>
              <w:bottom w:val="single" w:color="222222" w:sz="6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608A767D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KPI</w:t>
            </w:r>
          </w:p>
        </w:tc>
        <w:tc>
          <w:tcPr>
            <w:tcW w:w="3005" w:type="dxa"/>
            <w:tcBorders>
              <w:top w:val="single" w:color="222222" w:sz="12" w:space="0"/>
              <w:bottom w:val="single" w:color="222222" w:sz="6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4CA37864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模型</w:t>
            </w:r>
          </w:p>
        </w:tc>
        <w:tc>
          <w:tcPr>
            <w:tcW w:w="1531" w:type="dxa"/>
            <w:tcBorders>
              <w:top w:val="single" w:color="222222" w:sz="12" w:space="0"/>
              <w:bottom w:val="single" w:color="222222" w:sz="6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0C3500DF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MAE↓</w:t>
            </w:r>
          </w:p>
        </w:tc>
        <w:tc>
          <w:tcPr>
            <w:tcW w:w="1587" w:type="dxa"/>
            <w:tcBorders>
              <w:top w:val="single" w:color="222222" w:sz="12" w:space="0"/>
              <w:bottom w:val="single" w:color="222222" w:sz="6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3DC9F432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RMSE↓</w:t>
            </w:r>
          </w:p>
        </w:tc>
        <w:tc>
          <w:tcPr>
            <w:tcW w:w="1587" w:type="dxa"/>
            <w:tcBorders>
              <w:top w:val="single" w:color="222222" w:sz="12" w:space="0"/>
              <w:bottom w:val="single" w:color="222222" w:sz="6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46526E44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R²↑</w:t>
            </w:r>
          </w:p>
        </w:tc>
      </w:tr>
      <w:tr w14:paraId="334A27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57983EFE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DLPRB</w:t>
            </w:r>
          </w:p>
        </w:tc>
        <w:tc>
          <w:tcPr>
            <w:tcW w:w="3005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73430F06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LSTM</w:t>
            </w:r>
          </w:p>
        </w:tc>
        <w:tc>
          <w:tcPr>
            <w:tcW w:w="1531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1572EF78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0.2612</w:t>
            </w:r>
          </w:p>
        </w:tc>
        <w:tc>
          <w:tcPr>
            <w:tcW w:w="1587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4C4710B9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0.4919</w:t>
            </w:r>
          </w:p>
        </w:tc>
        <w:tc>
          <w:tcPr>
            <w:tcW w:w="1587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4B249480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0.7887</w:t>
            </w:r>
          </w:p>
        </w:tc>
      </w:tr>
      <w:tr w14:paraId="4A8498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237D5133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DLPRB</w:t>
            </w:r>
          </w:p>
        </w:tc>
        <w:tc>
          <w:tcPr>
            <w:tcW w:w="3005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0FF2301F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GRU</w:t>
            </w:r>
          </w:p>
        </w:tc>
        <w:tc>
          <w:tcPr>
            <w:tcW w:w="1531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48034CA9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0.2456</w:t>
            </w:r>
          </w:p>
        </w:tc>
        <w:tc>
          <w:tcPr>
            <w:tcW w:w="1587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18ADD958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0.4689</w:t>
            </w:r>
          </w:p>
        </w:tc>
        <w:tc>
          <w:tcPr>
            <w:tcW w:w="1587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22E9EEDA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0.8080</w:t>
            </w:r>
          </w:p>
        </w:tc>
      </w:tr>
      <w:tr w14:paraId="174311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50F94BE5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DLPRB</w:t>
            </w:r>
          </w:p>
        </w:tc>
        <w:tc>
          <w:tcPr>
            <w:tcW w:w="3005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73C0864C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Transformer</w:t>
            </w:r>
          </w:p>
        </w:tc>
        <w:tc>
          <w:tcPr>
            <w:tcW w:w="1531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492F0350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0.2662</w:t>
            </w:r>
          </w:p>
        </w:tc>
        <w:tc>
          <w:tcPr>
            <w:tcW w:w="1587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5FEB4B77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0.5201</w:t>
            </w:r>
          </w:p>
        </w:tc>
        <w:tc>
          <w:tcPr>
            <w:tcW w:w="1587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45480ACD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0.7638</w:t>
            </w:r>
          </w:p>
        </w:tc>
      </w:tr>
      <w:tr w14:paraId="203C0B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5CC2FE23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DLThpVol</w:t>
            </w:r>
          </w:p>
        </w:tc>
        <w:tc>
          <w:tcPr>
            <w:tcW w:w="3005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396AD0FF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LSTM</w:t>
            </w:r>
          </w:p>
        </w:tc>
        <w:tc>
          <w:tcPr>
            <w:tcW w:w="1531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4C0908E0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0.2205</w:t>
            </w:r>
          </w:p>
        </w:tc>
        <w:tc>
          <w:tcPr>
            <w:tcW w:w="1587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353AB007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0.4844</w:t>
            </w:r>
          </w:p>
        </w:tc>
        <w:tc>
          <w:tcPr>
            <w:tcW w:w="1587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30344BA4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0.5738</w:t>
            </w:r>
          </w:p>
        </w:tc>
      </w:tr>
      <w:tr w14:paraId="6A3E51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54182F01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DLThpVol</w:t>
            </w:r>
          </w:p>
        </w:tc>
        <w:tc>
          <w:tcPr>
            <w:tcW w:w="3005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3CB46094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GRU</w:t>
            </w:r>
          </w:p>
        </w:tc>
        <w:tc>
          <w:tcPr>
            <w:tcW w:w="1531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5F77A835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0.2046</w:t>
            </w:r>
          </w:p>
        </w:tc>
        <w:tc>
          <w:tcPr>
            <w:tcW w:w="1587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4F8F4681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0.4967</w:t>
            </w:r>
          </w:p>
        </w:tc>
        <w:tc>
          <w:tcPr>
            <w:tcW w:w="1587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7530B9AB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0.5517</w:t>
            </w:r>
          </w:p>
        </w:tc>
      </w:tr>
      <w:tr w14:paraId="0AA981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1B1F3ABB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DLThpVol</w:t>
            </w:r>
          </w:p>
        </w:tc>
        <w:tc>
          <w:tcPr>
            <w:tcW w:w="3005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0FC131AF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Transformer</w:t>
            </w:r>
          </w:p>
        </w:tc>
        <w:tc>
          <w:tcPr>
            <w:tcW w:w="1531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11D95A8A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0.2117</w:t>
            </w:r>
          </w:p>
        </w:tc>
        <w:tc>
          <w:tcPr>
            <w:tcW w:w="1587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218E6357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0.4874</w:t>
            </w:r>
          </w:p>
        </w:tc>
        <w:tc>
          <w:tcPr>
            <w:tcW w:w="1587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04F234CE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0.5685</w:t>
            </w:r>
          </w:p>
        </w:tc>
      </w:tr>
      <w:tr w14:paraId="78AA26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679622B9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DLThpTime</w:t>
            </w:r>
          </w:p>
        </w:tc>
        <w:tc>
          <w:tcPr>
            <w:tcW w:w="3005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72B80A8B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LSTM</w:t>
            </w:r>
          </w:p>
        </w:tc>
        <w:tc>
          <w:tcPr>
            <w:tcW w:w="1531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1FF6CBD9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0.2428</w:t>
            </w:r>
          </w:p>
        </w:tc>
        <w:tc>
          <w:tcPr>
            <w:tcW w:w="1587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69176090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0.5251</w:t>
            </w:r>
          </w:p>
        </w:tc>
        <w:tc>
          <w:tcPr>
            <w:tcW w:w="1587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113DB927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0.7016</w:t>
            </w:r>
          </w:p>
        </w:tc>
      </w:tr>
      <w:tr w14:paraId="7CF8BD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674B8489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DLThpTime</w:t>
            </w:r>
          </w:p>
        </w:tc>
        <w:tc>
          <w:tcPr>
            <w:tcW w:w="3005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4C1E4960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GRU</w:t>
            </w:r>
          </w:p>
        </w:tc>
        <w:tc>
          <w:tcPr>
            <w:tcW w:w="1531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124CFAB1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0.2298</w:t>
            </w:r>
          </w:p>
        </w:tc>
        <w:tc>
          <w:tcPr>
            <w:tcW w:w="1587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2C156885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0.5134</w:t>
            </w:r>
          </w:p>
        </w:tc>
        <w:tc>
          <w:tcPr>
            <w:tcW w:w="1587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2411B025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0.7149</w:t>
            </w:r>
          </w:p>
        </w:tc>
      </w:tr>
      <w:tr w14:paraId="0095E2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4BAF113D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DLThpTime</w:t>
            </w:r>
          </w:p>
        </w:tc>
        <w:tc>
          <w:tcPr>
            <w:tcW w:w="3005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1B99C833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Transformer</w:t>
            </w:r>
          </w:p>
        </w:tc>
        <w:tc>
          <w:tcPr>
            <w:tcW w:w="1531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4A33B6F4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0.2467</w:t>
            </w:r>
          </w:p>
        </w:tc>
        <w:tc>
          <w:tcPr>
            <w:tcW w:w="1587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019B61BF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0.5590</w:t>
            </w:r>
          </w:p>
        </w:tc>
        <w:tc>
          <w:tcPr>
            <w:tcW w:w="1587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6C5D5996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0.6619</w:t>
            </w:r>
          </w:p>
        </w:tc>
      </w:tr>
      <w:tr w14:paraId="19297F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46994795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MR_number</w:t>
            </w:r>
          </w:p>
        </w:tc>
        <w:tc>
          <w:tcPr>
            <w:tcW w:w="3005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50FAADBD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LSTM</w:t>
            </w:r>
          </w:p>
        </w:tc>
        <w:tc>
          <w:tcPr>
            <w:tcW w:w="1531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219D01F3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0.2260</w:t>
            </w:r>
          </w:p>
        </w:tc>
        <w:tc>
          <w:tcPr>
            <w:tcW w:w="1587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777FD78D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0.3893</w:t>
            </w:r>
          </w:p>
        </w:tc>
        <w:tc>
          <w:tcPr>
            <w:tcW w:w="1587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609B9D41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0.8714</w:t>
            </w:r>
          </w:p>
        </w:tc>
      </w:tr>
      <w:tr w14:paraId="4E4CD5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19D8396C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MR_number</w:t>
            </w:r>
          </w:p>
        </w:tc>
        <w:tc>
          <w:tcPr>
            <w:tcW w:w="3005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456D8C54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GRU</w:t>
            </w:r>
          </w:p>
        </w:tc>
        <w:tc>
          <w:tcPr>
            <w:tcW w:w="1531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611918C1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0.2097</w:t>
            </w:r>
          </w:p>
        </w:tc>
        <w:tc>
          <w:tcPr>
            <w:tcW w:w="1587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7E56E176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0.3669</w:t>
            </w:r>
          </w:p>
        </w:tc>
        <w:tc>
          <w:tcPr>
            <w:tcW w:w="1587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11204486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0.8858</w:t>
            </w:r>
          </w:p>
        </w:tc>
      </w:tr>
      <w:tr w14:paraId="013822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bottom w:val="single" w:color="333333" w:sz="10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76ED6C1F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MR_number</w:t>
            </w:r>
          </w:p>
        </w:tc>
        <w:tc>
          <w:tcPr>
            <w:tcW w:w="3005" w:type="dxa"/>
            <w:tcBorders>
              <w:bottom w:val="single" w:color="333333" w:sz="10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48B96084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Transformer</w:t>
            </w:r>
          </w:p>
        </w:tc>
        <w:tc>
          <w:tcPr>
            <w:tcW w:w="1531" w:type="dxa"/>
            <w:tcBorders>
              <w:bottom w:val="single" w:color="333333" w:sz="10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195F5C22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0.2368</w:t>
            </w:r>
          </w:p>
        </w:tc>
        <w:tc>
          <w:tcPr>
            <w:tcW w:w="1587" w:type="dxa"/>
            <w:tcBorders>
              <w:bottom w:val="single" w:color="333333" w:sz="10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7641CECE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0.4269</w:t>
            </w:r>
          </w:p>
        </w:tc>
        <w:tc>
          <w:tcPr>
            <w:tcW w:w="1587" w:type="dxa"/>
            <w:tcBorders>
              <w:bottom w:val="single" w:color="333333" w:sz="10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4115F7EB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0.8454</w:t>
            </w:r>
          </w:p>
        </w:tc>
      </w:tr>
    </w:tbl>
    <w:p w14:paraId="55872B34">
      <w:pPr>
        <w:spacing w:after="20"/>
        <w:rPr>
          <w:rFonts w:hint="default" w:ascii="Times New Roman" w:hAnsi="Times New Roman" w:eastAsia="宋体" w:cs="Times New Roman"/>
          <w:i w:val="0"/>
          <w:iCs w:val="0"/>
        </w:rPr>
      </w:pPr>
    </w:p>
    <w:p w14:paraId="627DF432">
      <w:pPr>
        <w:jc w:val="both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i w:val="0"/>
          <w:iCs w:val="0"/>
        </w:rPr>
        <w:t>GRU 在四种 KPI 上均取得 DL 组内最低 MAE，对 DLPRB、DLThpTime、MR_number 也取得最低 RMSE 与最高 R²；但 DLThpVol 存在重要例外：GRU 的 MAE 最低（0.2046），其 RMSE=0.4967 却高于 LSTM 的 0.4844，且 R²=0.5517 低于 LSTM 的 0.5738。[R9]</w:t>
      </w:r>
    </w:p>
    <w:p w14:paraId="24D313F9">
      <w:pPr>
        <w:pStyle w:val="4"/>
        <w:ind w:firstLine="0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i w:val="0"/>
          <w:iCs w:val="0"/>
        </w:rPr>
        <w:t>5.3 传统 ML 与 DL 的综合对比</w:t>
      </w:r>
    </w:p>
    <w:p w14:paraId="53F5AC6F">
      <w:pPr>
        <w:pStyle w:val="166"/>
        <w:keepNext/>
        <w:ind w:firstLine="0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i w:val="0"/>
          <w:iCs w:val="0"/>
        </w:rPr>
        <w:t>表 10 各 KPI 最优传统 ML 与 GRU 的 MAE 比较 [R10]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1"/>
        <w:gridCol w:w="2324"/>
        <w:gridCol w:w="1417"/>
        <w:gridCol w:w="1417"/>
        <w:gridCol w:w="2608"/>
      </w:tblGrid>
      <w:tr w14:paraId="48FACE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31" w:type="dxa"/>
            <w:tcBorders>
              <w:top w:val="single" w:color="222222" w:sz="12" w:space="0"/>
              <w:bottom w:val="single" w:color="222222" w:sz="6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702882E5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KPI</w:t>
            </w:r>
          </w:p>
        </w:tc>
        <w:tc>
          <w:tcPr>
            <w:tcW w:w="2324" w:type="dxa"/>
            <w:tcBorders>
              <w:top w:val="single" w:color="222222" w:sz="12" w:space="0"/>
              <w:bottom w:val="single" w:color="222222" w:sz="6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7E69F575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最佳传统 MAE</w:t>
            </w:r>
          </w:p>
        </w:tc>
        <w:tc>
          <w:tcPr>
            <w:tcW w:w="1417" w:type="dxa"/>
            <w:tcBorders>
              <w:top w:val="single" w:color="222222" w:sz="12" w:space="0"/>
              <w:bottom w:val="single" w:color="222222" w:sz="6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01D39EF9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GRU MAE</w:t>
            </w:r>
          </w:p>
        </w:tc>
        <w:tc>
          <w:tcPr>
            <w:tcW w:w="1417" w:type="dxa"/>
            <w:tcBorders>
              <w:top w:val="single" w:color="222222" w:sz="12" w:space="0"/>
              <w:bottom w:val="single" w:color="222222" w:sz="6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61E867DA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相对改善</w:t>
            </w:r>
          </w:p>
        </w:tc>
        <w:tc>
          <w:tcPr>
            <w:tcW w:w="2608" w:type="dxa"/>
            <w:tcBorders>
              <w:top w:val="single" w:color="222222" w:sz="12" w:space="0"/>
              <w:bottom w:val="single" w:color="222222" w:sz="6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5CF6225B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最优 RMSE 所属模型</w:t>
            </w:r>
          </w:p>
        </w:tc>
      </w:tr>
      <w:tr w14:paraId="010372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0996FAE2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DLPRB</w:t>
            </w:r>
          </w:p>
        </w:tc>
        <w:tc>
          <w:tcPr>
            <w:tcW w:w="2324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0AC69428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XGBoost 0.261817</w:t>
            </w:r>
          </w:p>
        </w:tc>
        <w:tc>
          <w:tcPr>
            <w:tcW w:w="1417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04EF018D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0.2456</w:t>
            </w:r>
          </w:p>
        </w:tc>
        <w:tc>
          <w:tcPr>
            <w:tcW w:w="1417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4B3003BC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6.19%</w:t>
            </w:r>
          </w:p>
        </w:tc>
        <w:tc>
          <w:tcPr>
            <w:tcW w:w="2608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73CE2FC7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GRU 0.4689</w:t>
            </w:r>
          </w:p>
        </w:tc>
      </w:tr>
      <w:tr w14:paraId="274246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56C41F8D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DLThpVol</w:t>
            </w:r>
          </w:p>
        </w:tc>
        <w:tc>
          <w:tcPr>
            <w:tcW w:w="2324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20AB0AFF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RF 0.207615</w:t>
            </w:r>
          </w:p>
        </w:tc>
        <w:tc>
          <w:tcPr>
            <w:tcW w:w="1417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77E381FC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0.2046</w:t>
            </w:r>
          </w:p>
        </w:tc>
        <w:tc>
          <w:tcPr>
            <w:tcW w:w="1417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717D0256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1.46%</w:t>
            </w:r>
          </w:p>
        </w:tc>
        <w:tc>
          <w:tcPr>
            <w:tcW w:w="2608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41769176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RF 0.460162</w:t>
            </w:r>
          </w:p>
        </w:tc>
      </w:tr>
      <w:tr w14:paraId="11B8DE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2097683A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DLThpTime</w:t>
            </w:r>
          </w:p>
        </w:tc>
        <w:tc>
          <w:tcPr>
            <w:tcW w:w="2324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12FA6ACC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XGBoost 0.243576</w:t>
            </w:r>
          </w:p>
        </w:tc>
        <w:tc>
          <w:tcPr>
            <w:tcW w:w="1417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64EDFD75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0.2298</w:t>
            </w:r>
          </w:p>
        </w:tc>
        <w:tc>
          <w:tcPr>
            <w:tcW w:w="1417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01FD0D06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5.66%</w:t>
            </w:r>
          </w:p>
        </w:tc>
        <w:tc>
          <w:tcPr>
            <w:tcW w:w="2608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4FF830B9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GRU 0.5134</w:t>
            </w:r>
          </w:p>
        </w:tc>
      </w:tr>
      <w:tr w14:paraId="6ACF1E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Borders>
              <w:bottom w:val="single" w:color="333333" w:sz="10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73D417C4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MR_number</w:t>
            </w:r>
          </w:p>
        </w:tc>
        <w:tc>
          <w:tcPr>
            <w:tcW w:w="2324" w:type="dxa"/>
            <w:tcBorders>
              <w:bottom w:val="single" w:color="333333" w:sz="10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26BE4838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XGBoost 0.224767</w:t>
            </w:r>
          </w:p>
        </w:tc>
        <w:tc>
          <w:tcPr>
            <w:tcW w:w="1417" w:type="dxa"/>
            <w:tcBorders>
              <w:bottom w:val="single" w:color="333333" w:sz="10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718E937D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0.2097</w:t>
            </w:r>
          </w:p>
        </w:tc>
        <w:tc>
          <w:tcPr>
            <w:tcW w:w="1417" w:type="dxa"/>
            <w:tcBorders>
              <w:bottom w:val="single" w:color="333333" w:sz="10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339237CF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6.71%</w:t>
            </w:r>
          </w:p>
        </w:tc>
        <w:tc>
          <w:tcPr>
            <w:tcW w:w="2608" w:type="dxa"/>
            <w:tcBorders>
              <w:bottom w:val="single" w:color="333333" w:sz="10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354203B0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GRU 0.3669</w:t>
            </w:r>
          </w:p>
        </w:tc>
      </w:tr>
    </w:tbl>
    <w:p w14:paraId="378C16AC">
      <w:pPr>
        <w:spacing w:after="20"/>
        <w:rPr>
          <w:rFonts w:hint="default" w:ascii="Times New Roman" w:hAnsi="Times New Roman" w:eastAsia="宋体" w:cs="Times New Roman"/>
          <w:i w:val="0"/>
          <w:iCs w:val="0"/>
        </w:rPr>
      </w:pPr>
    </w:p>
    <w:p w14:paraId="51346C27">
      <w:pPr>
        <w:spacing w:after="20"/>
        <w:ind w:firstLine="0"/>
        <w:jc w:val="center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i w:val="0"/>
          <w:iCs w:val="0"/>
        </w:rPr>
        <w:drawing>
          <wp:inline distT="0" distB="0" distL="114300" distR="114300">
            <wp:extent cx="5435600" cy="2312670"/>
            <wp:effectExtent l="0" t="0" r="508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36000" cy="2313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1FFD2">
      <w:pPr>
        <w:pStyle w:val="167"/>
        <w:keepNext w:val="0"/>
        <w:jc w:val="center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i w:val="0"/>
          <w:iCs w:val="0"/>
        </w:rPr>
        <w:t>图 3 传统 ML 各 KPI 最低 MAE 与 GRU 的留出集 MAE（依据 [R8–R10] 重绘）</w:t>
      </w:r>
    </w:p>
    <w:p w14:paraId="16A4DEFF">
      <w:pPr>
        <w:jc w:val="both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</w:rPr>
        <w:t>图 3 显示，在当前完整历史实验设置下，GRU 在四项 KPI 的 MAE 均低于相应的最佳传统模型，改善幅度分别为 6.19%、1.46%、5.66% 和 6.71%。但 RMSE 与 R² 不能省略：例如 DLThpVol 的 GRU MAE=0.2046 优于 RF 的 0.2076，而其 RMSE=0.4967 仍高于 RF 的 0.4602，R²=0.5517 低于 RF 的 0.6153。结论是按目标 KPI 与损失函数选型：重视典型绝对误差时 GRU 有优势，特别担心较大误差时 DLThpVol 更适合保留 RF。[R8–R10]</w:t>
      </w:r>
    </w:p>
    <w:p w14:paraId="11659629">
      <w:pPr>
        <w:pStyle w:val="4"/>
        <w:ind w:firstLine="0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i w:val="0"/>
          <w:iCs w:val="0"/>
        </w:rPr>
        <w:t>5.4 稳健性与计算开销分析</w:t>
      </w:r>
    </w:p>
    <w:p w14:paraId="1D004F5E">
      <w:pPr>
        <w:jc w:val="both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i w:val="0"/>
          <w:iCs w:val="0"/>
        </w:rPr>
        <w:t>传统模型三折扩展窗口验证中，RF 的 DLThpVol RMSE=1.0037±0.3413、XGBoost=1.0404±0.3423，跨折差异较大，显示性能对时间段敏感。HAC+Holm 检验中，DLPRB 的 XGBoost 与 RF 比较呈现 MAE 与平方误差方向不同的结果（MAE Holm p≈5.23×10⁻⁶ 倾向 XGBoost，MSE Holm p≈0.0235 倾向 RF）。[R8,R10]</w:t>
      </w:r>
    </w:p>
    <w:p w14:paraId="44742A7C">
      <w:pPr>
        <w:jc w:val="both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i w:val="0"/>
          <w:iCs w:val="0"/>
        </w:rPr>
        <w:t>传统 ML 单次主实验训练耗时记录：Linear Regression 每 KPI 约 0.43–0.44 s，LightGBM 约 3.97–4.78 s，XGBoost 约 13.07–16.65 s，Random Forest 约 21.15–25.99 s，Decision Tree 约 40.06–44.09 s。[R8]</w:t>
      </w:r>
    </w:p>
    <w:p w14:paraId="00DDD0F0">
      <w:pPr>
        <w:pStyle w:val="3"/>
        <w:ind w:firstLine="0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i w:val="0"/>
          <w:iCs w:val="0"/>
        </w:rPr>
        <w:t>6 异常检测与根因排查</w:t>
      </w:r>
    </w:p>
    <w:p w14:paraId="40C735C6">
      <w:pPr>
        <w:pStyle w:val="4"/>
        <w:ind w:firstLine="0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i w:val="0"/>
          <w:iCs w:val="0"/>
        </w:rPr>
        <w:t>6.1 检测目标与四类方法</w:t>
      </w:r>
    </w:p>
    <w:p w14:paraId="6C8EA8B0">
      <w:pPr>
        <w:jc w:val="both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i w:val="0"/>
          <w:iCs w:val="0"/>
        </w:rPr>
        <w:t>异常实验针对 Time 672–839 的 483,840 条 beam-hour 四维观测开展分布偏离筛选，拟合区间为 Time 0–671。统计方法以同一 beam 在训练期的历史分布计算阈值；多变量方法使用四种 KPI 当前标准化值与一阶差分共 8 个特征。[R11]</w:t>
      </w:r>
    </w:p>
    <w:p w14:paraId="37856701">
      <w:pPr>
        <w:pStyle w:val="166"/>
        <w:keepNext/>
        <w:ind w:firstLine="0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i w:val="0"/>
          <w:iCs w:val="0"/>
        </w:rPr>
        <w:t>表 11 异常算法设置与适用范围 [R11]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4479"/>
        <w:gridCol w:w="3118"/>
      </w:tblGrid>
      <w:tr w14:paraId="2CC295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1" w:type="dxa"/>
            <w:tcBorders>
              <w:top w:val="single" w:color="222222" w:sz="12" w:space="0"/>
              <w:bottom w:val="single" w:color="222222" w:sz="6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1D475AF4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方法</w:t>
            </w:r>
          </w:p>
        </w:tc>
        <w:tc>
          <w:tcPr>
            <w:tcW w:w="4479" w:type="dxa"/>
            <w:tcBorders>
              <w:top w:val="single" w:color="222222" w:sz="12" w:space="0"/>
              <w:bottom w:val="single" w:color="222222" w:sz="6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1D391EC9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关键参数或规则</w:t>
            </w:r>
          </w:p>
        </w:tc>
        <w:tc>
          <w:tcPr>
            <w:tcW w:w="3118" w:type="dxa"/>
            <w:tcBorders>
              <w:top w:val="single" w:color="222222" w:sz="12" w:space="0"/>
              <w:bottom w:val="single" w:color="222222" w:sz="6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03559565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训练/测试口径</w:t>
            </w:r>
          </w:p>
        </w:tc>
      </w:tr>
      <w:tr w14:paraId="0A0E9E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40DD0647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3σ</w:t>
            </w:r>
          </w:p>
        </w:tc>
        <w:tc>
          <w:tcPr>
            <w:tcW w:w="4479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65CE4FC9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各 beam 各 KPI：训练均值±3×标准差；任一越界即标记</w:t>
            </w:r>
          </w:p>
        </w:tc>
        <w:tc>
          <w:tcPr>
            <w:tcW w:w="3118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754651EC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训练 Time 0–671；测试全量</w:t>
            </w:r>
          </w:p>
        </w:tc>
      </w:tr>
      <w:tr w14:paraId="0D2DFC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5864082C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IQR</w:t>
            </w:r>
          </w:p>
        </w:tc>
        <w:tc>
          <w:tcPr>
            <w:tcW w:w="4479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559144A1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Q1−1.5×IQR / Q3+1.5×IQR；任一越界标记</w:t>
            </w:r>
          </w:p>
        </w:tc>
        <w:tc>
          <w:tcPr>
            <w:tcW w:w="3118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461902C2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训练 Time 0–671；测试全量</w:t>
            </w:r>
          </w:p>
        </w:tc>
      </w:tr>
      <w:tr w14:paraId="66823F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39614E24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Isolation Forest</w:t>
            </w:r>
          </w:p>
        </w:tc>
        <w:tc>
          <w:tcPr>
            <w:tcW w:w="4479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0904847B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n_estimators=150；max_samples=256；contamination=0.02</w:t>
            </w:r>
          </w:p>
        </w:tc>
        <w:tc>
          <w:tcPr>
            <w:tcW w:w="3118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3BA14E1B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随机训练 80,000；测试全量</w:t>
            </w:r>
          </w:p>
        </w:tc>
      </w:tr>
      <w:tr w14:paraId="103B11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348A150D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One-Class SVM</w:t>
            </w:r>
          </w:p>
        </w:tc>
        <w:tc>
          <w:tcPr>
            <w:tcW w:w="4479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67E3C061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RBF；nu=0.02；gamma=scale</w:t>
            </w:r>
          </w:p>
        </w:tc>
        <w:tc>
          <w:tcPr>
            <w:tcW w:w="3118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670B26CE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训练抽样 2,500；测试抽样 12,000</w:t>
            </w:r>
          </w:p>
        </w:tc>
      </w:tr>
      <w:tr w14:paraId="2DA43C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bottom w:val="single" w:color="333333" w:sz="10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16BF1D95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联合筛查</w:t>
            </w:r>
          </w:p>
        </w:tc>
        <w:tc>
          <w:tcPr>
            <w:tcW w:w="4479" w:type="dxa"/>
            <w:tcBorders>
              <w:bottom w:val="single" w:color="333333" w:sz="10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507F9EE7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IF AND (3σ OR IQR)</w:t>
            </w:r>
          </w:p>
        </w:tc>
        <w:tc>
          <w:tcPr>
            <w:tcW w:w="3118" w:type="dxa"/>
            <w:tcBorders>
              <w:bottom w:val="single" w:color="333333" w:sz="10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35710E0F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全量测试；SVM 不参与投票</w:t>
            </w:r>
          </w:p>
        </w:tc>
      </w:tr>
    </w:tbl>
    <w:p w14:paraId="5D3CDFAF">
      <w:pPr>
        <w:spacing w:after="20"/>
        <w:rPr>
          <w:rFonts w:hint="default" w:ascii="Times New Roman" w:hAnsi="Times New Roman" w:eastAsia="宋体" w:cs="Times New Roman"/>
          <w:i w:val="0"/>
          <w:iCs w:val="0"/>
        </w:rPr>
      </w:pPr>
    </w:p>
    <w:p w14:paraId="123ECC16">
      <w:pPr>
        <w:pStyle w:val="4"/>
        <w:ind w:firstLine="0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i w:val="0"/>
          <w:iCs w:val="0"/>
        </w:rPr>
        <w:t>6.2 检测结果与时间聚集</w:t>
      </w:r>
    </w:p>
    <w:p w14:paraId="059A4C18">
      <w:pPr>
        <w:pStyle w:val="166"/>
        <w:keepNext/>
        <w:ind w:firstLine="0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i w:val="0"/>
          <w:iCs w:val="0"/>
        </w:rPr>
        <w:t>表 12 异常标记统计与分母口径 [R11]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1"/>
        <w:gridCol w:w="1502"/>
        <w:gridCol w:w="1587"/>
        <w:gridCol w:w="1446"/>
        <w:gridCol w:w="2835"/>
      </w:tblGrid>
      <w:tr w14:paraId="2BF6FC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71" w:type="dxa"/>
            <w:tcBorders>
              <w:top w:val="single" w:color="222222" w:sz="12" w:space="0"/>
              <w:bottom w:val="single" w:color="222222" w:sz="6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3BBB23FB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算法</w:t>
            </w:r>
          </w:p>
        </w:tc>
        <w:tc>
          <w:tcPr>
            <w:tcW w:w="1502" w:type="dxa"/>
            <w:tcBorders>
              <w:top w:val="single" w:color="222222" w:sz="12" w:space="0"/>
              <w:bottom w:val="single" w:color="222222" w:sz="6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1C23844A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测试数量</w:t>
            </w:r>
          </w:p>
        </w:tc>
        <w:tc>
          <w:tcPr>
            <w:tcW w:w="1587" w:type="dxa"/>
            <w:tcBorders>
              <w:top w:val="single" w:color="222222" w:sz="12" w:space="0"/>
              <w:bottom w:val="single" w:color="222222" w:sz="6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1D3B6D1D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标记数量</w:t>
            </w:r>
          </w:p>
        </w:tc>
        <w:tc>
          <w:tcPr>
            <w:tcW w:w="1446" w:type="dxa"/>
            <w:tcBorders>
              <w:top w:val="single" w:color="222222" w:sz="12" w:space="0"/>
              <w:bottom w:val="single" w:color="222222" w:sz="6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42FCECAF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标记率</w:t>
            </w:r>
          </w:p>
        </w:tc>
        <w:tc>
          <w:tcPr>
            <w:tcW w:w="2835" w:type="dxa"/>
            <w:tcBorders>
              <w:top w:val="single" w:color="222222" w:sz="12" w:space="0"/>
              <w:bottom w:val="single" w:color="222222" w:sz="6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641E641B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说明</w:t>
            </w:r>
          </w:p>
        </w:tc>
      </w:tr>
      <w:tr w14:paraId="704AC6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7E54FCA4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3σ</w:t>
            </w:r>
          </w:p>
        </w:tc>
        <w:tc>
          <w:tcPr>
            <w:tcW w:w="1502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4DE4657E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483,840</w:t>
            </w:r>
          </w:p>
        </w:tc>
        <w:tc>
          <w:tcPr>
            <w:tcW w:w="1587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61551E2B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22,059</w:t>
            </w:r>
          </w:p>
        </w:tc>
        <w:tc>
          <w:tcPr>
            <w:tcW w:w="1446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4E596EE8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4.56%</w:t>
            </w:r>
          </w:p>
        </w:tc>
        <w:tc>
          <w:tcPr>
            <w:tcW w:w="2835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078DD58D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全量</w:t>
            </w:r>
          </w:p>
        </w:tc>
      </w:tr>
      <w:tr w14:paraId="6B6AAA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7A871FA3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IQR</w:t>
            </w:r>
          </w:p>
        </w:tc>
        <w:tc>
          <w:tcPr>
            <w:tcW w:w="1502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3C613857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483,840</w:t>
            </w:r>
          </w:p>
        </w:tc>
        <w:tc>
          <w:tcPr>
            <w:tcW w:w="1587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6E48BA9D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51,318</w:t>
            </w:r>
          </w:p>
        </w:tc>
        <w:tc>
          <w:tcPr>
            <w:tcW w:w="1446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3C74462F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10.61%</w:t>
            </w:r>
          </w:p>
        </w:tc>
        <w:tc>
          <w:tcPr>
            <w:tcW w:w="2835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291CFA57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全量</w:t>
            </w:r>
          </w:p>
        </w:tc>
      </w:tr>
      <w:tr w14:paraId="2B59A0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2A2A9D28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Isolation Forest</w:t>
            </w:r>
          </w:p>
        </w:tc>
        <w:tc>
          <w:tcPr>
            <w:tcW w:w="1502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3CA48B5C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483,840</w:t>
            </w:r>
          </w:p>
        </w:tc>
        <w:tc>
          <w:tcPr>
            <w:tcW w:w="1587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5A016AE8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9,900</w:t>
            </w:r>
          </w:p>
        </w:tc>
        <w:tc>
          <w:tcPr>
            <w:tcW w:w="1446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6A876F91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2.05%</w:t>
            </w:r>
          </w:p>
        </w:tc>
        <w:tc>
          <w:tcPr>
            <w:tcW w:w="2835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3D5A6B09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全量</w:t>
            </w:r>
          </w:p>
        </w:tc>
      </w:tr>
      <w:tr w14:paraId="164100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2C301784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One-Class SVM</w:t>
            </w:r>
          </w:p>
        </w:tc>
        <w:tc>
          <w:tcPr>
            <w:tcW w:w="1502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3A4B84CE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12,000</w:t>
            </w:r>
          </w:p>
        </w:tc>
        <w:tc>
          <w:tcPr>
            <w:tcW w:w="1587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57A34CEB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552</w:t>
            </w:r>
          </w:p>
        </w:tc>
        <w:tc>
          <w:tcPr>
            <w:tcW w:w="1446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61B1CCA9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4.60%</w:t>
            </w:r>
          </w:p>
        </w:tc>
        <w:tc>
          <w:tcPr>
            <w:tcW w:w="2835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0662E581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抽样，不可与全量计数并列排名</w:t>
            </w:r>
          </w:p>
        </w:tc>
      </w:tr>
      <w:tr w14:paraId="5B6E38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Borders>
              <w:bottom w:val="single" w:color="333333" w:sz="10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2B463B57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联合规则</w:t>
            </w:r>
          </w:p>
        </w:tc>
        <w:tc>
          <w:tcPr>
            <w:tcW w:w="1502" w:type="dxa"/>
            <w:tcBorders>
              <w:bottom w:val="single" w:color="333333" w:sz="10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6325020B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483,840</w:t>
            </w:r>
          </w:p>
        </w:tc>
        <w:tc>
          <w:tcPr>
            <w:tcW w:w="1587" w:type="dxa"/>
            <w:tcBorders>
              <w:bottom w:val="single" w:color="333333" w:sz="10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4A1FE84C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3,165</w:t>
            </w:r>
          </w:p>
        </w:tc>
        <w:tc>
          <w:tcPr>
            <w:tcW w:w="1446" w:type="dxa"/>
            <w:tcBorders>
              <w:bottom w:val="single" w:color="333333" w:sz="10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029CBFF9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0.654%</w:t>
            </w:r>
          </w:p>
        </w:tc>
        <w:tc>
          <w:tcPr>
            <w:tcW w:w="2835" w:type="dxa"/>
            <w:tcBorders>
              <w:bottom w:val="single" w:color="333333" w:sz="10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38EB5897">
            <w:pPr>
              <w:keepLines w:val="0"/>
              <w:widowControl/>
              <w:bidi w:val="0"/>
              <w:spacing w:before="0" w:after="8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  <w:t>全量，优先核查候选</w:t>
            </w:r>
          </w:p>
        </w:tc>
      </w:tr>
    </w:tbl>
    <w:p w14:paraId="21C45908">
      <w:pPr>
        <w:spacing w:after="20"/>
        <w:rPr>
          <w:rFonts w:hint="default" w:ascii="Times New Roman" w:hAnsi="Times New Roman" w:eastAsia="宋体" w:cs="Times New Roman"/>
          <w:i w:val="0"/>
          <w:iCs w:val="0"/>
        </w:rPr>
      </w:pPr>
    </w:p>
    <w:p w14:paraId="1C96F2A6">
      <w:pPr>
        <w:spacing w:after="20"/>
        <w:ind w:firstLine="0"/>
        <w:jc w:val="center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i w:val="0"/>
          <w:iCs w:val="0"/>
        </w:rPr>
        <w:drawing>
          <wp:inline distT="0" distB="0" distL="114300" distR="114300">
            <wp:extent cx="5183505" cy="2414270"/>
            <wp:effectExtent l="0" t="0" r="13335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241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8A70F">
      <w:pPr>
        <w:pStyle w:val="167"/>
        <w:keepNext w:val="0"/>
        <w:jc w:val="center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i w:val="0"/>
          <w:iCs w:val="0"/>
        </w:rPr>
        <w:t>图 4 异常标记比例比较（SVM 分母为抽样测试集；依据 [R11] 重绘）</w:t>
      </w:r>
    </w:p>
    <w:p w14:paraId="2BC51C9A">
      <w:pPr>
        <w:jc w:val="both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</w:rPr>
        <w:t>图 4 的全量测试对比显示，IQR 标记 51,318 条（10.61%），3σ 标记 22,059 条（4.56%），Isolation Forest 标记 9,900 条（2.05%）。IQR 标记率约是 3σ 的 2.33 倍；这一差异在后续逐 beam 分布诊断中得到进一步分析。One-Class SVM 的 4.60% 来自 12,000 条抽样测试记录，应保留独立分母。联合规则筛出 3,165 条候选（0.654%），供后续优先排查。[R11,R14]</w:t>
      </w:r>
    </w:p>
    <w:p w14:paraId="56749F9A">
      <w:pPr>
        <w:spacing w:after="20"/>
        <w:ind w:firstLine="0"/>
        <w:jc w:val="center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i w:val="0"/>
          <w:iCs w:val="0"/>
        </w:rPr>
        <w:drawing>
          <wp:inline distT="0" distB="0" distL="114300" distR="114300">
            <wp:extent cx="5183505" cy="2129155"/>
            <wp:effectExtent l="0" t="0" r="13335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212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C7B88">
      <w:pPr>
        <w:pStyle w:val="167"/>
        <w:keepNext w:val="0"/>
        <w:jc w:val="center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i w:val="0"/>
          <w:iCs w:val="0"/>
        </w:rPr>
        <w:t>图 5 联合异常候选数最高的测试时间索引（依据 [R11] 重绘）</w:t>
      </w:r>
    </w:p>
    <w:p w14:paraId="2ED2A712">
      <w:pPr>
        <w:jc w:val="both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i w:val="0"/>
          <w:iCs w:val="0"/>
        </w:rPr>
        <w:t>Time 692 有 71 个候选、715 和 739 各 68 个、691 为 66 个，740 和 836 各 61 个，835 为 60 个，763 为 53 个。691–692、739–740、835–836 等相邻时间点的候选聚集，可作为时域排查线索。[R11]</w:t>
      </w:r>
    </w:p>
    <w:p w14:paraId="36DFCB00">
      <w:pPr>
        <w:pStyle w:val="5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6.2.1 标记率差异的分布诊断</w:t>
      </w:r>
    </w:p>
    <w:p w14:paraId="6B35F898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为解释 IQR 标记率高于 3σ 的原因，对全部 2,880 个波束分别计算训练区间四项 KPI 的偏度、超额峰度、IQR，并统计每项 KPI 在 483,840 条测试记录上的触发比例。IQR 常用的 1.5×IQR 围栏通常比高斯分布的均值±3σ 更窄；实际数据又显著偏离对称轻尾分布，因此两种阈值对极端点的敏感性不同。[R14,R15]</w:t>
      </w:r>
    </w:p>
    <w:p w14:paraId="3ADE2B64">
      <w:pPr>
        <w:pStyle w:val="166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表 12-1 逐波束训练分布形态与逐 KPI 检测率（正式历史实验）[R14]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1"/>
        <w:gridCol w:w="1891"/>
        <w:gridCol w:w="1891"/>
        <w:gridCol w:w="1891"/>
        <w:gridCol w:w="1891"/>
      </w:tblGrid>
      <w:tr w14:paraId="343011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91" w:type="dxa"/>
            <w:shd w:val="clear" w:color="auto" w:fill="17395D"/>
            <w:vAlign w:val="center"/>
          </w:tcPr>
          <w:p w14:paraId="73328F7E">
            <w:pPr>
              <w:spacing w:before="20" w:after="2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6"/>
              </w:rPr>
              <w:t>KPI</w:t>
            </w:r>
          </w:p>
        </w:tc>
        <w:tc>
          <w:tcPr>
            <w:tcW w:w="1891" w:type="dxa"/>
            <w:shd w:val="clear" w:color="auto" w:fill="17395D"/>
            <w:vAlign w:val="center"/>
          </w:tcPr>
          <w:p w14:paraId="70CA82B0">
            <w:pPr>
              <w:spacing w:before="20" w:after="2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6"/>
              </w:rPr>
              <w:t>|偏度|&gt;1 的波束</w:t>
            </w:r>
          </w:p>
        </w:tc>
        <w:tc>
          <w:tcPr>
            <w:tcW w:w="1891" w:type="dxa"/>
            <w:shd w:val="clear" w:color="auto" w:fill="17395D"/>
            <w:vAlign w:val="center"/>
          </w:tcPr>
          <w:p w14:paraId="7D25A42B">
            <w:pPr>
              <w:spacing w:before="20" w:after="2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6"/>
              </w:rPr>
              <w:t>超额峰度&gt;3 的波束</w:t>
            </w:r>
          </w:p>
        </w:tc>
        <w:tc>
          <w:tcPr>
            <w:tcW w:w="1891" w:type="dxa"/>
            <w:shd w:val="clear" w:color="auto" w:fill="17395D"/>
            <w:vAlign w:val="center"/>
          </w:tcPr>
          <w:p w14:paraId="1DC18C53">
            <w:pPr>
              <w:spacing w:before="20" w:after="2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6"/>
              </w:rPr>
              <w:t>3σ 标记率</w:t>
            </w:r>
          </w:p>
        </w:tc>
        <w:tc>
          <w:tcPr>
            <w:tcW w:w="1891" w:type="dxa"/>
            <w:shd w:val="clear" w:color="auto" w:fill="17395D"/>
            <w:vAlign w:val="center"/>
          </w:tcPr>
          <w:p w14:paraId="67D271F5">
            <w:pPr>
              <w:spacing w:before="20" w:after="2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6"/>
              </w:rPr>
              <w:t>IQR 标记率</w:t>
            </w:r>
          </w:p>
        </w:tc>
      </w:tr>
      <w:tr w14:paraId="3A0D0C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91" w:type="dxa"/>
            <w:vAlign w:val="center"/>
          </w:tcPr>
          <w:p w14:paraId="3CC41E13">
            <w:pPr>
              <w:spacing w:before="20" w:after="2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DLPRB</w:t>
            </w:r>
          </w:p>
        </w:tc>
        <w:tc>
          <w:tcPr>
            <w:tcW w:w="1891" w:type="dxa"/>
            <w:vAlign w:val="center"/>
          </w:tcPr>
          <w:p w14:paraId="3C008492">
            <w:pPr>
              <w:spacing w:before="20" w:after="2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86.2%</w:t>
            </w:r>
          </w:p>
        </w:tc>
        <w:tc>
          <w:tcPr>
            <w:tcW w:w="1891" w:type="dxa"/>
            <w:vAlign w:val="center"/>
          </w:tcPr>
          <w:p w14:paraId="5A48F4EC">
            <w:pPr>
              <w:spacing w:before="20" w:after="2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59.8%</w:t>
            </w:r>
          </w:p>
        </w:tc>
        <w:tc>
          <w:tcPr>
            <w:tcW w:w="1891" w:type="dxa"/>
            <w:vAlign w:val="center"/>
          </w:tcPr>
          <w:p w14:paraId="4AAAA417">
            <w:pPr>
              <w:spacing w:before="20" w:after="2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1.77%</w:t>
            </w:r>
          </w:p>
        </w:tc>
        <w:tc>
          <w:tcPr>
            <w:tcW w:w="1891" w:type="dxa"/>
            <w:vAlign w:val="center"/>
          </w:tcPr>
          <w:p w14:paraId="34BAD815">
            <w:pPr>
              <w:spacing w:before="20" w:after="2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4.13%</w:t>
            </w:r>
          </w:p>
        </w:tc>
      </w:tr>
      <w:tr w14:paraId="29B03F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91" w:type="dxa"/>
            <w:vAlign w:val="center"/>
          </w:tcPr>
          <w:p w14:paraId="4FF2B407">
            <w:pPr>
              <w:spacing w:before="20" w:after="2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DLThpVol</w:t>
            </w:r>
          </w:p>
        </w:tc>
        <w:tc>
          <w:tcPr>
            <w:tcW w:w="1891" w:type="dxa"/>
            <w:vAlign w:val="center"/>
          </w:tcPr>
          <w:p w14:paraId="75EFDBBB">
            <w:pPr>
              <w:spacing w:before="20" w:after="2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98.3%</w:t>
            </w:r>
          </w:p>
        </w:tc>
        <w:tc>
          <w:tcPr>
            <w:tcW w:w="1891" w:type="dxa"/>
            <w:vAlign w:val="center"/>
          </w:tcPr>
          <w:p w14:paraId="295155CF">
            <w:pPr>
              <w:spacing w:before="20" w:after="2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75.5%</w:t>
            </w:r>
          </w:p>
        </w:tc>
        <w:tc>
          <w:tcPr>
            <w:tcW w:w="1891" w:type="dxa"/>
            <w:vAlign w:val="center"/>
          </w:tcPr>
          <w:p w14:paraId="7117D2DB">
            <w:pPr>
              <w:spacing w:before="20" w:after="2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1.60%</w:t>
            </w:r>
          </w:p>
        </w:tc>
        <w:tc>
          <w:tcPr>
            <w:tcW w:w="1891" w:type="dxa"/>
            <w:vAlign w:val="center"/>
          </w:tcPr>
          <w:p w14:paraId="7845EBC5">
            <w:pPr>
              <w:spacing w:before="20" w:after="2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4.59%</w:t>
            </w:r>
          </w:p>
        </w:tc>
      </w:tr>
      <w:tr w14:paraId="34F2DE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91" w:type="dxa"/>
            <w:vAlign w:val="center"/>
          </w:tcPr>
          <w:p w14:paraId="71C35CC7">
            <w:pPr>
              <w:spacing w:before="20" w:after="2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DLThpTime</w:t>
            </w:r>
          </w:p>
        </w:tc>
        <w:tc>
          <w:tcPr>
            <w:tcW w:w="1891" w:type="dxa"/>
            <w:vAlign w:val="center"/>
          </w:tcPr>
          <w:p w14:paraId="21D19E83">
            <w:pPr>
              <w:spacing w:before="20" w:after="2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96.6%</w:t>
            </w:r>
          </w:p>
        </w:tc>
        <w:tc>
          <w:tcPr>
            <w:tcW w:w="1891" w:type="dxa"/>
            <w:vAlign w:val="center"/>
          </w:tcPr>
          <w:p w14:paraId="060299EA">
            <w:pPr>
              <w:spacing w:before="20" w:after="2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76.1%</w:t>
            </w:r>
          </w:p>
        </w:tc>
        <w:tc>
          <w:tcPr>
            <w:tcW w:w="1891" w:type="dxa"/>
            <w:vAlign w:val="center"/>
          </w:tcPr>
          <w:p w14:paraId="62E142A9">
            <w:pPr>
              <w:spacing w:before="20" w:after="2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1.85%</w:t>
            </w:r>
          </w:p>
        </w:tc>
        <w:tc>
          <w:tcPr>
            <w:tcW w:w="1891" w:type="dxa"/>
            <w:vAlign w:val="center"/>
          </w:tcPr>
          <w:p w14:paraId="201994B7">
            <w:pPr>
              <w:spacing w:before="20" w:after="2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4.87%</w:t>
            </w:r>
          </w:p>
        </w:tc>
      </w:tr>
      <w:tr w14:paraId="79FCCD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91" w:type="dxa"/>
            <w:vAlign w:val="center"/>
          </w:tcPr>
          <w:p w14:paraId="4BEC5B43">
            <w:pPr>
              <w:spacing w:before="20" w:after="2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MR_number</w:t>
            </w:r>
          </w:p>
        </w:tc>
        <w:tc>
          <w:tcPr>
            <w:tcW w:w="1891" w:type="dxa"/>
            <w:vAlign w:val="center"/>
          </w:tcPr>
          <w:p w14:paraId="11645DD1">
            <w:pPr>
              <w:spacing w:before="20" w:after="2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59.8%</w:t>
            </w:r>
          </w:p>
        </w:tc>
        <w:tc>
          <w:tcPr>
            <w:tcW w:w="1891" w:type="dxa"/>
            <w:vAlign w:val="center"/>
          </w:tcPr>
          <w:p w14:paraId="2BB6F615">
            <w:pPr>
              <w:spacing w:before="20" w:after="2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21.8%</w:t>
            </w:r>
          </w:p>
        </w:tc>
        <w:tc>
          <w:tcPr>
            <w:tcW w:w="1891" w:type="dxa"/>
            <w:vAlign w:val="center"/>
          </w:tcPr>
          <w:p w14:paraId="155A9BC7">
            <w:pPr>
              <w:spacing w:before="20" w:after="2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1.39%</w:t>
            </w:r>
          </w:p>
        </w:tc>
        <w:tc>
          <w:tcPr>
            <w:tcW w:w="1891" w:type="dxa"/>
            <w:vAlign w:val="center"/>
          </w:tcPr>
          <w:p w14:paraId="0A6D760B">
            <w:pPr>
              <w:spacing w:before="20" w:after="2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2.76%</w:t>
            </w:r>
          </w:p>
        </w:tc>
      </w:tr>
    </w:tbl>
    <w:p w14:paraId="3C797DD8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统计证据：DLThpVol、DLThpTime 的训练分布中，超过 96% 的波束具有 |偏度|&gt;1，超过 75% 的波束具有超额峰度&gt;3；在四项 KPI 上，IQR 的逐指标触发率均高于 3σ，且没有波束出现 IQR 为零的退化分布（fallback=0）。这说明阈值宽度及显著偏态、厚尾共同构成较合理的解释。[R14,R15]</w:t>
      </w:r>
    </w:p>
    <w:p w14:paraId="26EEF1EF">
      <w:pPr>
        <w:pStyle w:val="5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6.2.2 AND/OR 逻辑组合与共识规则选择</w:t>
      </w:r>
    </w:p>
    <w:p w14:paraId="52FA34A7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记 A 为 Isolation Forest 标记，B 为 3σ 标记，C 为 IQR 标记。系统采用 A∩(B∪C)：要求多变量异常检测与至少一项逐波束统计阈值同时触发。与直接 OR 合并相比，该规则显著缩小审查集合；与 A∩B∩C 相比，它又不要求两个统计阈值完全一致。以下组合均在相同的 483,840 条完整测试记录上评估，One-Class SVM 因抽样协议不同不参与共识投票。[R14]</w:t>
      </w:r>
    </w:p>
    <w:p w14:paraId="6A72B331">
      <w:pPr>
        <w:pStyle w:val="166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表 12-2 不同 AND/OR 共识策略的候选集合规模 [R14]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64"/>
        <w:gridCol w:w="2364"/>
        <w:gridCol w:w="2364"/>
        <w:gridCol w:w="2364"/>
      </w:tblGrid>
      <w:tr w14:paraId="0F1448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64" w:type="dxa"/>
            <w:shd w:val="clear" w:color="auto" w:fill="17395D"/>
            <w:vAlign w:val="center"/>
          </w:tcPr>
          <w:p w14:paraId="562262FA">
            <w:pPr>
              <w:spacing w:before="20" w:after="2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6"/>
              </w:rPr>
              <w:t>筛选逻辑</w:t>
            </w:r>
          </w:p>
        </w:tc>
        <w:tc>
          <w:tcPr>
            <w:tcW w:w="2364" w:type="dxa"/>
            <w:shd w:val="clear" w:color="auto" w:fill="17395D"/>
            <w:vAlign w:val="center"/>
          </w:tcPr>
          <w:p w14:paraId="7239D697">
            <w:pPr>
              <w:spacing w:before="20" w:after="2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6"/>
              </w:rPr>
              <w:t>候选数量 / 483,840</w:t>
            </w:r>
          </w:p>
        </w:tc>
        <w:tc>
          <w:tcPr>
            <w:tcW w:w="2364" w:type="dxa"/>
            <w:shd w:val="clear" w:color="auto" w:fill="17395D"/>
            <w:vAlign w:val="center"/>
          </w:tcPr>
          <w:p w14:paraId="07202494">
            <w:pPr>
              <w:spacing w:before="20" w:after="2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6"/>
              </w:rPr>
              <w:t>标记率</w:t>
            </w:r>
          </w:p>
        </w:tc>
        <w:tc>
          <w:tcPr>
            <w:tcW w:w="2364" w:type="dxa"/>
            <w:shd w:val="clear" w:color="auto" w:fill="17395D"/>
            <w:vAlign w:val="center"/>
          </w:tcPr>
          <w:p w14:paraId="74FECBEC">
            <w:pPr>
              <w:spacing w:before="20" w:after="2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6"/>
              </w:rPr>
              <w:t>规则含义</w:t>
            </w:r>
          </w:p>
        </w:tc>
      </w:tr>
      <w:tr w14:paraId="0E1227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64" w:type="dxa"/>
            <w:vAlign w:val="center"/>
          </w:tcPr>
          <w:p w14:paraId="33FE59AD">
            <w:pPr>
              <w:spacing w:before="20" w:after="2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3σ OR IQR</w:t>
            </w:r>
          </w:p>
        </w:tc>
        <w:tc>
          <w:tcPr>
            <w:tcW w:w="2364" w:type="dxa"/>
            <w:vAlign w:val="center"/>
          </w:tcPr>
          <w:p w14:paraId="67DCA3AA">
            <w:pPr>
              <w:spacing w:before="20" w:after="2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51,373</w:t>
            </w:r>
          </w:p>
        </w:tc>
        <w:tc>
          <w:tcPr>
            <w:tcW w:w="2364" w:type="dxa"/>
            <w:vAlign w:val="center"/>
          </w:tcPr>
          <w:p w14:paraId="4C0BCE4E">
            <w:pPr>
              <w:spacing w:before="20" w:after="2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10.62%</w:t>
            </w:r>
          </w:p>
        </w:tc>
        <w:tc>
          <w:tcPr>
            <w:tcW w:w="2364" w:type="dxa"/>
            <w:vAlign w:val="center"/>
          </w:tcPr>
          <w:p w14:paraId="79BD3A8D">
            <w:pPr>
              <w:spacing w:before="20" w:after="2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只需任一种统计阈值触发</w:t>
            </w:r>
          </w:p>
        </w:tc>
      </w:tr>
      <w:tr w14:paraId="0750E2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64" w:type="dxa"/>
            <w:vAlign w:val="center"/>
          </w:tcPr>
          <w:p w14:paraId="6FF04292">
            <w:pPr>
              <w:spacing w:before="20" w:after="2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3σ AND IQR</w:t>
            </w:r>
          </w:p>
        </w:tc>
        <w:tc>
          <w:tcPr>
            <w:tcW w:w="2364" w:type="dxa"/>
            <w:vAlign w:val="center"/>
          </w:tcPr>
          <w:p w14:paraId="5F3EFCCA">
            <w:pPr>
              <w:spacing w:before="20" w:after="2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22,004</w:t>
            </w:r>
          </w:p>
        </w:tc>
        <w:tc>
          <w:tcPr>
            <w:tcW w:w="2364" w:type="dxa"/>
            <w:vAlign w:val="center"/>
          </w:tcPr>
          <w:p w14:paraId="718AFBE3">
            <w:pPr>
              <w:spacing w:before="20" w:after="2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4.55%</w:t>
            </w:r>
          </w:p>
        </w:tc>
        <w:tc>
          <w:tcPr>
            <w:tcW w:w="2364" w:type="dxa"/>
            <w:vAlign w:val="center"/>
          </w:tcPr>
          <w:p w14:paraId="61FE0EEF">
            <w:pPr>
              <w:spacing w:before="20" w:after="2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两种统计阈值均触发</w:t>
            </w:r>
          </w:p>
        </w:tc>
      </w:tr>
      <w:tr w14:paraId="0FC089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64" w:type="dxa"/>
            <w:vAlign w:val="center"/>
          </w:tcPr>
          <w:p w14:paraId="30F0E889">
            <w:pPr>
              <w:spacing w:before="20" w:after="2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IF AND 3σ</w:t>
            </w:r>
          </w:p>
        </w:tc>
        <w:tc>
          <w:tcPr>
            <w:tcW w:w="2364" w:type="dxa"/>
            <w:vAlign w:val="center"/>
          </w:tcPr>
          <w:p w14:paraId="5C34E3F2">
            <w:pPr>
              <w:spacing w:before="20" w:after="2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2,080</w:t>
            </w:r>
          </w:p>
        </w:tc>
        <w:tc>
          <w:tcPr>
            <w:tcW w:w="2364" w:type="dxa"/>
            <w:vAlign w:val="center"/>
          </w:tcPr>
          <w:p w14:paraId="13648759">
            <w:pPr>
              <w:spacing w:before="20" w:after="2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0.43%</w:t>
            </w:r>
          </w:p>
        </w:tc>
        <w:tc>
          <w:tcPr>
            <w:tcW w:w="2364" w:type="dxa"/>
            <w:vAlign w:val="center"/>
          </w:tcPr>
          <w:p w14:paraId="7DDD916F">
            <w:pPr>
              <w:spacing w:before="20" w:after="2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IF 与 3σ 同时触发</w:t>
            </w:r>
          </w:p>
        </w:tc>
      </w:tr>
      <w:tr w14:paraId="698234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64" w:type="dxa"/>
            <w:vAlign w:val="center"/>
          </w:tcPr>
          <w:p w14:paraId="2D125F64">
            <w:pPr>
              <w:spacing w:before="20" w:after="2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IF AND IQR</w:t>
            </w:r>
          </w:p>
        </w:tc>
        <w:tc>
          <w:tcPr>
            <w:tcW w:w="2364" w:type="dxa"/>
            <w:vAlign w:val="center"/>
          </w:tcPr>
          <w:p w14:paraId="18F357E7">
            <w:pPr>
              <w:spacing w:before="20" w:after="2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3,159</w:t>
            </w:r>
          </w:p>
        </w:tc>
        <w:tc>
          <w:tcPr>
            <w:tcW w:w="2364" w:type="dxa"/>
            <w:vAlign w:val="center"/>
          </w:tcPr>
          <w:p w14:paraId="776756AB">
            <w:pPr>
              <w:spacing w:before="20" w:after="2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0.65%</w:t>
            </w:r>
          </w:p>
        </w:tc>
        <w:tc>
          <w:tcPr>
            <w:tcW w:w="2364" w:type="dxa"/>
            <w:vAlign w:val="center"/>
          </w:tcPr>
          <w:p w14:paraId="1A96035D">
            <w:pPr>
              <w:spacing w:before="20" w:after="2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IF 与 IQR 同时触发</w:t>
            </w:r>
          </w:p>
        </w:tc>
      </w:tr>
      <w:tr w14:paraId="4D9650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64" w:type="dxa"/>
            <w:vAlign w:val="center"/>
          </w:tcPr>
          <w:p w14:paraId="47BCCA84">
            <w:pPr>
              <w:spacing w:before="20" w:after="2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IF AND (3σ OR IQR)</w:t>
            </w:r>
          </w:p>
        </w:tc>
        <w:tc>
          <w:tcPr>
            <w:tcW w:w="2364" w:type="dxa"/>
            <w:vAlign w:val="center"/>
          </w:tcPr>
          <w:p w14:paraId="486FDDA7">
            <w:pPr>
              <w:spacing w:before="20" w:after="2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3,165</w:t>
            </w:r>
          </w:p>
        </w:tc>
        <w:tc>
          <w:tcPr>
            <w:tcW w:w="2364" w:type="dxa"/>
            <w:vAlign w:val="center"/>
          </w:tcPr>
          <w:p w14:paraId="4809280A">
            <w:pPr>
              <w:spacing w:before="20" w:after="2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0.654%</w:t>
            </w:r>
          </w:p>
        </w:tc>
        <w:tc>
          <w:tcPr>
            <w:tcW w:w="2364" w:type="dxa"/>
            <w:vAlign w:val="center"/>
          </w:tcPr>
          <w:p w14:paraId="0C347DAA">
            <w:pPr>
              <w:spacing w:before="20" w:after="2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最终采用：多变量与统计信号交叉确认</w:t>
            </w:r>
          </w:p>
        </w:tc>
      </w:tr>
      <w:tr w14:paraId="433A14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64" w:type="dxa"/>
            <w:vAlign w:val="center"/>
          </w:tcPr>
          <w:p w14:paraId="310D131B">
            <w:pPr>
              <w:spacing w:before="20" w:after="2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IF AND 3σ AND IQR</w:t>
            </w:r>
          </w:p>
        </w:tc>
        <w:tc>
          <w:tcPr>
            <w:tcW w:w="2364" w:type="dxa"/>
            <w:vAlign w:val="center"/>
          </w:tcPr>
          <w:p w14:paraId="2B89E6B2">
            <w:pPr>
              <w:spacing w:before="20" w:after="2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2,074</w:t>
            </w:r>
          </w:p>
        </w:tc>
        <w:tc>
          <w:tcPr>
            <w:tcW w:w="2364" w:type="dxa"/>
            <w:vAlign w:val="center"/>
          </w:tcPr>
          <w:p w14:paraId="1E66FFC7">
            <w:pPr>
              <w:spacing w:before="20" w:after="2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0.43%</w:t>
            </w:r>
          </w:p>
        </w:tc>
        <w:tc>
          <w:tcPr>
            <w:tcW w:w="2364" w:type="dxa"/>
            <w:vAlign w:val="center"/>
          </w:tcPr>
          <w:p w14:paraId="0A495F64">
            <w:pPr>
              <w:spacing w:before="20" w:after="2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全部三种方法必须同时触发</w:t>
            </w:r>
          </w:p>
        </w:tc>
      </w:tr>
      <w:tr w14:paraId="70F6B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64" w:type="dxa"/>
            <w:vAlign w:val="center"/>
          </w:tcPr>
          <w:p w14:paraId="30B897C8">
            <w:pPr>
              <w:spacing w:before="20" w:after="2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IF OR 3σ OR IQR</w:t>
            </w:r>
          </w:p>
        </w:tc>
        <w:tc>
          <w:tcPr>
            <w:tcW w:w="2364" w:type="dxa"/>
            <w:vAlign w:val="center"/>
          </w:tcPr>
          <w:p w14:paraId="26966BBC">
            <w:pPr>
              <w:spacing w:before="20" w:after="2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58,108</w:t>
            </w:r>
          </w:p>
        </w:tc>
        <w:tc>
          <w:tcPr>
            <w:tcW w:w="2364" w:type="dxa"/>
            <w:vAlign w:val="center"/>
          </w:tcPr>
          <w:p w14:paraId="62A3661E">
            <w:pPr>
              <w:spacing w:before="20" w:after="2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12.01%</w:t>
            </w:r>
          </w:p>
        </w:tc>
        <w:tc>
          <w:tcPr>
            <w:tcW w:w="2364" w:type="dxa"/>
            <w:vAlign w:val="center"/>
          </w:tcPr>
          <w:p w14:paraId="3F8C9248">
            <w:pPr>
              <w:spacing w:before="20" w:after="2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任一方法触发即可入选</w:t>
            </w:r>
          </w:p>
        </w:tc>
      </w:tr>
    </w:tbl>
    <w:p w14:paraId="4318784D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选择理由：纯 OR 产生 58,108 条，审核范围较宽；最严格的三者 AND 仅 2,074 条，可能排除某些被 IF 与单一统计规则共同识别的变化。最终选择的 3,165 条属于便于人工排查的折中集合。它可以解释算法间的交集、并集关系，但在没有真实故障真值的情况下，不能直接由候选数判断精确率、召回率或误报率。[R14]</w:t>
      </w:r>
    </w:p>
    <w:p w14:paraId="6271BF0F">
      <w:pPr>
        <w:pStyle w:val="4"/>
        <w:ind w:firstLine="0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i w:val="0"/>
          <w:iCs w:val="0"/>
        </w:rPr>
        <w:t>6.3 异常候选间的 KPI 相关性</w:t>
      </w:r>
    </w:p>
    <w:p w14:paraId="25043E16">
      <w:pPr>
        <w:jc w:val="both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</w:rPr>
        <w:t>相关性计算使用正式历史实验全部 3,165 条联合异常候选 beam-hour，覆盖 30 个基站。图 6 给出四项 KPI 的 Pearson 相关系数，其中 DLPRB 与 MR_number 为 r=0.889，DLPRB 与 DLThpTime 为 r=0.697，DLThpVol 与 DLThpTime 为 r=0.680。由于同一基站内部观测存在依赖，统计检验以基站作为聚类单位：使用聚类稳健标准误检验零回归斜率，六组比较采用 Holm 调整；相关系数的区间则用基站层面的 bootstrap 估计。检验对象与置信区间估计方法必须分别说明。[R12,R14,R16]</w:t>
      </w:r>
    </w:p>
    <w:p w14:paraId="51829EDC">
      <w:pPr>
        <w:spacing w:after="20"/>
        <w:ind w:firstLine="0"/>
        <w:jc w:val="center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i w:val="0"/>
          <w:iCs w:val="0"/>
        </w:rPr>
        <w:drawing>
          <wp:inline distT="0" distB="0" distL="114300" distR="114300">
            <wp:extent cx="4463415" cy="3503930"/>
            <wp:effectExtent l="0" t="0" r="1905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64000" cy="3504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63DE7">
      <w:pPr>
        <w:pStyle w:val="167"/>
        <w:keepNext w:val="0"/>
        <w:jc w:val="center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i w:val="0"/>
          <w:iCs w:val="0"/>
        </w:rPr>
        <w:t>图 6 联合异常候选的 KPI Pearson 相关矩阵（据 [R12] 数值重绘）</w:t>
      </w:r>
    </w:p>
    <w:p w14:paraId="7D71B3DE">
      <w:pPr>
        <w:pStyle w:val="166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表 12-3 候选 KPI 相关性、有效样本量与聚类稳健显著性 [R16]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64"/>
        <w:gridCol w:w="2364"/>
        <w:gridCol w:w="2364"/>
        <w:gridCol w:w="2364"/>
      </w:tblGrid>
      <w:tr w14:paraId="55968C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64" w:type="dxa"/>
            <w:shd w:val="clear" w:color="auto" w:fill="17395D"/>
            <w:vAlign w:val="center"/>
          </w:tcPr>
          <w:p w14:paraId="28B8A1AA">
            <w:pPr>
              <w:spacing w:before="20" w:after="2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6"/>
              </w:rPr>
              <w:t>KPI 组合</w:t>
            </w:r>
          </w:p>
        </w:tc>
        <w:tc>
          <w:tcPr>
            <w:tcW w:w="2364" w:type="dxa"/>
            <w:shd w:val="clear" w:color="auto" w:fill="17395D"/>
            <w:vAlign w:val="center"/>
          </w:tcPr>
          <w:p w14:paraId="0C3D19B0">
            <w:pPr>
              <w:spacing w:before="20" w:after="2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6"/>
              </w:rPr>
              <w:t>Pearson r</w:t>
            </w:r>
          </w:p>
        </w:tc>
        <w:tc>
          <w:tcPr>
            <w:tcW w:w="2364" w:type="dxa"/>
            <w:shd w:val="clear" w:color="auto" w:fill="17395D"/>
            <w:vAlign w:val="center"/>
          </w:tcPr>
          <w:p w14:paraId="5CE1EE3E">
            <w:pPr>
              <w:spacing w:before="20" w:after="2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6"/>
              </w:rPr>
              <w:t>基站 bootstrap 95% CI</w:t>
            </w:r>
          </w:p>
        </w:tc>
        <w:tc>
          <w:tcPr>
            <w:tcW w:w="2364" w:type="dxa"/>
            <w:shd w:val="clear" w:color="auto" w:fill="17395D"/>
            <w:vAlign w:val="center"/>
          </w:tcPr>
          <w:p w14:paraId="52E857AF">
            <w:pPr>
              <w:spacing w:before="20" w:after="2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6"/>
              </w:rPr>
              <w:t>Holm 校正 p</w:t>
            </w:r>
          </w:p>
        </w:tc>
      </w:tr>
      <w:tr w14:paraId="4C821B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64" w:type="dxa"/>
            <w:vAlign w:val="center"/>
          </w:tcPr>
          <w:p w14:paraId="28A68C34">
            <w:pPr>
              <w:spacing w:before="20" w:after="2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DLPRB / DLThpVol</w:t>
            </w:r>
          </w:p>
        </w:tc>
        <w:tc>
          <w:tcPr>
            <w:tcW w:w="2364" w:type="dxa"/>
            <w:vAlign w:val="center"/>
          </w:tcPr>
          <w:p w14:paraId="4E53DDAC">
            <w:pPr>
              <w:spacing w:before="20" w:after="2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0.423</w:t>
            </w:r>
          </w:p>
        </w:tc>
        <w:tc>
          <w:tcPr>
            <w:tcW w:w="2364" w:type="dxa"/>
            <w:vAlign w:val="center"/>
          </w:tcPr>
          <w:p w14:paraId="34B9FB14">
            <w:pPr>
              <w:spacing w:before="20" w:after="2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[0.169, 0.601]</w:t>
            </w:r>
          </w:p>
        </w:tc>
        <w:tc>
          <w:tcPr>
            <w:tcW w:w="2364" w:type="dxa"/>
            <w:vAlign w:val="center"/>
          </w:tcPr>
          <w:p w14:paraId="50C3E073">
            <w:pPr>
              <w:spacing w:before="20" w:after="2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7.61×10⁻⁵</w:t>
            </w:r>
          </w:p>
        </w:tc>
      </w:tr>
      <w:tr w14:paraId="285DE8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64" w:type="dxa"/>
            <w:vAlign w:val="center"/>
          </w:tcPr>
          <w:p w14:paraId="1C7EC7D1">
            <w:pPr>
              <w:spacing w:before="20" w:after="2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DLPRB / DLThpTime</w:t>
            </w:r>
          </w:p>
        </w:tc>
        <w:tc>
          <w:tcPr>
            <w:tcW w:w="2364" w:type="dxa"/>
            <w:vAlign w:val="center"/>
          </w:tcPr>
          <w:p w14:paraId="0258A15C">
            <w:pPr>
              <w:spacing w:before="20" w:after="2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0.697</w:t>
            </w:r>
          </w:p>
        </w:tc>
        <w:tc>
          <w:tcPr>
            <w:tcW w:w="2364" w:type="dxa"/>
            <w:vAlign w:val="center"/>
          </w:tcPr>
          <w:p w14:paraId="04BA5A8A">
            <w:pPr>
              <w:spacing w:before="20" w:after="2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[0.485, 0.795]</w:t>
            </w:r>
          </w:p>
        </w:tc>
        <w:tc>
          <w:tcPr>
            <w:tcW w:w="2364" w:type="dxa"/>
            <w:vAlign w:val="center"/>
          </w:tcPr>
          <w:p w14:paraId="11768DB2">
            <w:pPr>
              <w:spacing w:before="20" w:after="2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3.53×10⁻¹⁰</w:t>
            </w:r>
          </w:p>
        </w:tc>
      </w:tr>
      <w:tr w14:paraId="6FEBAE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64" w:type="dxa"/>
            <w:vAlign w:val="center"/>
          </w:tcPr>
          <w:p w14:paraId="738B2481">
            <w:pPr>
              <w:spacing w:before="20" w:after="2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DLPRB / MR_number</w:t>
            </w:r>
          </w:p>
        </w:tc>
        <w:tc>
          <w:tcPr>
            <w:tcW w:w="2364" w:type="dxa"/>
            <w:vAlign w:val="center"/>
          </w:tcPr>
          <w:p w14:paraId="1BD1794C">
            <w:pPr>
              <w:spacing w:before="20" w:after="2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0.889</w:t>
            </w:r>
          </w:p>
        </w:tc>
        <w:tc>
          <w:tcPr>
            <w:tcW w:w="2364" w:type="dxa"/>
            <w:vAlign w:val="center"/>
          </w:tcPr>
          <w:p w14:paraId="3933FC14">
            <w:pPr>
              <w:spacing w:before="20" w:after="2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[0.841, 0.918]</w:t>
            </w:r>
          </w:p>
        </w:tc>
        <w:tc>
          <w:tcPr>
            <w:tcW w:w="2364" w:type="dxa"/>
            <w:vAlign w:val="center"/>
          </w:tcPr>
          <w:p w14:paraId="47666951">
            <w:pPr>
              <w:spacing w:before="20" w:after="2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1.10×10⁻²⁸</w:t>
            </w:r>
          </w:p>
        </w:tc>
      </w:tr>
      <w:tr w14:paraId="2A4937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64" w:type="dxa"/>
            <w:vAlign w:val="center"/>
          </w:tcPr>
          <w:p w14:paraId="4A04F94C">
            <w:pPr>
              <w:spacing w:before="20" w:after="2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DLThpVol / DLThpTime</w:t>
            </w:r>
          </w:p>
        </w:tc>
        <w:tc>
          <w:tcPr>
            <w:tcW w:w="2364" w:type="dxa"/>
            <w:vAlign w:val="center"/>
          </w:tcPr>
          <w:p w14:paraId="4F9D6A45">
            <w:pPr>
              <w:spacing w:before="20" w:after="2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0.680</w:t>
            </w:r>
          </w:p>
        </w:tc>
        <w:tc>
          <w:tcPr>
            <w:tcW w:w="2364" w:type="dxa"/>
            <w:vAlign w:val="center"/>
          </w:tcPr>
          <w:p w14:paraId="7E7DE605">
            <w:pPr>
              <w:spacing w:before="20" w:after="2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[0.535, 0.770]</w:t>
            </w:r>
          </w:p>
        </w:tc>
        <w:tc>
          <w:tcPr>
            <w:tcW w:w="2364" w:type="dxa"/>
            <w:vAlign w:val="center"/>
          </w:tcPr>
          <w:p w14:paraId="2C9619CE">
            <w:pPr>
              <w:spacing w:before="20" w:after="2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2.68×10⁻⁸</w:t>
            </w:r>
          </w:p>
        </w:tc>
      </w:tr>
      <w:tr w14:paraId="7BC54A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64" w:type="dxa"/>
            <w:vAlign w:val="center"/>
          </w:tcPr>
          <w:p w14:paraId="6D3BA6D3">
            <w:pPr>
              <w:spacing w:before="20" w:after="2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DLThpVol / MR_number</w:t>
            </w:r>
          </w:p>
        </w:tc>
        <w:tc>
          <w:tcPr>
            <w:tcW w:w="2364" w:type="dxa"/>
            <w:vAlign w:val="center"/>
          </w:tcPr>
          <w:p w14:paraId="264C0BA4">
            <w:pPr>
              <w:spacing w:before="20" w:after="2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0.327</w:t>
            </w:r>
          </w:p>
        </w:tc>
        <w:tc>
          <w:tcPr>
            <w:tcW w:w="2364" w:type="dxa"/>
            <w:vAlign w:val="center"/>
          </w:tcPr>
          <w:p w14:paraId="2F3C206D">
            <w:pPr>
              <w:spacing w:before="20" w:after="2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[0.065, 0.488]</w:t>
            </w:r>
          </w:p>
        </w:tc>
        <w:tc>
          <w:tcPr>
            <w:tcW w:w="2364" w:type="dxa"/>
            <w:vAlign w:val="center"/>
          </w:tcPr>
          <w:p w14:paraId="114A22AC">
            <w:pPr>
              <w:spacing w:before="20" w:after="2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0.0101</w:t>
            </w:r>
          </w:p>
        </w:tc>
      </w:tr>
      <w:tr w14:paraId="76716E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64" w:type="dxa"/>
            <w:vAlign w:val="center"/>
          </w:tcPr>
          <w:p w14:paraId="2698DA28">
            <w:pPr>
              <w:spacing w:before="20" w:after="2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DLThpTime / MR_number</w:t>
            </w:r>
          </w:p>
        </w:tc>
        <w:tc>
          <w:tcPr>
            <w:tcW w:w="2364" w:type="dxa"/>
            <w:vAlign w:val="center"/>
          </w:tcPr>
          <w:p w14:paraId="09935338">
            <w:pPr>
              <w:spacing w:before="20" w:after="2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0.630</w:t>
            </w:r>
          </w:p>
        </w:tc>
        <w:tc>
          <w:tcPr>
            <w:tcW w:w="2364" w:type="dxa"/>
            <w:vAlign w:val="center"/>
          </w:tcPr>
          <w:p w14:paraId="69CDFB64">
            <w:pPr>
              <w:spacing w:before="20" w:after="2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[0.449, 0.758]</w:t>
            </w:r>
          </w:p>
        </w:tc>
        <w:tc>
          <w:tcPr>
            <w:tcW w:w="2364" w:type="dxa"/>
            <w:vAlign w:val="center"/>
          </w:tcPr>
          <w:p w14:paraId="0A121002">
            <w:pPr>
              <w:spacing w:before="20" w:after="2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8.36×10⁻⁸</w:t>
            </w:r>
          </w:p>
        </w:tc>
      </w:tr>
    </w:tbl>
    <w:p w14:paraId="7BA5593B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图 6 与表 12-3 结论：六组 KPI 组合的 Holm 调整后聚类稳健 p 值均小于 0.05；其中 DLPRB / MR_number 的相关性最强。所有组合的有效候选观测数 n=3,165，聚类数为 30。[R16]</w:t>
      </w:r>
    </w:p>
    <w:p w14:paraId="2243CD12">
      <w:pPr>
        <w:pStyle w:val="4"/>
        <w:ind w:firstLine="0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i w:val="0"/>
          <w:iCs w:val="0"/>
        </w:rPr>
        <w:t>6.4 可解释的根因假设与验证路径</w:t>
      </w:r>
    </w:p>
    <w:p w14:paraId="6CDC3C01">
      <w:pPr>
        <w:pStyle w:val="166"/>
        <w:keepNext/>
        <w:ind w:firstLine="0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i w:val="0"/>
          <w:iCs w:val="0"/>
        </w:rPr>
        <w:t>表 13 初步根因假设与外部验证材料 [R12]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21"/>
        <w:gridCol w:w="2948"/>
        <w:gridCol w:w="3628"/>
      </w:tblGrid>
      <w:tr w14:paraId="7BC476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721" w:type="dxa"/>
            <w:tcBorders>
              <w:top w:val="single" w:color="222222" w:sz="12" w:space="0"/>
              <w:bottom w:val="single" w:color="222222" w:sz="6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35ECFAA9">
            <w:pPr>
              <w:keepLines w:val="0"/>
              <w:widowControl/>
              <w:bidi w:val="0"/>
              <w:spacing w:before="0" w:after="2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color w:val="FFFFFF"/>
                <w:sz w:val="16"/>
                <w:lang w:eastAsia="en-US"/>
              </w:rPr>
              <w:t>异常模式</w:t>
            </w:r>
          </w:p>
        </w:tc>
        <w:tc>
          <w:tcPr>
            <w:tcW w:w="2948" w:type="dxa"/>
            <w:tcBorders>
              <w:top w:val="single" w:color="222222" w:sz="12" w:space="0"/>
              <w:bottom w:val="single" w:color="222222" w:sz="6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173A8A58">
            <w:pPr>
              <w:keepLines w:val="0"/>
              <w:widowControl/>
              <w:bidi w:val="0"/>
              <w:spacing w:before="0" w:after="2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color w:val="FFFFFF"/>
                <w:sz w:val="16"/>
                <w:lang w:eastAsia="en-US"/>
              </w:rPr>
              <w:t>待验证的机制性假设</w:t>
            </w:r>
          </w:p>
        </w:tc>
        <w:tc>
          <w:tcPr>
            <w:tcW w:w="3628" w:type="dxa"/>
            <w:tcBorders>
              <w:top w:val="single" w:color="222222" w:sz="12" w:space="0"/>
              <w:bottom w:val="single" w:color="222222" w:sz="6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6FF8DE61">
            <w:pPr>
              <w:keepLines w:val="0"/>
              <w:widowControl/>
              <w:bidi w:val="0"/>
              <w:spacing w:before="0" w:after="2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color w:val="FFFFFF"/>
                <w:sz w:val="16"/>
                <w:lang w:eastAsia="en-US"/>
              </w:rPr>
              <w:t>优先补充证据</w:t>
            </w:r>
          </w:p>
        </w:tc>
      </w:tr>
      <w:tr w14:paraId="0C713D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21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7C9AD371">
            <w:pPr>
              <w:keepLines w:val="0"/>
              <w:widowControl/>
              <w:bidi w:val="0"/>
              <w:spacing w:before="0" w:after="2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16"/>
                <w:lang w:eastAsia="en-US"/>
              </w:rPr>
              <w:t>DLPRB↑ + DLThpVol / DLThpTime 同向变化</w:t>
            </w:r>
          </w:p>
        </w:tc>
        <w:tc>
          <w:tcPr>
            <w:tcW w:w="2948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0AA930C9">
            <w:pPr>
              <w:keepLines w:val="0"/>
              <w:widowControl/>
              <w:bidi w:val="0"/>
              <w:spacing w:before="0" w:after="2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16"/>
                <w:lang w:eastAsia="en-US"/>
              </w:rPr>
              <w:t>业务负载增加、调度资源压力</w:t>
            </w:r>
          </w:p>
        </w:tc>
        <w:tc>
          <w:tcPr>
            <w:tcW w:w="3628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164C99A3">
            <w:pPr>
              <w:keepLines w:val="0"/>
              <w:widowControl/>
              <w:bidi w:val="0"/>
              <w:spacing w:before="0" w:after="2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16"/>
                <w:lang w:eastAsia="en-US"/>
              </w:rPr>
              <w:t>PRB 资源、活跃 UE、吞吐统计、调度日志</w:t>
            </w:r>
          </w:p>
        </w:tc>
      </w:tr>
      <w:tr w14:paraId="4E06C1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21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1F2C4929">
            <w:pPr>
              <w:keepLines w:val="0"/>
              <w:widowControl/>
              <w:bidi w:val="0"/>
              <w:spacing w:before="0" w:after="2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16"/>
                <w:lang w:eastAsia="en-US"/>
              </w:rPr>
              <w:t>DLThpTime 偏高而 DLThpVol 未同步增加</w:t>
            </w:r>
          </w:p>
        </w:tc>
        <w:tc>
          <w:tcPr>
            <w:tcW w:w="2948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53BFF381">
            <w:pPr>
              <w:keepLines w:val="0"/>
              <w:widowControl/>
              <w:bidi w:val="0"/>
              <w:spacing w:before="0" w:after="2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16"/>
                <w:lang w:eastAsia="en-US"/>
              </w:rPr>
              <w:t>吞吐效率或业务持续时间变化</w:t>
            </w:r>
          </w:p>
        </w:tc>
        <w:tc>
          <w:tcPr>
            <w:tcW w:w="3628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0BBAA0E4">
            <w:pPr>
              <w:keepLines w:val="0"/>
              <w:widowControl/>
              <w:bidi w:val="0"/>
              <w:spacing w:before="0" w:after="2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16"/>
                <w:lang w:eastAsia="en-US"/>
              </w:rPr>
              <w:t>MCS、BLER、重传率、SINR、业务类型</w:t>
            </w:r>
          </w:p>
        </w:tc>
      </w:tr>
      <w:tr w14:paraId="42CA63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21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076B430D">
            <w:pPr>
              <w:keepLines w:val="0"/>
              <w:widowControl/>
              <w:bidi w:val="0"/>
              <w:spacing w:before="0" w:after="2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16"/>
                <w:lang w:eastAsia="en-US"/>
              </w:rPr>
              <w:t>MR_number 与其他 KPI 同步偏高</w:t>
            </w:r>
          </w:p>
        </w:tc>
        <w:tc>
          <w:tcPr>
            <w:tcW w:w="2948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207101BC">
            <w:pPr>
              <w:keepLines w:val="0"/>
              <w:widowControl/>
              <w:bidi w:val="0"/>
              <w:spacing w:before="0" w:after="2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16"/>
                <w:lang w:eastAsia="en-US"/>
              </w:rPr>
              <w:t>测量活动 / 终端规模变化</w:t>
            </w:r>
          </w:p>
        </w:tc>
        <w:tc>
          <w:tcPr>
            <w:tcW w:w="3628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6AC59786">
            <w:pPr>
              <w:keepLines w:val="0"/>
              <w:widowControl/>
              <w:bidi w:val="0"/>
              <w:spacing w:before="0" w:after="2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16"/>
                <w:lang w:eastAsia="en-US"/>
              </w:rPr>
              <w:t>RRC 测量配置、UE 数量、切换记录</w:t>
            </w:r>
          </w:p>
        </w:tc>
      </w:tr>
      <w:tr w14:paraId="2DA5E0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21" w:type="dxa"/>
            <w:tcBorders>
              <w:bottom w:val="single" w:color="333333" w:sz="10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41904908">
            <w:pPr>
              <w:keepLines w:val="0"/>
              <w:widowControl/>
              <w:bidi w:val="0"/>
              <w:spacing w:before="0" w:after="2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16"/>
                <w:lang w:eastAsia="en-US"/>
              </w:rPr>
              <w:t>相邻 beam / cell 同时异常</w:t>
            </w:r>
          </w:p>
        </w:tc>
        <w:tc>
          <w:tcPr>
            <w:tcW w:w="2948" w:type="dxa"/>
            <w:tcBorders>
              <w:bottom w:val="single" w:color="333333" w:sz="10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7509351F">
            <w:pPr>
              <w:keepLines w:val="0"/>
              <w:widowControl/>
              <w:bidi w:val="0"/>
              <w:spacing w:before="0" w:after="2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16"/>
                <w:lang w:eastAsia="en-US"/>
              </w:rPr>
              <w:t>站点共因、流量模式或外部事件</w:t>
            </w:r>
          </w:p>
        </w:tc>
        <w:tc>
          <w:tcPr>
            <w:tcW w:w="3628" w:type="dxa"/>
            <w:tcBorders>
              <w:bottom w:val="single" w:color="333333" w:sz="10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374B5F73">
            <w:pPr>
              <w:keepLines w:val="0"/>
              <w:widowControl/>
              <w:bidi w:val="0"/>
              <w:spacing w:before="0" w:after="20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16"/>
                <w:lang w:eastAsia="en-US"/>
              </w:rPr>
              <w:t>站点告警、拓扑、相邻小区对照</w:t>
            </w:r>
          </w:p>
        </w:tc>
      </w:tr>
    </w:tbl>
    <w:p w14:paraId="1AC0805B">
      <w:pPr>
        <w:spacing w:after="20"/>
        <w:rPr>
          <w:rFonts w:hint="default" w:ascii="Times New Roman" w:hAnsi="Times New Roman" w:eastAsia="宋体" w:cs="Times New Roman"/>
          <w:i w:val="0"/>
          <w:iCs w:val="0"/>
        </w:rPr>
      </w:pPr>
    </w:p>
    <w:p w14:paraId="38A0C21B">
      <w:pPr>
        <w:jc w:val="both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i w:val="0"/>
          <w:iCs w:val="0"/>
        </w:rPr>
        <w:t>建议按“单 beam 历史偏离→同 cell 同步性→同基站扩散→外部告警/无线质量复核”逐层推进，并为每条事件生成 Time、base_station、cell、beam、触发算法、主要偏离 KPI、邻近时段曲线和核验状态。已导出的 w3_anomaly_candidate_events.csv 只包含按 Isolation Forest 分数排序的前 2,000 条，而不是全部 3,165 条候选；空间风险率必须基于补齐后的全量输出计算。[R11,R12]</w:t>
      </w:r>
    </w:p>
    <w:p w14:paraId="0DA679D0">
      <w:pPr>
        <w:jc w:val="both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i w:val="0"/>
          <w:iCs w:val="0"/>
        </w:rPr>
        <w:t>典型调查样例：Time 711 / 13_0_11 的四个 KPI 均有较大逐 beam z 分数且统计规则同时触发；Time 715 / 22_2_13 的多个 KPI 同时偏高，并在 Time 835 再次形成候选。这些记录支持优先级排序和重复性核查。[R12]</w:t>
      </w:r>
    </w:p>
    <w:p w14:paraId="04F15362">
      <w:pPr>
        <w:pStyle w:val="3"/>
        <w:ind w:firstLine="0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</w:rPr>
        <w:t>7 Streamlit 系统集成与运行验证</w:t>
      </w:r>
    </w:p>
    <w:p w14:paraId="2889E79A">
      <w:pPr>
        <w:pStyle w:val="4"/>
        <w:ind w:firstLine="0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</w:rPr>
        <w:t>7.1 已实现系统架构与六模块功能</w:t>
      </w:r>
    </w:p>
    <w:p w14:paraId="75DC5925">
      <w:pPr>
        <w:jc w:val="both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</w:rPr>
        <w:t>项目已基于 Python、Streamlit 实现从数据准备、模型训练及评估，到实验版本管理、下一小时预测、异常候选检测与关联分析的本机 Web 应用。入口为 app.py，业务代码按 src/core、data、models、analysis、services、ui 分层。训练评估基于测试集计算 MAE、RMSE、R²；实际推理从用户上传或系统演示 CSV 调用保存的可信模型权重生成未来 KPI 或异常标记，两类操作在界面中分开。[R17,R18]</w:t>
      </w:r>
    </w:p>
    <w:p w14:paraId="79234C96">
      <w:pPr>
        <w:jc w:val="both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</w:rPr>
        <w:t>系统采用独立 run_id 管理新训练实验，将参数、模型权重、对应 scaler 与测试报告归档至 resources/experiments/&lt;run_id&gt;/，发布可推理工件至 resources/models/&lt;run_id&gt;/；此前完整实验保存在顶层 reports/ 和 figures/。后台训练通过 WebSocket 实时推送日志。公共 KPI 列名、波束身份、滞后窗口、时间边界等参数集中在 src/core/config.py，降低模块间配置分歧。[R17,R18]</w:t>
      </w:r>
    </w:p>
    <w:p w14:paraId="7E141978">
      <w:pPr>
        <w:pStyle w:val="166"/>
        <w:keepNext/>
        <w:ind w:firstLine="0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</w:rPr>
        <w:t>表 14 已实现 Web 页面与可检验输出 [R17,R18]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7"/>
        <w:gridCol w:w="2778"/>
        <w:gridCol w:w="2778"/>
        <w:gridCol w:w="1984"/>
      </w:tblGrid>
      <w:tr w14:paraId="02459F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57" w:type="dxa"/>
            <w:tcBorders>
              <w:top w:val="single" w:color="222222" w:sz="12" w:space="0"/>
              <w:bottom w:val="single" w:color="222222" w:sz="6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6F99F744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功能页面</w:t>
            </w:r>
          </w:p>
        </w:tc>
        <w:tc>
          <w:tcPr>
            <w:tcW w:w="2778" w:type="dxa"/>
            <w:tcBorders>
              <w:top w:val="single" w:color="222222" w:sz="12" w:space="0"/>
              <w:bottom w:val="single" w:color="222222" w:sz="6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064CD481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实际输入或操作</w:t>
            </w:r>
          </w:p>
        </w:tc>
        <w:tc>
          <w:tcPr>
            <w:tcW w:w="2778" w:type="dxa"/>
            <w:tcBorders>
              <w:top w:val="single" w:color="222222" w:sz="12" w:space="0"/>
              <w:bottom w:val="single" w:color="222222" w:sz="6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39C1E361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系统输出</w:t>
            </w:r>
          </w:p>
        </w:tc>
        <w:tc>
          <w:tcPr>
            <w:tcW w:w="1984" w:type="dxa"/>
            <w:tcBorders>
              <w:top w:val="single" w:color="222222" w:sz="12" w:space="0"/>
              <w:bottom w:val="single" w:color="222222" w:sz="6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75C84E5A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实现状态</w:t>
            </w:r>
          </w:p>
        </w:tc>
      </w:tr>
      <w:tr w14:paraId="5D5E4D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4ECA66F9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数据管理与预处理</w:t>
            </w:r>
          </w:p>
        </w:tc>
        <w:tc>
          <w:tcPr>
            <w:tcW w:w="2778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7052AA1E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下载 KPI、审计、特征构建</w:t>
            </w:r>
          </w:p>
        </w:tc>
        <w:tc>
          <w:tcPr>
            <w:tcW w:w="2778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0B066198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数据状态与特征缓存</w:t>
            </w:r>
          </w:p>
        </w:tc>
        <w:tc>
          <w:tcPr>
            <w:tcW w:w="1984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723FD256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已实现</w:t>
            </w:r>
          </w:p>
        </w:tc>
      </w:tr>
      <w:tr w14:paraId="39D852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7388178C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模型训练</w:t>
            </w:r>
          </w:p>
        </w:tc>
        <w:tc>
          <w:tcPr>
            <w:tcW w:w="2778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19C20CBD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选择模型、参数并训练</w:t>
            </w:r>
          </w:p>
        </w:tc>
        <w:tc>
          <w:tcPr>
            <w:tcW w:w="2778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20AE99C0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实时日志、指标、权重</w:t>
            </w:r>
          </w:p>
        </w:tc>
        <w:tc>
          <w:tcPr>
            <w:tcW w:w="1984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1214ADFB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已实现</w:t>
            </w:r>
          </w:p>
        </w:tc>
      </w:tr>
      <w:tr w14:paraId="415029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574D0662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模型管理与实验记录</w:t>
            </w:r>
          </w:p>
        </w:tc>
        <w:tc>
          <w:tcPr>
            <w:tcW w:w="2778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7AF1427A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选择历史结果或 run_id</w:t>
            </w:r>
          </w:p>
        </w:tc>
        <w:tc>
          <w:tcPr>
            <w:tcW w:w="2778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7F878BF3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版本比较和评估曲线</w:t>
            </w:r>
          </w:p>
        </w:tc>
        <w:tc>
          <w:tcPr>
            <w:tcW w:w="1984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447C5C82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已实现</w:t>
            </w:r>
          </w:p>
        </w:tc>
      </w:tr>
      <w:tr w14:paraId="247205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5C06DA15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KPI 预测</w:t>
            </w:r>
          </w:p>
        </w:tc>
        <w:tc>
          <w:tcPr>
            <w:tcW w:w="2778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5DC22804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输入历史 CSV、选择模型</w:t>
            </w:r>
          </w:p>
        </w:tc>
        <w:tc>
          <w:tcPr>
            <w:tcW w:w="2778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5D92F747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下一小时结果与 CSV</w:t>
            </w:r>
          </w:p>
        </w:tc>
        <w:tc>
          <w:tcPr>
            <w:tcW w:w="1984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6724F4F6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已实现</w:t>
            </w:r>
          </w:p>
        </w:tc>
      </w:tr>
      <w:tr w14:paraId="0316BA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6FB0CAC6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异常检测</w:t>
            </w:r>
          </w:p>
        </w:tc>
        <w:tc>
          <w:tcPr>
            <w:tcW w:w="2778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545AF6FA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全波束 KPI、异常权重</w:t>
            </w:r>
          </w:p>
        </w:tc>
        <w:tc>
          <w:tcPr>
            <w:tcW w:w="2778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778CF485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方法标记、候选与导出</w:t>
            </w:r>
          </w:p>
        </w:tc>
        <w:tc>
          <w:tcPr>
            <w:tcW w:w="1984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35590A53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已实现</w:t>
            </w:r>
          </w:p>
        </w:tc>
      </w:tr>
      <w:tr w14:paraId="6FC7E7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Borders>
              <w:bottom w:val="single" w:color="333333" w:sz="10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26E240A4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KPI 关联分析</w:t>
            </w:r>
          </w:p>
        </w:tc>
        <w:tc>
          <w:tcPr>
            <w:tcW w:w="2778" w:type="dxa"/>
            <w:tcBorders>
              <w:bottom w:val="single" w:color="333333" w:sz="10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3C91149E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选择本次或历史候选</w:t>
            </w:r>
          </w:p>
        </w:tc>
        <w:tc>
          <w:tcPr>
            <w:tcW w:w="2778" w:type="dxa"/>
            <w:tcBorders>
              <w:bottom w:val="single" w:color="333333" w:sz="10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63685631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KPI 相关矩阵与样本量</w:t>
            </w:r>
          </w:p>
        </w:tc>
        <w:tc>
          <w:tcPr>
            <w:tcW w:w="1984" w:type="dxa"/>
            <w:tcBorders>
              <w:bottom w:val="single" w:color="333333" w:sz="10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068D232A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已实现</w:t>
            </w:r>
          </w:p>
        </w:tc>
      </w:tr>
    </w:tbl>
    <w:p w14:paraId="7839A7EA">
      <w:pPr>
        <w:spacing w:after="20"/>
        <w:rPr>
          <w:rFonts w:hint="default" w:ascii="Times New Roman" w:hAnsi="Times New Roman" w:eastAsia="宋体" w:cs="Times New Roman"/>
          <w:i w:val="0"/>
          <w:iCs w:val="0"/>
        </w:rPr>
      </w:pPr>
    </w:p>
    <w:p w14:paraId="65CA3633">
      <w:pPr>
        <w:pStyle w:val="4"/>
        <w:ind w:firstLine="0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</w:rPr>
        <w:t>7.2 本机 Web 运行证据与交互演示</w:t>
      </w:r>
    </w:p>
    <w:p w14:paraId="5D6BE6E7">
      <w:pPr>
        <w:jc w:val="both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</w:rPr>
        <w:t>2026 年 10 月 23 日，本机完成传统 ML 快速训练、GRU 小样本训练、异常模型训练以及模型发布、回载、实际预测和 CSV 导出。其后整理六模块界面并补充当次候选关联分析；后续真实 Web 截图分别展示六模块菜单、模型管理与评估、Time 840 的 MR_number 预测值 0.6485、异常检测 58/5,760 条候选以及基于本次候选的 KPI 关联矩阵。这些截图是实际应用操作记录，不是用历史报告静态图片代替现场推理。[R17,R18]</w:t>
      </w:r>
    </w:p>
    <w:p w14:paraId="37BF8401">
      <w:pPr>
        <w:spacing w:before="100" w:after="60"/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drawing>
          <wp:inline distT="0" distB="0" distL="114300" distR="114300">
            <wp:extent cx="5039995" cy="2677160"/>
            <wp:effectExtent l="0" t="0" r="4445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7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0538D">
      <w:pPr>
        <w:pStyle w:val="167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图 7 六模块 Streamlit Web 应用实际界面：数据管理与预处理（用户本机截图）</w:t>
      </w:r>
    </w:p>
    <w:p w14:paraId="44EA9A6A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本机实际预测使用单波束真实历史观测（至少 169 个连续小时）并调用已保存模型；异常演示输入保留 2,880 个波束的连续 3 小时，首小时用于差分上下文，输出 5,760 条候选评估记录。其 58 条共识候选来自单独的 Web 推理输入，与正式完整测试集 3,165 条结果保持各自口径。[R17]</w:t>
      </w:r>
    </w:p>
    <w:p w14:paraId="7936A890">
      <w:pPr>
        <w:pStyle w:val="4"/>
        <w:ind w:firstLine="0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</w:rPr>
        <w:t>7.3 测试结果、开发问题与后续复核</w:t>
      </w:r>
    </w:p>
    <w:p w14:paraId="7A102CCE">
      <w:pPr>
        <w:pStyle w:val="166"/>
        <w:keepNext/>
        <w:ind w:firstLine="0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</w:rPr>
        <w:t>表 15 已记录的集成功能验收及待复核项 [R18]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5443"/>
        <w:gridCol w:w="1587"/>
      </w:tblGrid>
      <w:tr w14:paraId="11EFAE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268" w:type="dxa"/>
            <w:tcBorders>
              <w:top w:val="single" w:color="222222" w:sz="12" w:space="0"/>
              <w:bottom w:val="single" w:color="222222" w:sz="6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7E188836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检查项</w:t>
            </w:r>
          </w:p>
        </w:tc>
        <w:tc>
          <w:tcPr>
            <w:tcW w:w="5443" w:type="dxa"/>
            <w:tcBorders>
              <w:top w:val="single" w:color="222222" w:sz="12" w:space="0"/>
              <w:bottom w:val="single" w:color="222222" w:sz="6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3F75AE62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本机实际记录</w:t>
            </w:r>
          </w:p>
        </w:tc>
        <w:tc>
          <w:tcPr>
            <w:tcW w:w="1587" w:type="dxa"/>
            <w:tcBorders>
              <w:top w:val="single" w:color="222222" w:sz="12" w:space="0"/>
              <w:bottom w:val="single" w:color="222222" w:sz="6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34F85D04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结论</w:t>
            </w:r>
          </w:p>
        </w:tc>
      </w:tr>
      <w:tr w14:paraId="3E219C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475760B3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自动化测试</w:t>
            </w:r>
          </w:p>
        </w:tc>
        <w:tc>
          <w:tcPr>
            <w:tcW w:w="5443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294D7C2A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2026-10-23 原版 tests/ 21 项 + 推理/注册 5 项</w:t>
            </w:r>
          </w:p>
        </w:tc>
        <w:tc>
          <w:tcPr>
            <w:tcW w:w="1587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5B63E41D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当时版本 26/26 通过</w:t>
            </w:r>
          </w:p>
        </w:tc>
      </w:tr>
      <w:tr w14:paraId="149443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4EDF227A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Web 启动与数据管理</w:t>
            </w:r>
          </w:p>
        </w:tc>
        <w:tc>
          <w:tcPr>
            <w:tcW w:w="5443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1B3E9A09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本机 Streamlit 启动、数据检查及演示页面截图</w:t>
            </w:r>
          </w:p>
        </w:tc>
        <w:tc>
          <w:tcPr>
            <w:tcW w:w="1587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0293D57B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可用，有运行证据</w:t>
            </w:r>
          </w:p>
        </w:tc>
      </w:tr>
      <w:tr w14:paraId="4E7FA5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612403C6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GRU 训练/回载/推理</w:t>
            </w:r>
          </w:p>
        </w:tc>
        <w:tc>
          <w:tcPr>
            <w:tcW w:w="5443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38B05DA0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CPU、3 Epoch、各512训练/验证样本；完整测试；导出</w:t>
            </w:r>
          </w:p>
        </w:tc>
        <w:tc>
          <w:tcPr>
            <w:tcW w:w="1587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608B84A8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功能验收通过</w:t>
            </w:r>
          </w:p>
        </w:tc>
      </w:tr>
      <w:tr w14:paraId="526374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034722F6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异常模型训练/推理</w:t>
            </w:r>
          </w:p>
        </w:tc>
        <w:tc>
          <w:tcPr>
            <w:tcW w:w="5443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7EA6A974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IF/SVM 抽样训练、模型发布回载、CSV 导出</w:t>
            </w:r>
          </w:p>
        </w:tc>
        <w:tc>
          <w:tcPr>
            <w:tcW w:w="1587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6834DD1E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功能验收通过</w:t>
            </w:r>
          </w:p>
        </w:tc>
      </w:tr>
      <w:tr w14:paraId="336D4D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407501F6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传统 ML 快速训练</w:t>
            </w:r>
          </w:p>
        </w:tc>
        <w:tc>
          <w:tcPr>
            <w:tcW w:w="5443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49E91E69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QUICK 模式发布20个权重、RandomForest 推理导出</w:t>
            </w:r>
          </w:p>
        </w:tc>
        <w:tc>
          <w:tcPr>
            <w:tcW w:w="1587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2C1386B8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快速模式通过</w:t>
            </w:r>
          </w:p>
        </w:tc>
      </w:tr>
      <w:tr w14:paraId="31604B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58CD6DD8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最终六模块界面</w:t>
            </w:r>
          </w:p>
        </w:tc>
        <w:tc>
          <w:tcPr>
            <w:tcW w:w="5443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1D2D3373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菜单、评估、预测、检测、关联分析截图</w:t>
            </w:r>
          </w:p>
        </w:tc>
        <w:tc>
          <w:tcPr>
            <w:tcW w:w="1587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78912B33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具备交互证据；全回归待记录</w:t>
            </w:r>
          </w:p>
        </w:tc>
      </w:tr>
      <w:tr w14:paraId="6784EA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bottom w:val="single" w:color="333333" w:sz="10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56EC9A90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资源/性能专项</w:t>
            </w:r>
          </w:p>
        </w:tc>
        <w:tc>
          <w:tcPr>
            <w:tcW w:w="5443" w:type="dxa"/>
            <w:tcBorders>
              <w:bottom w:val="single" w:color="333333" w:sz="10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54DF8BB8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内存峰值、时间开销和跨机部署未统一基准</w:t>
            </w:r>
          </w:p>
        </w:tc>
        <w:tc>
          <w:tcPr>
            <w:tcW w:w="1587" w:type="dxa"/>
            <w:tcBorders>
              <w:bottom w:val="single" w:color="333333" w:sz="10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2248E94A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尚未完成专项测试</w:t>
            </w:r>
          </w:p>
        </w:tc>
      </w:tr>
    </w:tbl>
    <w:p w14:paraId="1284B360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开发过程中出现过不同 DL 训练实验合并后 train_scale_mean 不一致，以及 Windows GBK 子进程打印“R²”导致 UnicodeEncodeError 的问题。对应修复是按 run_id 分离训练参数、标准化状态、模型与报告，并在后台进程强制使用 UTF-8 I/O。将训练评估与实际模型推理拆成独立页面之后，也减少了历史测试曲线与当前输入结果被误读的风险。[R17,R18]</w:t>
      </w:r>
    </w:p>
    <w:p w14:paraId="3D2C9CCC">
      <w:pPr>
        <w:keepLines w:val="0"/>
        <w:widowControl/>
        <w:bidi w:val="0"/>
        <w:spacing w:before="0" w:after="80"/>
        <w:ind w:firstLine="0" w:firstLineChars="0"/>
        <w:jc w:val="left"/>
        <w:rPr>
          <w:rFonts w:hint="default" w:ascii="Times New Roman" w:hAnsi="Times New Roman" w:eastAsia="宋体" w:cs="Times New Roman"/>
          <w:b w:val="0"/>
          <w:i w:val="0"/>
          <w:iCs w:val="0"/>
          <w:color w:val="000000"/>
          <w:lang w:eastAsia="en-US"/>
        </w:rPr>
      </w:pPr>
    </w:p>
    <w:p w14:paraId="0F362334">
      <w:pPr>
        <w:pStyle w:val="3"/>
        <w:ind w:firstLine="0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i w:val="0"/>
          <w:iCs w:val="0"/>
        </w:rPr>
        <w:t>8 验证范围、局限与质量控制</w:t>
      </w:r>
    </w:p>
    <w:p w14:paraId="31DBBB8E">
      <w:pPr>
        <w:pStyle w:val="4"/>
        <w:ind w:firstLine="0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</w:rPr>
        <w:t>8.1 已确认实验结果和新增统计证据</w:t>
      </w:r>
    </w:p>
    <w:p w14:paraId="75BF66F7">
      <w:pPr>
        <w:jc w:val="both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</w:rPr>
        <w:t>5G SA 仿真抓包确认 N2/N3 协议链路与 GTP-U 用户面；公开 KPI 的全量留出测试完成传统/深度预测器比较和异常候选筛选；新增原始数据质量审计、逐 beam 训练分布偏度与峰度统计、10 类 AND/OR 逻辑对照以及基站聚类稳健显著性分析。[R14–R18]</w:t>
      </w:r>
    </w:p>
    <w:p w14:paraId="02D2CC96">
      <w:pPr>
        <w:pStyle w:val="4"/>
        <w:ind w:firstLine="0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i w:val="0"/>
          <w:iCs w:val="0"/>
        </w:rPr>
        <w:t>8.2 结果解读中需要避免的错误</w:t>
      </w:r>
    </w:p>
    <w:p w14:paraId="04EA68EB">
      <w:pPr>
        <w:pStyle w:val="166"/>
        <w:keepNext/>
        <w:ind w:firstLine="0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</w:rPr>
        <w:t>表 16 数据与实验口径的必要区分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55"/>
        <w:gridCol w:w="5443"/>
      </w:tblGrid>
      <w:tr w14:paraId="4560F7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855" w:type="dxa"/>
            <w:tcBorders>
              <w:top w:val="single" w:color="222222" w:sz="12" w:space="0"/>
              <w:bottom w:val="single" w:color="222222" w:sz="6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41F6B2B6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易混淆内容</w:t>
            </w:r>
          </w:p>
        </w:tc>
        <w:tc>
          <w:tcPr>
            <w:tcW w:w="5443" w:type="dxa"/>
            <w:tcBorders>
              <w:top w:val="single" w:color="222222" w:sz="12" w:space="0"/>
              <w:bottom w:val="single" w:color="222222" w:sz="6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382EE3E4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报告中的处理方式</w:t>
            </w:r>
          </w:p>
        </w:tc>
      </w:tr>
      <w:tr w14:paraId="2B3E23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855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02DB9067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仿真与 KPI 数据来源</w:t>
            </w:r>
          </w:p>
        </w:tc>
        <w:tc>
          <w:tcPr>
            <w:tcW w:w="5443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55024378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free5GC/UERANSIM 验证协议；公开 gotsf-ds 用于离线建模</w:t>
            </w:r>
          </w:p>
        </w:tc>
      </w:tr>
      <w:tr w14:paraId="14066E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855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364718FF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正式测试与 Web 演示</w:t>
            </w:r>
          </w:p>
        </w:tc>
        <w:tc>
          <w:tcPr>
            <w:tcW w:w="5443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0ECA66D8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历史异常 3,165/483,840；Web 演示 58/5,760</w:t>
            </w:r>
          </w:p>
        </w:tc>
      </w:tr>
      <w:tr w14:paraId="0403B0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855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57C4BFD4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模型评分与下一小时推理</w:t>
            </w:r>
          </w:p>
        </w:tc>
        <w:tc>
          <w:tcPr>
            <w:tcW w:w="5443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4C55485D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有真实标签的测试集报告 MAE/RMSE/R²；Time 840 推理无未来真值</w:t>
            </w:r>
          </w:p>
        </w:tc>
      </w:tr>
      <w:tr w14:paraId="1FFE43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855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295FA78B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候选标记率与故障准确率</w:t>
            </w:r>
          </w:p>
        </w:tc>
        <w:tc>
          <w:tcPr>
            <w:tcW w:w="5443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63FB0322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无人工真值，不将候选数解释为 Precision/Recall</w:t>
            </w:r>
          </w:p>
        </w:tc>
      </w:tr>
      <w:tr w14:paraId="622F86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855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34E4EBE7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One-Class SVM 的抽样结果</w:t>
            </w:r>
          </w:p>
        </w:tc>
        <w:tc>
          <w:tcPr>
            <w:tcW w:w="5443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6A930082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历史抽样 552/12,000，与其他算法全量分母不同</w:t>
            </w:r>
          </w:p>
        </w:tc>
      </w:tr>
      <w:tr w14:paraId="2EC5D5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855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5175352E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相关性显著与故障根因</w:t>
            </w:r>
          </w:p>
        </w:tc>
        <w:tc>
          <w:tcPr>
            <w:tcW w:w="5443" w:type="dxa"/>
            <w:tcBorders>
              <w:bottom w:val="single" w:color="A7B0BB" w:sz="4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7FD80DEC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Holm 校正 p 值说明统计关联，仍需外部告警和工单核验</w:t>
            </w:r>
          </w:p>
        </w:tc>
      </w:tr>
      <w:tr w14:paraId="7D7959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855" w:type="dxa"/>
            <w:tcBorders>
              <w:bottom w:val="single" w:color="333333" w:sz="10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4AEF335B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Web 测试状态</w:t>
            </w:r>
          </w:p>
        </w:tc>
        <w:tc>
          <w:tcPr>
            <w:tcW w:w="5443" w:type="dxa"/>
            <w:tcBorders>
              <w:bottom w:val="single" w:color="333333" w:sz="10" w:space="0"/>
            </w:tcBorders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4473DA1E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功能闭环已验收；新版完整回归和资源基准待单独复核</w:t>
            </w:r>
          </w:p>
        </w:tc>
      </w:tr>
    </w:tbl>
    <w:p w14:paraId="759CFCDB">
      <w:pPr>
        <w:spacing w:after="20"/>
        <w:rPr>
          <w:rFonts w:hint="default" w:ascii="Times New Roman" w:hAnsi="Times New Roman" w:eastAsia="宋体" w:cs="Times New Roman"/>
          <w:i w:val="0"/>
          <w:iCs w:val="0"/>
        </w:rPr>
      </w:pPr>
    </w:p>
    <w:p w14:paraId="3622E129">
      <w:pPr>
        <w:pStyle w:val="4"/>
        <w:ind w:firstLine="0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i w:val="0"/>
          <w:iCs w:val="0"/>
        </w:rPr>
        <w:t>8.3 复现与工程可维护性检查原则</w:t>
      </w:r>
    </w:p>
    <w:p w14:paraId="0B114A8F">
      <w:pPr>
        <w:jc w:val="both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</w:rPr>
        <w:t>复现时以 Time、base_station、cell、beam 作为一致的样本主键；使用统一的 KPI 字段、推理滞后窗口与标准化元数据，并将每轮训练的模型、参数、测试图表和结果保持在独立 run_id 下。正式评估必须记录模型版本、随机种子、测试时段和指标分母。对深度学习内部验证，还需避免在 Time 588–671 验证段上拟合 scaler：未来滚动验证应在每个训练子段重新拟合并冻结变换参数。[R9,R17]</w:t>
      </w:r>
    </w:p>
    <w:p w14:paraId="645572D2">
      <w:pPr>
        <w:jc w:val="both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</w:rPr>
        <w:t>已完成共享配置与源码职责的系统性整理：统一 src/core/config.py 中 KPI 列、路径、目标时长和滞后定义；将数据处理、模型、分析、服务与界面分别归属 src/data、models、analysis、services、ui，避免跨模块重复维护关键参数。仍建议在最终打包前执行依赖检查、完整测试集测试、六模块交互回归，并保存日志、CSV 导出和界面证据。[R17,R18]</w:t>
      </w:r>
    </w:p>
    <w:p w14:paraId="2CDE2E73">
      <w:pPr>
        <w:pStyle w:val="3"/>
        <w:ind w:firstLine="0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i w:val="0"/>
          <w:iCs w:val="0"/>
        </w:rPr>
        <w:t>9 项目总结</w:t>
      </w:r>
    </w:p>
    <w:p w14:paraId="26E88EB4">
      <w:pPr>
        <w:pStyle w:val="4"/>
        <w:ind w:firstLine="0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i w:val="0"/>
          <w:iCs w:val="0"/>
        </w:rPr>
        <w:t>9.1 阶段成果</w:t>
      </w:r>
    </w:p>
    <w:p w14:paraId="3DEAA6E2">
      <w:pPr>
        <w:jc w:val="both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</w:rPr>
        <w:t>项目按“5G SA 网络架构和抓包验证→公开 KPI 数据审计→机器学习与深度学习预测→无监督异常候选→统计关联与 Web 工程集成”完成完整开发链条。N2/N3 的关键帧和 TEID 给出通信侧证据；四项 KPI 的 483,840 条留出测试记录给出预测性能与异常筛选的统一分母；新增数据分布、共识规则和相关性显著性表格补强了推断依据。Streamlit 已整合六模块与真实模型推理/导出功能。[R2–R18]</w:t>
      </w:r>
    </w:p>
    <w:p w14:paraId="79C4CC67">
      <w:pPr>
        <w:pStyle w:val="4"/>
        <w:ind w:firstLine="0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i w:val="0"/>
          <w:iCs w:val="0"/>
        </w:rPr>
        <w:t>9.2 模型选型与业务价值</w:t>
      </w:r>
    </w:p>
    <w:p w14:paraId="6787E1BC">
      <w:pPr>
        <w:jc w:val="both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</w:rPr>
        <w:t>在正式历史实验中，GRU 的四类 KPI MAE 均较低；但 DLThpVol 的最优 RMSE/R² 来自 RandomForest，说明选型应兼顾典型误差与大误差风险。异常检测使用 IF AND（3σ OR IQR）将 483,840 条观测缩小为 3,165 条优先候选，相关性分析通过 3,165 个观测、30 个站级聚类与 Holm 校正支持探索性排序。下一阶段可优先完成新版回归、严格训练子段 scaler 验证，并结合真实告警/故障工单评估排查价值。[R9,R10,R14,R16–R18]</w:t>
      </w:r>
    </w:p>
    <w:p w14:paraId="62891538">
      <w:pPr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i w:val="0"/>
          <w:iCs w:val="0"/>
        </w:rPr>
        <w:br w:type="page"/>
      </w:r>
    </w:p>
    <w:p w14:paraId="29B6FA53">
      <w:pPr>
        <w:pStyle w:val="3"/>
        <w:ind w:firstLine="0"/>
        <w:rPr>
          <w:rFonts w:hint="default" w:ascii="Times New Roman" w:hAnsi="Times New Roman" w:eastAsia="宋体" w:cs="Times New Roman"/>
          <w:i w:val="0"/>
          <w:iCs w:val="0"/>
        </w:rPr>
      </w:pPr>
      <w:bookmarkStart w:id="0" w:name="_GoBack"/>
      <w:bookmarkEnd w:id="0"/>
      <w:r>
        <w:rPr>
          <w:rFonts w:hint="default" w:ascii="Times New Roman" w:hAnsi="Times New Roman" w:eastAsia="宋体" w:cs="Times New Roman"/>
          <w:i w:val="0"/>
          <w:iCs w:val="0"/>
        </w:rPr>
        <w:t>参考资料</w:t>
      </w:r>
    </w:p>
    <w:p w14:paraId="290576EB">
      <w:pPr>
        <w:spacing w:before="0" w:after="20" w:line="240" w:lineRule="auto"/>
        <w:ind w:firstLine="0"/>
        <w:jc w:val="both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16"/>
        </w:rPr>
        <w:t>[R1] 《基于 AI 的 5G 网络关键性能指标预测与异常检测系统》：项目要求及实施大纲，7 页。</w:t>
      </w:r>
    </w:p>
    <w:p w14:paraId="2424A421">
      <w:pPr>
        <w:spacing w:before="0" w:after="20" w:line="240" w:lineRule="auto"/>
        <w:ind w:firstLine="0"/>
        <w:jc w:val="both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16"/>
        </w:rPr>
        <w:t>[R2] 《W1环境配置文档》：Windows/WSL2/VirtualBox、free5GC + UERANSIM 环境搭建与联通性验证，20 页。</w:t>
      </w:r>
    </w:p>
    <w:p w14:paraId="220C05F9">
      <w:pPr>
        <w:spacing w:before="0" w:after="20" w:line="240" w:lineRule="auto"/>
        <w:ind w:firstLine="0"/>
        <w:jc w:val="both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16"/>
        </w:rPr>
        <w:t>[R3] 《W1》：第一周实验报告，2 页。</w:t>
      </w:r>
    </w:p>
    <w:p w14:paraId="005C9E0A">
      <w:pPr>
        <w:spacing w:before="0" w:after="20" w:line="240" w:lineRule="auto"/>
        <w:ind w:firstLine="0"/>
        <w:jc w:val="both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16"/>
        </w:rPr>
        <w:t>[R4] 《协议分析》：5G 核心协议分析、week2_full.pcap 抓包与 N2/N3 字段解析，12 页。</w:t>
      </w:r>
    </w:p>
    <w:p w14:paraId="70CCE906">
      <w:pPr>
        <w:spacing w:before="0" w:after="20" w:line="240" w:lineRule="auto"/>
        <w:ind w:firstLine="0"/>
        <w:jc w:val="both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16"/>
        </w:rPr>
        <w:t>[R5] 《信令流程》：关键报文逐帧与截图解释，13 页。</w:t>
      </w:r>
    </w:p>
    <w:p w14:paraId="2ED6E88C">
      <w:pPr>
        <w:spacing w:before="0" w:after="20" w:line="240" w:lineRule="auto"/>
        <w:ind w:firstLine="0"/>
        <w:jc w:val="both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16"/>
        </w:rPr>
        <w:t>[R6] 《学习笔记》：5G SA、核心网功能与接口术语，4 页。</w:t>
      </w:r>
    </w:p>
    <w:p w14:paraId="6B0C5373">
      <w:pPr>
        <w:spacing w:before="0" w:after="20" w:line="240" w:lineRule="auto"/>
        <w:ind w:firstLine="0"/>
        <w:jc w:val="both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16"/>
        </w:rPr>
        <w:t>[R7] 《W1周报》：第一周搭建进度与问题修复记录，2 页。</w:t>
      </w:r>
    </w:p>
    <w:p w14:paraId="4CAE626D">
      <w:pPr>
        <w:spacing w:before="0" w:after="20" w:line="240" w:lineRule="auto"/>
        <w:ind w:firstLine="0"/>
        <w:jc w:val="both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16"/>
        </w:rPr>
        <w:t>[R8] 《5_w2模型性能评估报告》：传统 ML 训练、24 组指标、三折回测、HAC 检验与 Optuna，11 页。</w:t>
      </w:r>
    </w:p>
    <w:p w14:paraId="3AAE7039">
      <w:pPr>
        <w:spacing w:before="0" w:after="20" w:line="240" w:lineRule="auto"/>
        <w:ind w:firstLine="0"/>
        <w:jc w:val="both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16"/>
        </w:rPr>
        <w:t>[R9] 《2-深度学习模型性能评估报告》：LSTM/GRU/Transformer 训练与留出评估，5 页。</w:t>
      </w:r>
    </w:p>
    <w:p w14:paraId="38226305">
      <w:pPr>
        <w:spacing w:before="0" w:after="20" w:line="240" w:lineRule="auto"/>
        <w:ind w:firstLine="0"/>
        <w:jc w:val="both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16"/>
        </w:rPr>
        <w:t>[R10] 《3-传统机器学习与深度学习模型对比分析》：统一评估与可比性分析，5 页。</w:t>
      </w:r>
    </w:p>
    <w:p w14:paraId="33471C3F">
      <w:pPr>
        <w:spacing w:before="0" w:after="20" w:line="240" w:lineRule="auto"/>
        <w:ind w:firstLine="0"/>
        <w:jc w:val="both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16"/>
        </w:rPr>
        <w:t>[R11] 《5-异常检测结果报告》：3σ、IQR、Isolation Forest、One-Class SVM 结果，4 页。</w:t>
      </w:r>
    </w:p>
    <w:p w14:paraId="219C2799">
      <w:pPr>
        <w:spacing w:before="0" w:after="20" w:line="240" w:lineRule="auto"/>
        <w:ind w:firstLine="0"/>
        <w:jc w:val="both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16"/>
        </w:rPr>
        <w:t>[R12] 《6-异常根因分析初步方案》：KPI 关联、事件聚集与分层排查策略，5 页。</w:t>
      </w:r>
    </w:p>
    <w:p w14:paraId="3FF61C01">
      <w:pPr>
        <w:spacing w:before="0" w:after="20" w:line="240" w:lineRule="auto"/>
        <w:ind w:firstLine="0"/>
        <w:jc w:val="both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sz w:val="16"/>
        </w:rPr>
        <w:t>[R13] 《3_w2数据集统计分析报告》：注意该上传件内容实为模型性能评估报告，与其文件名不符，11 页。</w:t>
      </w:r>
    </w:p>
    <w:p w14:paraId="7C2B339C">
      <w:pPr>
        <w:spacing w:before="0" w:after="20" w:line="240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16"/>
        </w:rPr>
        <w:t>[R14] reports/w4_anomaly_diagnostics_report.md：异常阈值差异、分布形态、逻辑组合与 KPI 关联统计综合分析，2026 年 10 月。</w:t>
      </w:r>
    </w:p>
    <w:p w14:paraId="3BB94CDA">
      <w:pPr>
        <w:spacing w:before="0" w:after="20" w:line="240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16"/>
        </w:rPr>
        <w:t>[R15] reports/w4_anomaly_threshold_shape_summary.csv、reports/w4_anomaly_distribution_summary.csv：各波束偏度/峰度与逐指标标记率的统计输出。</w:t>
      </w:r>
    </w:p>
    <w:p w14:paraId="10C853FB">
      <w:pPr>
        <w:spacing w:before="0" w:after="20" w:line="240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16"/>
        </w:rPr>
        <w:t>[R16] reports/w4_anomaly_kpi_correlation_tests.csv、reports/w4_anomaly_kpi_correlation_pvalues_holm.csv：n=3,165、30 站聚类稳健检验、bootstrap 区间和 Holm 校正 p 值。</w:t>
      </w:r>
    </w:p>
    <w:p w14:paraId="4D678B69">
      <w:pPr>
        <w:spacing w:before="0" w:after="20" w:line="240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16"/>
        </w:rPr>
        <w:t>[R17] GitHub 仓库 Lemon-Li-x86/5g-kpi-prediction：README.md、USER_GUIDE.md、docs/ARCHITECTURE.md、app.py、src/ 与 tests/；六模块系统源码及使用说明。</w:t>
      </w:r>
    </w:p>
    <w:p w14:paraId="49BEE5DB">
      <w:pPr>
        <w:spacing w:before="0" w:after="20" w:line="240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16"/>
        </w:rPr>
        <w:t>[R18] reports/week4/w4_final_weekly_report.md 与 docs/TECHNICAL_REPORT.md：2026-10-23 本机训练/发布/回载/预测/异常的功能验收记录。</w:t>
      </w:r>
    </w:p>
    <w:sectPr>
      <w:headerReference r:id="rId5" w:type="default"/>
      <w:footerReference r:id="rId6" w:type="default"/>
      <w:pgSz w:w="11906" w:h="16838"/>
      <w:pgMar w:top="1134" w:right="1191" w:bottom="1049" w:left="1259" w:header="499" w:footer="499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880A73">
    <w:pPr>
      <w:pStyle w:val="24"/>
      <w:jc w:val="center"/>
      <w:rPr>
        <w:rFonts w:hint="default" w:ascii="Times New Roman" w:hAnsi="Times New Roman" w:eastAsia="宋体" w:cs="Times New Roman"/>
      </w:rPr>
    </w:pPr>
    <w:r>
      <w:rPr>
        <w:rFonts w:hint="default" w:ascii="Times New Roman" w:hAnsi="Times New Roman" w:eastAsia="宋体" w:cs="Times New Roman"/>
        <w:color w:val="626E78"/>
        <w:sz w:val="17"/>
      </w:rPr>
      <w:t xml:space="preserve">第 </w:t>
    </w:r>
    <w:r>
      <w:rPr>
        <w:rFonts w:hint="default" w:ascii="Times New Roman" w:hAnsi="Times New Roman" w:eastAsia="宋体" w:cs="Times New Roman"/>
      </w:rPr>
      <w:fldChar w:fldCharType="begin"/>
    </w:r>
    <w:r>
      <w:rPr>
        <w:rFonts w:hint="default" w:ascii="Times New Roman" w:hAnsi="Times New Roman" w:eastAsia="宋体" w:cs="Times New Roman"/>
      </w:rPr>
      <w:instrText xml:space="preserve">PAGE</w:instrText>
    </w:r>
    <w:r>
      <w:rPr>
        <w:rFonts w:hint="default" w:ascii="Times New Roman" w:hAnsi="Times New Roman" w:eastAsia="宋体" w:cs="Times New Roman"/>
      </w:rPr>
      <w:fldChar w:fldCharType="separate"/>
    </w:r>
    <w:r>
      <w:rPr>
        <w:rFonts w:hint="default" w:ascii="Times New Roman" w:hAnsi="Times New Roman" w:eastAsia="宋体" w:cs="Times New Roman"/>
      </w:rPr>
      <w:fldChar w:fldCharType="end"/>
    </w:r>
    <w:r>
      <w:rPr>
        <w:rFonts w:hint="default" w:ascii="Times New Roman" w:hAnsi="Times New Roman" w:eastAsia="宋体" w:cs="Times New Roman"/>
        <w:color w:val="626E78"/>
        <w:sz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CC17D5">
    <w:pPr>
      <w:pStyle w:val="25"/>
      <w:spacing w:after="20"/>
      <w:jc w:val="right"/>
      <w:rPr>
        <w:rFonts w:hint="default" w:ascii="Times New Roman" w:hAnsi="Times New Roman" w:eastAsia="宋体" w:cs="Times New Roman"/>
      </w:rPr>
    </w:pPr>
    <w:r>
      <w:rPr>
        <w:rFonts w:hint="default" w:ascii="Times New Roman" w:hAnsi="Times New Roman" w:eastAsia="宋体" w:cs="Times New Roman"/>
        <w:color w:val="626E78"/>
        <w:sz w:val="16"/>
      </w:rPr>
      <w:t>项目技术报告  |  5G KPI 预测与异常检测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7415A1"/>
    <w:rsid w:val="0385459C"/>
    <w:rsid w:val="100319B1"/>
    <w:rsid w:val="10A10D68"/>
    <w:rsid w:val="1628398E"/>
    <w:rsid w:val="16811788"/>
    <w:rsid w:val="17555BDC"/>
    <w:rsid w:val="17AC27CC"/>
    <w:rsid w:val="19BB6BB3"/>
    <w:rsid w:val="1B0137A0"/>
    <w:rsid w:val="1F5225D5"/>
    <w:rsid w:val="27E61368"/>
    <w:rsid w:val="28355CE1"/>
    <w:rsid w:val="2D3C541C"/>
    <w:rsid w:val="335F1E64"/>
    <w:rsid w:val="33BD5082"/>
    <w:rsid w:val="36E724CA"/>
    <w:rsid w:val="37546F7A"/>
    <w:rsid w:val="39D215E2"/>
    <w:rsid w:val="40512B35"/>
    <w:rsid w:val="413466DE"/>
    <w:rsid w:val="47C00BA3"/>
    <w:rsid w:val="4AEC002A"/>
    <w:rsid w:val="4D242E94"/>
    <w:rsid w:val="513F4577"/>
    <w:rsid w:val="58262DCD"/>
    <w:rsid w:val="597727A8"/>
    <w:rsid w:val="5E49319F"/>
    <w:rsid w:val="60CF1B28"/>
    <w:rsid w:val="6CA35BF5"/>
    <w:rsid w:val="6F0C3148"/>
    <w:rsid w:val="706E6C67"/>
    <w:rsid w:val="74A93179"/>
    <w:rsid w:val="758D4034"/>
    <w:rsid w:val="7C4F17EF"/>
    <w:rsid w:val="7DC1042A"/>
    <w:rsid w:val="7DD31281"/>
    <w:rsid w:val="7FE47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eepLines/>
      <w:widowControl/>
      <w:spacing w:before="0" w:after="120" w:line="240" w:lineRule="auto"/>
      <w:ind w:firstLine="408" w:firstLineChars="0"/>
      <w:jc w:val="both"/>
    </w:pPr>
    <w:rPr>
      <w:rFonts w:ascii="Times New Roman" w:hAnsi="Times New Roman" w:eastAsia="宋体" w:cs="Times New Roman"/>
      <w:color w:val="222222"/>
      <w:sz w:val="21"/>
      <w:szCs w:val="22"/>
      <w:lang w:val="en-US" w:eastAsia="zh-CN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80" w:after="160"/>
      <w:ind w:firstLine="0"/>
      <w:outlineLvl w:val="0"/>
    </w:pPr>
    <w:rPr>
      <w:rFonts w:asciiTheme="majorHAnsi" w:hAnsiTheme="majorHAnsi" w:eastAsiaTheme="majorEastAsia" w:cstheme="majorBidi"/>
      <w:b/>
      <w:bCs/>
      <w:color w:val="1C4877"/>
      <w:sz w:val="28"/>
      <w:szCs w:val="28"/>
      <w:lang w:val="en-US" w:eastAsia="zh-CN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100"/>
      <w:ind w:firstLine="0"/>
      <w:outlineLvl w:val="1"/>
    </w:pPr>
    <w:rPr>
      <w:rFonts w:asciiTheme="majorHAnsi" w:hAnsiTheme="majorHAnsi" w:eastAsiaTheme="majorEastAsia" w:cstheme="majorBidi"/>
      <w:b/>
      <w:bCs/>
      <w:color w:val="1C4877"/>
      <w:sz w:val="22"/>
      <w:szCs w:val="26"/>
      <w:lang w:val="en-US" w:eastAsia="zh-CN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80"/>
      <w:ind w:firstLine="0"/>
      <w:outlineLvl w:val="2"/>
    </w:pPr>
    <w:rPr>
      <w:rFonts w:asciiTheme="majorHAnsi" w:hAnsiTheme="majorHAnsi" w:eastAsiaTheme="majorEastAsia" w:cstheme="majorBidi"/>
      <w:b/>
      <w:bCs/>
      <w:color w:val="222222"/>
      <w:sz w:val="21"/>
      <w:lang w:val="en-US" w:eastAsia="zh-CN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pPr>
      <w:spacing w:before="0" w:after="180"/>
    </w:pPr>
    <w:rPr>
      <w:rFonts w:asciiTheme="majorHAnsi" w:hAnsiTheme="majorHAnsi" w:eastAsiaTheme="majorEastAsia" w:cstheme="majorBidi"/>
      <w:i/>
      <w:iCs/>
      <w:color w:val="626E78"/>
      <w:spacing w:val="15"/>
      <w:sz w:val="26"/>
      <w:szCs w:val="24"/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TitleTop"/>
    <w:uiPriority w:val="0"/>
    <w:pPr>
      <w:spacing w:before="0" w:after="260" w:line="276" w:lineRule="auto"/>
    </w:pPr>
    <w:rPr>
      <w:rFonts w:ascii="Times New Roman" w:hAnsi="Times New Roman" w:eastAsia="宋体" w:cstheme="minorBidi"/>
      <w:color w:val="1C4877"/>
      <w:sz w:val="32"/>
      <w:szCs w:val="22"/>
      <w:lang w:val="en-US" w:eastAsia="en-US" w:bidi="ar-SA"/>
    </w:rPr>
  </w:style>
  <w:style w:type="paragraph" w:customStyle="1" w:styleId="165">
    <w:name w:val="MainTitle"/>
    <w:uiPriority w:val="0"/>
    <w:pPr>
      <w:spacing w:before="0" w:after="200" w:line="276" w:lineRule="auto"/>
    </w:pPr>
    <w:rPr>
      <w:rFonts w:ascii="Times New Roman" w:hAnsi="Times New Roman" w:eastAsia="宋体" w:cstheme="minorBidi"/>
      <w:b/>
      <w:color w:val="222222"/>
      <w:sz w:val="42"/>
      <w:szCs w:val="22"/>
      <w:lang w:val="en-US" w:eastAsia="en-US" w:bidi="ar-SA"/>
    </w:rPr>
  </w:style>
  <w:style w:type="paragraph" w:customStyle="1" w:styleId="166">
    <w:name w:val="TableTitleCustom"/>
    <w:uiPriority w:val="0"/>
    <w:pPr>
      <w:spacing w:before="180" w:after="60" w:line="276" w:lineRule="auto"/>
      <w:ind w:firstLine="0"/>
    </w:pPr>
    <w:rPr>
      <w:rFonts w:ascii="Times New Roman" w:hAnsi="Times New Roman" w:eastAsia="宋体" w:cstheme="minorBidi"/>
      <w:color w:val="222222"/>
      <w:sz w:val="19"/>
      <w:szCs w:val="22"/>
      <w:lang w:val="en-US" w:eastAsia="en-US" w:bidi="ar-SA"/>
    </w:rPr>
  </w:style>
  <w:style w:type="paragraph" w:customStyle="1" w:styleId="167">
    <w:name w:val="FigureCaptionCustom"/>
    <w:uiPriority w:val="0"/>
    <w:pPr>
      <w:spacing w:before="60" w:after="220" w:line="276" w:lineRule="auto"/>
      <w:ind w:firstLine="0"/>
    </w:pPr>
    <w:rPr>
      <w:rFonts w:ascii="Times New Roman" w:hAnsi="Times New Roman" w:eastAsia="宋体" w:cstheme="minorBidi"/>
      <w:color w:val="222222"/>
      <w:sz w:val="18"/>
      <w:szCs w:val="22"/>
      <w:lang w:val="en-US" w:eastAsia="en-US" w:bidi="ar-SA"/>
    </w:rPr>
  </w:style>
  <w:style w:type="paragraph" w:customStyle="1" w:styleId="168">
    <w:name w:val="SmallNote"/>
    <w:uiPriority w:val="0"/>
    <w:pPr>
      <w:spacing w:before="60" w:after="140" w:line="276" w:lineRule="auto"/>
      <w:ind w:firstLine="0"/>
    </w:pPr>
    <w:rPr>
      <w:rFonts w:ascii="Times New Roman" w:hAnsi="Times New Roman" w:eastAsia="宋体" w:cstheme="minorBidi"/>
      <w:color w:val="626E78"/>
      <w:sz w:val="17"/>
      <w:szCs w:val="22"/>
      <w:lang w:val="en-US" w:eastAsia="en-US" w:bidi="ar-SA"/>
    </w:rPr>
  </w:style>
  <w:style w:type="paragraph" w:customStyle="1" w:styleId="169">
    <w:name w:val="AbstractText"/>
    <w:uiPriority w:val="0"/>
    <w:pPr>
      <w:spacing w:before="0" w:after="100" w:line="276" w:lineRule="auto"/>
      <w:ind w:firstLine="0"/>
    </w:pPr>
    <w:rPr>
      <w:rFonts w:ascii="Times New Roman" w:hAnsi="Times New Roman" w:eastAsia="宋体" w:cstheme="minorBidi"/>
      <w:color w:val="222222"/>
      <w:sz w:val="21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numbering" Target="numbering.xml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1277</Words>
  <Characters>1856</Characters>
  <Lines>0</Lines>
  <Paragraphs>0</Paragraphs>
  <TotalTime>32</TotalTime>
  <ScaleCrop>false</ScaleCrop>
  <LinksUpToDate>false</LinksUpToDate>
  <CharactersWithSpaces>2074</CharactersWithSpaces>
  <Application>WPS Office_12.1.0.28599_F1E327BC-269C-435d-A152-05C5408002CA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项目技术资料汇编</dc:creator>
  <dc:description>依据用户上传的阶段 PDF 汇总；未验证的集成项明确标注。</dc:description>
  <cp:keywords>5G, KPI, GRU, Random Forest, Isolation Forest</cp:keywords>
  <cp:lastModifiedBy>白鸟</cp:lastModifiedBy>
  <dcterms:modified xsi:type="dcterms:W3CDTF">2026-10-25T07:11:06Z</dcterms:modified>
  <dc:subject>5G SA, KPI 预测, 无监督异常检测</dc:subject>
  <dc:title>基于 AI 的 5G 网络关键性能指标预测与异常检测系统：完整项目技术报告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eyJoZGlkIjoiM2NkYThkNzk1NjRiY2FkMmQxYTI1NDIwYTAwZTc5NjYiLCJ1c2VySWQiOiIyODgyMzk1NzcifQ==</vt:lpwstr>
  </property>
  <property fmtid="{D5CDD505-2E9C-101B-9397-08002B2CF9AE}" pid="3" name="KSOProductBuildVer">
    <vt:lpwstr>2052-12.1.0.28599</vt:lpwstr>
  </property>
  <property fmtid="{D5CDD505-2E9C-101B-9397-08002B2CF9AE}" pid="4" name="ICV">
    <vt:lpwstr>20ECA917C3374C1E908223123B579704_12</vt:lpwstr>
  </property>
</Properties>
</file>