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ADF" w:rsidRDefault="00CF0ADF"/>
    <w:tbl>
      <w:tblPr>
        <w:tblStyle w:val="Tablaconcuadrcula"/>
        <w:tblW w:w="920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992"/>
        <w:gridCol w:w="992"/>
        <w:gridCol w:w="1560"/>
        <w:gridCol w:w="1417"/>
        <w:gridCol w:w="1554"/>
      </w:tblGrid>
      <w:tr w:rsidR="00BD5892" w:rsidTr="00061DB9">
        <w:trPr>
          <w:trHeight w:val="672"/>
        </w:trPr>
        <w:tc>
          <w:tcPr>
            <w:tcW w:w="1418" w:type="dxa"/>
            <w:vAlign w:val="center"/>
          </w:tcPr>
          <w:p w:rsidR="00BD5892" w:rsidRPr="00BD5892" w:rsidRDefault="00BD5892" w:rsidP="00BD5892">
            <w:pPr>
              <w:jc w:val="center"/>
            </w:pPr>
            <w:r w:rsidRPr="00BD5892">
              <w:t>Marcador</w:t>
            </w:r>
          </w:p>
        </w:tc>
        <w:tc>
          <w:tcPr>
            <w:tcW w:w="1276" w:type="dxa"/>
            <w:vAlign w:val="center"/>
          </w:tcPr>
          <w:p w:rsidR="00BD5892" w:rsidRPr="00BD5892" w:rsidRDefault="00BD5892" w:rsidP="00BD5892">
            <w:pPr>
              <w:jc w:val="center"/>
            </w:pPr>
            <w:r w:rsidRPr="00BD5892">
              <w:t>Tipo de marcaje</w:t>
            </w:r>
          </w:p>
        </w:tc>
        <w:tc>
          <w:tcPr>
            <w:tcW w:w="992" w:type="dxa"/>
            <w:vAlign w:val="center"/>
          </w:tcPr>
          <w:p w:rsidR="00BD5892" w:rsidRPr="00BD5892" w:rsidRDefault="00BD5892" w:rsidP="00BD5892">
            <w:pPr>
              <w:jc w:val="center"/>
            </w:pPr>
            <w:r w:rsidRPr="00BD5892">
              <w:t>Ex/</w:t>
            </w:r>
            <w:proofErr w:type="spellStart"/>
            <w:r w:rsidRPr="00BD5892">
              <w:t>Em</w:t>
            </w:r>
            <w:proofErr w:type="spellEnd"/>
            <w:r w:rsidRPr="00BD5892">
              <w:t xml:space="preserve"> (</w:t>
            </w:r>
            <w:proofErr w:type="spellStart"/>
            <w:r w:rsidRPr="00BD5892">
              <w:t>nm</w:t>
            </w:r>
            <w:proofErr w:type="spellEnd"/>
            <w:r w:rsidRPr="00BD5892">
              <w:t>)</w:t>
            </w:r>
          </w:p>
        </w:tc>
        <w:tc>
          <w:tcPr>
            <w:tcW w:w="992" w:type="dxa"/>
            <w:vAlign w:val="center"/>
          </w:tcPr>
          <w:p w:rsidR="00BD5892" w:rsidRPr="00BD5892" w:rsidRDefault="00BD5892" w:rsidP="00BD5892">
            <w:pPr>
              <w:jc w:val="center"/>
            </w:pPr>
            <w:r>
              <w:t>Fijación</w:t>
            </w:r>
          </w:p>
        </w:tc>
        <w:tc>
          <w:tcPr>
            <w:tcW w:w="1560" w:type="dxa"/>
            <w:vAlign w:val="center"/>
          </w:tcPr>
          <w:p w:rsidR="00BD5892" w:rsidRPr="00BD5892" w:rsidRDefault="00BD5892" w:rsidP="00BD5892">
            <w:pPr>
              <w:jc w:val="center"/>
            </w:pPr>
            <w:r w:rsidRPr="00BD5892">
              <w:t>¿Para qué se utiliza?</w:t>
            </w:r>
          </w:p>
        </w:tc>
        <w:tc>
          <w:tcPr>
            <w:tcW w:w="1417" w:type="dxa"/>
            <w:vAlign w:val="center"/>
          </w:tcPr>
          <w:p w:rsidR="00BD5892" w:rsidRPr="00BD5892" w:rsidRDefault="00BD5892" w:rsidP="00BD5892">
            <w:pPr>
              <w:jc w:val="center"/>
            </w:pPr>
            <w:r w:rsidRPr="00BD5892">
              <w:t>Mecanismo de marcaje</w:t>
            </w:r>
          </w:p>
        </w:tc>
        <w:tc>
          <w:tcPr>
            <w:tcW w:w="1554" w:type="dxa"/>
            <w:vAlign w:val="center"/>
          </w:tcPr>
          <w:p w:rsidR="00BD5892" w:rsidRPr="00BD5892" w:rsidRDefault="00BD5892" w:rsidP="00BD5892">
            <w:pPr>
              <w:jc w:val="center"/>
            </w:pPr>
            <w:r w:rsidRPr="00BD5892">
              <w:t>Otros</w:t>
            </w:r>
          </w:p>
        </w:tc>
      </w:tr>
      <w:tr w:rsidR="00BD5892" w:rsidTr="00061DB9">
        <w:tc>
          <w:tcPr>
            <w:tcW w:w="1418" w:type="dxa"/>
          </w:tcPr>
          <w:p w:rsidR="00BD5892" w:rsidRDefault="00BD5892" w:rsidP="00BD5892">
            <w:proofErr w:type="spellStart"/>
            <w:r>
              <w:t>MitoTracker</w:t>
            </w:r>
            <w:proofErr w:type="spellEnd"/>
            <w:r>
              <w:t xml:space="preserve"> </w:t>
            </w:r>
            <w:r w:rsidRPr="00BD5892">
              <w:rPr>
                <w:b/>
                <w:color w:val="FF0000"/>
              </w:rPr>
              <w:t>Red</w:t>
            </w:r>
            <w:r>
              <w:t xml:space="preserve"> </w:t>
            </w:r>
            <w:proofErr w:type="spellStart"/>
            <w:r>
              <w:t>CMXRos</w:t>
            </w:r>
            <w:proofErr w:type="spellEnd"/>
          </w:p>
        </w:tc>
        <w:tc>
          <w:tcPr>
            <w:tcW w:w="1276" w:type="dxa"/>
          </w:tcPr>
          <w:p w:rsidR="00BD5892" w:rsidRDefault="00BD5892" w:rsidP="00BD5892">
            <w:proofErr w:type="spellStart"/>
            <w:r>
              <w:rPr>
                <w:rFonts w:ascii="Times New Roman" w:hAnsi="Times New Roman" w:cs="Times New Roman"/>
              </w:rPr>
              <w:t>ΔΨ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dependent</w:t>
            </w:r>
            <w:proofErr w:type="spellEnd"/>
          </w:p>
        </w:tc>
        <w:tc>
          <w:tcPr>
            <w:tcW w:w="992" w:type="dxa"/>
          </w:tcPr>
          <w:p w:rsidR="00BD5892" w:rsidRDefault="00BD5892" w:rsidP="00BD5892">
            <w:r>
              <w:t>Ex:579</w:t>
            </w:r>
          </w:p>
          <w:p w:rsidR="00BD5892" w:rsidRDefault="00BD5892" w:rsidP="00BD5892">
            <w:r>
              <w:t>Em:599</w:t>
            </w:r>
          </w:p>
        </w:tc>
        <w:tc>
          <w:tcPr>
            <w:tcW w:w="992" w:type="dxa"/>
          </w:tcPr>
          <w:p w:rsidR="00BD5892" w:rsidRDefault="00BD5892" w:rsidP="00BD5892">
            <w:r>
              <w:t>No afecta</w:t>
            </w:r>
          </w:p>
        </w:tc>
        <w:tc>
          <w:tcPr>
            <w:tcW w:w="1560" w:type="dxa"/>
          </w:tcPr>
          <w:p w:rsidR="00BD5892" w:rsidRDefault="00BD5892" w:rsidP="00BD5892">
            <w:r>
              <w:t xml:space="preserve">-Morfología mitocondrial en </w:t>
            </w:r>
            <w:proofErr w:type="spellStart"/>
            <w:r>
              <w:t>confocal</w:t>
            </w:r>
            <w:proofErr w:type="spellEnd"/>
          </w:p>
          <w:p w:rsidR="00BD5892" w:rsidRDefault="00BD5892" w:rsidP="00BD5892">
            <w:r>
              <w:t>-Determina</w:t>
            </w:r>
            <w:r w:rsidR="00061DB9">
              <w:t>-</w:t>
            </w:r>
            <w:proofErr w:type="spellStart"/>
            <w:r>
              <w:t>ción</w:t>
            </w:r>
            <w:proofErr w:type="spellEnd"/>
            <w: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ΔΨ</w:t>
            </w:r>
            <w:r>
              <w:t>m</w:t>
            </w:r>
            <w:proofErr w:type="spellEnd"/>
            <w:r>
              <w:t xml:space="preserve"> en </w:t>
            </w:r>
            <w:proofErr w:type="spellStart"/>
            <w:r>
              <w:t>citometría</w:t>
            </w:r>
            <w:proofErr w:type="spellEnd"/>
            <w:r>
              <w:t xml:space="preserve"> de flujo</w:t>
            </w:r>
          </w:p>
        </w:tc>
        <w:tc>
          <w:tcPr>
            <w:tcW w:w="1417" w:type="dxa"/>
          </w:tcPr>
          <w:p w:rsidR="00BD5892" w:rsidRDefault="00BD5892" w:rsidP="00BD5892">
            <w:r>
              <w:t xml:space="preserve">Catión basado en </w:t>
            </w:r>
            <w:proofErr w:type="spellStart"/>
            <w:r>
              <w:t>rosamina</w:t>
            </w:r>
            <w:proofErr w:type="spellEnd"/>
            <w:r>
              <w:t xml:space="preserve">, su entrada depende de </w:t>
            </w:r>
            <w:proofErr w:type="spellStart"/>
            <w:r>
              <w:rPr>
                <w:rFonts w:ascii="Times New Roman" w:hAnsi="Times New Roman" w:cs="Times New Roman"/>
              </w:rPr>
              <w:t>ΔΨ</w:t>
            </w:r>
            <w:r>
              <w:t>m</w:t>
            </w:r>
            <w:proofErr w:type="spellEnd"/>
            <w:r>
              <w:t>.</w:t>
            </w:r>
          </w:p>
        </w:tc>
        <w:tc>
          <w:tcPr>
            <w:tcW w:w="1554" w:type="dxa"/>
          </w:tcPr>
          <w:p w:rsidR="00BD5892" w:rsidRDefault="00BD5892" w:rsidP="00BD5892">
            <w:r>
              <w:t>Se puede usar para experimentos de marcaje múltiple</w:t>
            </w:r>
          </w:p>
        </w:tc>
      </w:tr>
      <w:tr w:rsidR="00BD5892" w:rsidTr="00061DB9">
        <w:tc>
          <w:tcPr>
            <w:tcW w:w="1418" w:type="dxa"/>
          </w:tcPr>
          <w:p w:rsidR="00BD5892" w:rsidRDefault="00BD5892" w:rsidP="00BD5892">
            <w:proofErr w:type="spellStart"/>
            <w:r>
              <w:t>MitoTracker</w:t>
            </w:r>
            <w:proofErr w:type="spellEnd"/>
            <w:r>
              <w:t xml:space="preserve"> </w:t>
            </w:r>
            <w:r w:rsidRPr="00BD5892">
              <w:rPr>
                <w:b/>
                <w:color w:val="00B050"/>
              </w:rPr>
              <w:t>Green</w:t>
            </w:r>
          </w:p>
        </w:tc>
        <w:tc>
          <w:tcPr>
            <w:tcW w:w="1276" w:type="dxa"/>
          </w:tcPr>
          <w:p w:rsidR="00BD5892" w:rsidRDefault="00BD5892" w:rsidP="00BD5892">
            <w:proofErr w:type="spellStart"/>
            <w:r>
              <w:rPr>
                <w:rFonts w:ascii="Times New Roman" w:hAnsi="Times New Roman" w:cs="Times New Roman"/>
              </w:rPr>
              <w:t>ΔΨ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indepen-dent</w:t>
            </w:r>
            <w:proofErr w:type="spellEnd"/>
          </w:p>
        </w:tc>
        <w:tc>
          <w:tcPr>
            <w:tcW w:w="992" w:type="dxa"/>
          </w:tcPr>
          <w:p w:rsidR="00BD5892" w:rsidRDefault="00BD5892" w:rsidP="00BD5892">
            <w:r>
              <w:t>Ex:490 Em:516</w:t>
            </w:r>
          </w:p>
        </w:tc>
        <w:tc>
          <w:tcPr>
            <w:tcW w:w="992" w:type="dxa"/>
          </w:tcPr>
          <w:p w:rsidR="00BD5892" w:rsidRDefault="00BD5892" w:rsidP="00BD5892">
            <w:r>
              <w:t>Sí afecta</w:t>
            </w:r>
          </w:p>
        </w:tc>
        <w:tc>
          <w:tcPr>
            <w:tcW w:w="1560" w:type="dxa"/>
          </w:tcPr>
          <w:p w:rsidR="00BD5892" w:rsidRDefault="00BD5892" w:rsidP="00BD5892">
            <w:r>
              <w:t>-Medida de la masa mitocondrial</w:t>
            </w:r>
          </w:p>
        </w:tc>
        <w:tc>
          <w:tcPr>
            <w:tcW w:w="1417" w:type="dxa"/>
          </w:tcPr>
          <w:p w:rsidR="00BD5892" w:rsidRDefault="00BD5892" w:rsidP="00BD5892">
            <w:r>
              <w:t>Se une a covalente-mente  a los aminoácidos con cisteínas libres de las proteínas mitocondriales</w:t>
            </w:r>
          </w:p>
        </w:tc>
        <w:tc>
          <w:tcPr>
            <w:tcW w:w="1554" w:type="dxa"/>
          </w:tcPr>
          <w:p w:rsidR="00BD5892" w:rsidRDefault="00936D6F" w:rsidP="00BD5892">
            <w:r>
              <w:t>En altas concentraciones tóxico</w:t>
            </w:r>
          </w:p>
        </w:tc>
      </w:tr>
    </w:tbl>
    <w:p w:rsidR="00CF0ADF" w:rsidRDefault="00CF0ADF"/>
    <w:p w:rsidR="0070327A" w:rsidRDefault="00BD5892">
      <w:r>
        <w:t>En resumen:</w:t>
      </w:r>
    </w:p>
    <w:p w:rsidR="00BD5892" w:rsidRDefault="00BD5892">
      <w:r>
        <w:t>La mayoría de los artículos miran, por separado:</w:t>
      </w:r>
    </w:p>
    <w:p w:rsidR="00BD5892" w:rsidRDefault="00BD5892" w:rsidP="00BD5892">
      <w:pPr>
        <w:pStyle w:val="Prrafodelista"/>
        <w:numPr>
          <w:ilvl w:val="0"/>
          <w:numId w:val="1"/>
        </w:numPr>
      </w:pPr>
      <w:r>
        <w:t xml:space="preserve">Masa mitocondrial con </w:t>
      </w:r>
      <w:r w:rsidRPr="00F666A2">
        <w:rPr>
          <w:b/>
          <w:color w:val="00B050"/>
        </w:rPr>
        <w:t>MTG</w:t>
      </w:r>
      <w:r w:rsidR="007B0CB9">
        <w:rPr>
          <w:b/>
          <w:color w:val="00B050"/>
        </w:rPr>
        <w:t xml:space="preserve"> </w:t>
      </w:r>
      <w:r w:rsidR="007B0CB9" w:rsidRPr="007B0CB9">
        <w:rPr>
          <w:b/>
        </w:rPr>
        <w:t>o NAO</w:t>
      </w:r>
    </w:p>
    <w:p w:rsidR="00BD5892" w:rsidRDefault="00BD5892" w:rsidP="00BD5892">
      <w:pPr>
        <w:pStyle w:val="Prrafodelista"/>
        <w:numPr>
          <w:ilvl w:val="0"/>
          <w:numId w:val="1"/>
        </w:numPr>
      </w:pPr>
      <w:r>
        <w:t xml:space="preserve">Morfología mitocondrial con </w:t>
      </w:r>
      <w:r w:rsidRPr="00F666A2">
        <w:rPr>
          <w:b/>
          <w:color w:val="FF0000"/>
        </w:rPr>
        <w:t>MTR</w:t>
      </w:r>
    </w:p>
    <w:p w:rsidR="00BD5892" w:rsidRDefault="00BD5892" w:rsidP="00BD5892">
      <w:pPr>
        <w:pStyle w:val="Prrafodelista"/>
        <w:numPr>
          <w:ilvl w:val="0"/>
          <w:numId w:val="1"/>
        </w:numPr>
      </w:pPr>
      <w:r>
        <w:t>Potencial de membrana mitocondrial (</w:t>
      </w:r>
      <w:proofErr w:type="spellStart"/>
      <w:r>
        <w:rPr>
          <w:rFonts w:ascii="Times New Roman" w:hAnsi="Times New Roman" w:cs="Times New Roman"/>
        </w:rPr>
        <w:t>ΔΨ</w:t>
      </w:r>
      <w:r>
        <w:t>m</w:t>
      </w:r>
      <w:proofErr w:type="spellEnd"/>
      <w:r>
        <w:t xml:space="preserve">) con </w:t>
      </w:r>
      <w:r w:rsidRPr="00F666A2">
        <w:rPr>
          <w:b/>
          <w:color w:val="FF0000"/>
        </w:rPr>
        <w:t>JC</w:t>
      </w:r>
      <w:r w:rsidRPr="00F666A2">
        <w:rPr>
          <w:b/>
          <w:color w:val="00B050"/>
        </w:rPr>
        <w:t>-1</w:t>
      </w:r>
      <w:r w:rsidRPr="00F666A2">
        <w:rPr>
          <w:color w:val="00B050"/>
        </w:rPr>
        <w:t xml:space="preserve"> </w:t>
      </w:r>
      <w:r>
        <w:t xml:space="preserve">o </w:t>
      </w:r>
      <w:r w:rsidRPr="00F666A2">
        <w:rPr>
          <w:b/>
          <w:color w:val="FF0000"/>
        </w:rPr>
        <w:t>TMRM</w:t>
      </w:r>
    </w:p>
    <w:p w:rsidR="00BD5892" w:rsidRDefault="00BD5892" w:rsidP="00BD5892">
      <w:pPr>
        <w:pStyle w:val="Prrafodelista"/>
        <w:numPr>
          <w:ilvl w:val="1"/>
          <w:numId w:val="1"/>
        </w:numPr>
      </w:pPr>
      <w:r>
        <w:t>JC-1 compara fluorescencia verde en citoplasma con fluorescencia rojo en mitocondria</w:t>
      </w:r>
    </w:p>
    <w:p w:rsidR="00F666A2" w:rsidRDefault="00F666A2" w:rsidP="00BD5892">
      <w:pPr>
        <w:pStyle w:val="Prrafodelista"/>
        <w:numPr>
          <w:ilvl w:val="1"/>
          <w:numId w:val="1"/>
        </w:numPr>
      </w:pPr>
      <w:r>
        <w:t>TMRM se usa cuando no se fija la muestra</w:t>
      </w:r>
    </w:p>
    <w:p w:rsidR="00BD5892" w:rsidRDefault="003407D7" w:rsidP="00BD5892">
      <w:r>
        <w:t>Sin embargo,</w:t>
      </w:r>
      <w:r w:rsidR="00BD5892">
        <w:t xml:space="preserve"> se recomienda normalizar el potencial de membrana a algún fact</w:t>
      </w:r>
      <w:r w:rsidR="0099048E">
        <w:t>or, como el volumen celular, la cantidad de proteína total o mitocondrial</w:t>
      </w:r>
      <w:r w:rsidR="00BD5892">
        <w:t xml:space="preserve"> o la masa mitocondrial.</w:t>
      </w:r>
    </w:p>
    <w:p w:rsidR="00F666A2" w:rsidRDefault="00BD5892" w:rsidP="00BD5892">
      <w:r>
        <w:t xml:space="preserve">Algún artículo hace ratio </w:t>
      </w:r>
      <w:proofErr w:type="spellStart"/>
      <w:r>
        <w:rPr>
          <w:rFonts w:ascii="Times New Roman" w:hAnsi="Times New Roman" w:cs="Times New Roman"/>
        </w:rPr>
        <w:t>ΔΨ</w:t>
      </w:r>
      <w:r>
        <w:t>m</w:t>
      </w:r>
      <w:proofErr w:type="spellEnd"/>
      <w:r>
        <w:t xml:space="preserve">/masa mitocondrial comparando TMRM con </w:t>
      </w:r>
      <w:proofErr w:type="spellStart"/>
      <w:r>
        <w:t>MitoTracker</w:t>
      </w:r>
      <w:proofErr w:type="spellEnd"/>
      <w:r>
        <w:t xml:space="preserve"> Green para hacer un análisis más fino de la función mitocondrial (TDP-43 ALS </w:t>
      </w:r>
      <w:proofErr w:type="spellStart"/>
      <w:r>
        <w:t>mutant</w:t>
      </w:r>
      <w:proofErr w:type="spellEnd"/>
      <w:r>
        <w:t>)</w:t>
      </w:r>
      <w:r w:rsidR="00F666A2">
        <w:t xml:space="preserve">. La normalización del </w:t>
      </w:r>
      <w:proofErr w:type="spellStart"/>
      <w:r w:rsidR="00F666A2">
        <w:rPr>
          <w:rFonts w:ascii="Times New Roman" w:hAnsi="Times New Roman" w:cs="Times New Roman"/>
        </w:rPr>
        <w:t>ΔΨ</w:t>
      </w:r>
      <w:r w:rsidR="00F666A2">
        <w:t>m</w:t>
      </w:r>
      <w:proofErr w:type="spellEnd"/>
      <w:r w:rsidR="00F666A2">
        <w:t xml:space="preserve"> se puede hacer también con MTR.</w:t>
      </w:r>
    </w:p>
    <w:p w:rsidR="00F666A2" w:rsidRDefault="00F666A2" w:rsidP="00BD5892">
      <w:r>
        <w:t xml:space="preserve">Se recomienda, en marcajes múltiples, teñir algún pocillo solo con </w:t>
      </w:r>
      <w:r w:rsidR="00061DB9">
        <w:t xml:space="preserve">MTR </w:t>
      </w:r>
      <w:r>
        <w:t xml:space="preserve">y solo con </w:t>
      </w:r>
      <w:r w:rsidR="00061DB9">
        <w:t>MTG</w:t>
      </w:r>
      <w:r>
        <w:t xml:space="preserve"> para asegurarnos de que no interfieren. También se recomienda usar un control positivo: células tratadas con FCCP, un </w:t>
      </w:r>
      <w:proofErr w:type="spellStart"/>
      <w:r>
        <w:t>desacoplador</w:t>
      </w:r>
      <w:proofErr w:type="spellEnd"/>
      <w:r>
        <w:t xml:space="preserve"> de membrana mitocondrial. La diferencia de fluorescencia entre nuestros controles no tratados y las células tratadas con FCCP da una medida aproximada del </w:t>
      </w:r>
      <w:proofErr w:type="spellStart"/>
      <w:r>
        <w:rPr>
          <w:rFonts w:ascii="Times New Roman" w:hAnsi="Times New Roman" w:cs="Times New Roman"/>
        </w:rPr>
        <w:t>ΔΨ</w:t>
      </w:r>
      <w:r>
        <w:t>m</w:t>
      </w:r>
      <w:proofErr w:type="spellEnd"/>
      <w:r>
        <w:t>.</w:t>
      </w:r>
    </w:p>
    <w:p w:rsidR="00E345F2" w:rsidRDefault="00E345F2" w:rsidP="00BD5892"/>
    <w:p w:rsidR="00E345F2" w:rsidRPr="00E345F2" w:rsidRDefault="00E345F2" w:rsidP="00BD5892">
      <w:r>
        <w:t xml:space="preserve">En este artículo ven un incremento de la masa mitocondrial sin cambios en </w:t>
      </w:r>
      <w:proofErr w:type="spellStart"/>
      <w:r>
        <w:rPr>
          <w:rFonts w:ascii="Times New Roman" w:hAnsi="Times New Roman" w:cs="Times New Roman"/>
        </w:rPr>
        <w:t>ΔΨ</w:t>
      </w:r>
      <w:r>
        <w:t>m</w:t>
      </w:r>
      <w:proofErr w:type="spellEnd"/>
      <w:r>
        <w:t xml:space="preserve"> en los mutantes de Mecp2. </w:t>
      </w:r>
      <w:r w:rsidRPr="00E345F2">
        <w:t>También ven más oxidación</w:t>
      </w:r>
      <w:r>
        <w:t xml:space="preserve">. </w:t>
      </w:r>
      <w:hyperlink r:id="rId5" w:history="1">
        <w:r w:rsidRPr="00E345F2">
          <w:rPr>
            <w:rStyle w:val="Hipervnculo"/>
          </w:rPr>
          <w:t>https://www.hindawi.com/journals/omcl/2017/3064016/</w:t>
        </w:r>
      </w:hyperlink>
    </w:p>
    <w:p w:rsidR="00E345F2" w:rsidRDefault="00E345F2" w:rsidP="00BD5892">
      <w:pPr>
        <w:rPr>
          <w:lang w:val="en-US"/>
        </w:rPr>
      </w:pPr>
      <w:r w:rsidRPr="00E345F2">
        <w:rPr>
          <w:lang w:val="en-US"/>
        </w:rPr>
        <w:lastRenderedPageBreak/>
        <w:t>“</w:t>
      </w:r>
      <w:r>
        <w:rPr>
          <w:lang w:val="en-US"/>
        </w:rPr>
        <w:t xml:space="preserve">(a) </w:t>
      </w:r>
      <w:r w:rsidRPr="00E345F2">
        <w:rPr>
          <w:lang w:val="en-US"/>
        </w:rPr>
        <w:t xml:space="preserve">In line with </w:t>
      </w:r>
      <w:r w:rsidRPr="00E345F2">
        <w:rPr>
          <w:highlight w:val="yellow"/>
          <w:lang w:val="en-US"/>
        </w:rPr>
        <w:t>the increased total mitochondrial mass in Mecp2−/y astrocytes</w:t>
      </w:r>
      <w:r w:rsidRPr="00E345F2">
        <w:rPr>
          <w:lang w:val="en-US"/>
        </w:rPr>
        <w:t xml:space="preserve">, also more individual organelles could be detected in these cells as compared to WT (). (b) Genotypic differences in the length of the individual mitochondria were not found. The histogram-type distribution represents the entity of all individual mitochondrial particles detected by the automated analyses in WT (9769 mitochondria) and Mecp2−/y astrocytes (21,424 mitochondria). (c) </w:t>
      </w:r>
      <w:r w:rsidRPr="00E345F2">
        <w:rPr>
          <w:highlight w:val="yellow"/>
          <w:lang w:val="en-US"/>
        </w:rPr>
        <w:t>The degree of polarization did not differ either among the genotypes</w:t>
      </w:r>
      <w:r w:rsidRPr="00E345F2">
        <w:rPr>
          <w:lang w:val="en-US"/>
        </w:rPr>
        <w:t xml:space="preserve">. Plotted is the cumulative distribution function of the </w:t>
      </w:r>
      <w:proofErr w:type="spellStart"/>
      <w:r w:rsidRPr="00E345F2">
        <w:rPr>
          <w:lang w:val="en-US"/>
        </w:rPr>
        <w:t>ΔΨm</w:t>
      </w:r>
      <w:proofErr w:type="spellEnd"/>
      <w:r w:rsidRPr="00E345F2">
        <w:rPr>
          <w:lang w:val="en-US"/>
        </w:rPr>
        <w:t xml:space="preserve"> of individual mitochondria of WT and Mecp2−/y astrocytes. It is based on the distribution of all recorded JC-1 ratios and indicates on the ordinate the probability that a WT or Mecp2−/y mitochondrion has a given </w:t>
      </w:r>
      <w:proofErr w:type="spellStart"/>
      <w:r w:rsidRPr="00E345F2">
        <w:rPr>
          <w:lang w:val="en-US"/>
        </w:rPr>
        <w:t>ΔΨm</w:t>
      </w:r>
      <w:proofErr w:type="spellEnd"/>
      <w:r w:rsidRPr="00E345F2">
        <w:rPr>
          <w:lang w:val="en-US"/>
        </w:rPr>
        <w:t xml:space="preserve"> (or less).</w:t>
      </w:r>
      <w:r>
        <w:rPr>
          <w:lang w:val="en-US"/>
        </w:rPr>
        <w:t>”</w:t>
      </w:r>
    </w:p>
    <w:p w:rsidR="00504E7F" w:rsidRPr="00504E7F" w:rsidRDefault="00504E7F" w:rsidP="00504E7F">
      <w:pPr>
        <w:rPr>
          <w:lang w:val="en-US"/>
        </w:rPr>
      </w:pPr>
      <w:r>
        <w:rPr>
          <w:lang w:val="en-US"/>
        </w:rPr>
        <w:t>“</w:t>
      </w:r>
      <w:r w:rsidRPr="00504E7F">
        <w:rPr>
          <w:lang w:val="en-US"/>
        </w:rPr>
        <w:t>It therefore seems that the increased mitochondrial content constitutes a cell-endogenous response to compensate for the mitochondria-related deficits and their limited metabolic/respiratory capacity</w:t>
      </w:r>
      <w:r>
        <w:rPr>
          <w:lang w:val="en-US"/>
        </w:rPr>
        <w:t>”</w:t>
      </w:r>
    </w:p>
    <w:p w:rsidR="0070327A" w:rsidRDefault="003407D7" w:rsidP="00BD5892">
      <w:pPr>
        <w:ind w:left="-142"/>
      </w:pPr>
      <w:r>
        <w:t>Artículos:</w:t>
      </w:r>
    </w:p>
    <w:p w:rsidR="00CF0ADF" w:rsidRDefault="00CF0ADF">
      <w:r>
        <w:t>1.</w:t>
      </w:r>
    </w:p>
    <w:p w:rsidR="00CF0ADF" w:rsidRDefault="00CF0ADF">
      <w:r>
        <w:t>Utilizan MTG para ver masa mitocondrial y MTR para ver morfología al microscopio</w:t>
      </w:r>
    </w:p>
    <w:p w:rsidR="00CF0ADF" w:rsidRDefault="00565FC2">
      <w:hyperlink r:id="rId6" w:history="1">
        <w:r w:rsidR="00CF0ADF">
          <w:rPr>
            <w:rStyle w:val="Hipervnculo"/>
          </w:rPr>
          <w:t>https://www.ncbi.nlm.nih.gov/pubmed/31085166</w:t>
        </w:r>
      </w:hyperlink>
    </w:p>
    <w:p w:rsidR="00CF0ADF" w:rsidRDefault="00CF0ADF"/>
    <w:p w:rsidR="00CF0ADF" w:rsidRDefault="00CF0ADF">
      <w:r>
        <w:t xml:space="preserve">2. </w:t>
      </w:r>
    </w:p>
    <w:p w:rsidR="00CF0ADF" w:rsidRDefault="00CF0ADF">
      <w:r>
        <w:t>MTR para ver morfología al microscopio y JC-1 para medir potencial de membrana mitocondrial (MMP)</w:t>
      </w:r>
    </w:p>
    <w:p w:rsidR="00CF0ADF" w:rsidRDefault="00565FC2">
      <w:hyperlink r:id="rId7" w:history="1">
        <w:r w:rsidR="00CF0ADF">
          <w:rPr>
            <w:rStyle w:val="Hipervnculo"/>
          </w:rPr>
          <w:t>https://link.springer.com/article/10.1007%2Fs00592-019-01366-x</w:t>
        </w:r>
      </w:hyperlink>
    </w:p>
    <w:p w:rsidR="00CF0ADF" w:rsidRDefault="00CF0ADF">
      <w:r>
        <w:t>JC-1 --&gt; a bajas concentraciones (no acumulado, disperso en el citoplasma) se ve verde. A altas concentraciones (dentro de la mitocondria, acumulado) se ve rojo.</w:t>
      </w:r>
    </w:p>
    <w:p w:rsidR="00CF0ADF" w:rsidRDefault="00CF0ADF"/>
    <w:p w:rsidR="00CF0ADF" w:rsidRDefault="00CF0ADF">
      <w:r>
        <w:t>3.</w:t>
      </w:r>
    </w:p>
    <w:p w:rsidR="00CF0ADF" w:rsidRDefault="00CF0ADF">
      <w:r>
        <w:t xml:space="preserve">MTR para ver morfología y TMRM para ver potencial de membrana, todo al </w:t>
      </w:r>
      <w:proofErr w:type="spellStart"/>
      <w:r>
        <w:t>confocal</w:t>
      </w:r>
      <w:proofErr w:type="spellEnd"/>
    </w:p>
    <w:p w:rsidR="00CF0ADF" w:rsidRDefault="00565FC2">
      <w:hyperlink r:id="rId8" w:history="1">
        <w:r w:rsidR="00CF0ADF">
          <w:rPr>
            <w:rStyle w:val="Hipervnculo"/>
          </w:rPr>
          <w:t>https://www.ncbi.nlm.nih.gov/pubmed/31068806</w:t>
        </w:r>
      </w:hyperlink>
    </w:p>
    <w:p w:rsidR="00CF0ADF" w:rsidRDefault="00CF0ADF"/>
    <w:p w:rsidR="00CF0ADF" w:rsidRDefault="00CF0ADF">
      <w:r>
        <w:t>4.</w:t>
      </w:r>
    </w:p>
    <w:p w:rsidR="00CF0ADF" w:rsidRDefault="00CF0ADF">
      <w:r>
        <w:t>MTG para medir masa mitocondrial y JC-1 para medir potencial de membrana</w:t>
      </w:r>
    </w:p>
    <w:p w:rsidR="00CF0ADF" w:rsidRDefault="00565FC2">
      <w:hyperlink r:id="rId9" w:history="1">
        <w:r w:rsidR="00CF0ADF">
          <w:rPr>
            <w:rStyle w:val="Hipervnculo"/>
          </w:rPr>
          <w:t>https://www.ncbi.nlm.nih.gov/pmc/articles/PMC6480491/</w:t>
        </w:r>
      </w:hyperlink>
    </w:p>
    <w:p w:rsidR="00CF0ADF" w:rsidRDefault="00CF0ADF"/>
    <w:p w:rsidR="00F352FD" w:rsidRDefault="00F352FD">
      <w:r>
        <w:t xml:space="preserve">5. </w:t>
      </w:r>
    </w:p>
    <w:p w:rsidR="00F352FD" w:rsidRDefault="00F352FD">
      <w:r>
        <w:t>MTG para medir masa mitocondrial. JC-1 para medir potencial de membrana. MTR para ver cambios en morfología.</w:t>
      </w:r>
    </w:p>
    <w:p w:rsidR="00F352FD" w:rsidRDefault="00565FC2">
      <w:hyperlink r:id="rId10" w:history="1">
        <w:r w:rsidR="00F352FD">
          <w:rPr>
            <w:rStyle w:val="Hipervnculo"/>
          </w:rPr>
          <w:t>https://www.ncbi.nlm.nih.gov/pubmed/30903243</w:t>
        </w:r>
      </w:hyperlink>
    </w:p>
    <w:p w:rsidR="00F352FD" w:rsidRDefault="00F352FD"/>
    <w:p w:rsidR="00F352FD" w:rsidRDefault="00F352FD">
      <w:r>
        <w:t>6.</w:t>
      </w:r>
    </w:p>
    <w:p w:rsidR="00F352FD" w:rsidRDefault="00F352FD">
      <w:r>
        <w:t>Explica cómo funcionan MTR y MTG</w:t>
      </w:r>
    </w:p>
    <w:p w:rsidR="00F352FD" w:rsidRDefault="00565FC2">
      <w:hyperlink r:id="rId11" w:history="1">
        <w:r w:rsidR="00F352FD">
          <w:rPr>
            <w:rStyle w:val="Hipervnculo"/>
          </w:rPr>
          <w:t>https://www.ncbi.nlm.nih.gov/pubmed/30881628</w:t>
        </w:r>
      </w:hyperlink>
    </w:p>
    <w:p w:rsidR="00F352FD" w:rsidRDefault="00F352FD"/>
    <w:p w:rsidR="00F352FD" w:rsidRDefault="00F352FD">
      <w:r>
        <w:t>7.</w:t>
      </w:r>
    </w:p>
    <w:p w:rsidR="00314E4E" w:rsidRDefault="00314E4E">
      <w:r>
        <w:t>MTG para masa mitocondrial, JC-1 para potencial de membrana</w:t>
      </w:r>
    </w:p>
    <w:p w:rsidR="00F352FD" w:rsidRDefault="00565FC2">
      <w:hyperlink r:id="rId12" w:history="1">
        <w:r w:rsidR="00314E4E">
          <w:rPr>
            <w:rStyle w:val="Hipervnculo"/>
          </w:rPr>
          <w:t>https://www.sciencedirect.com/science/article/pii/S0009279709001823?via%3Dihub</w:t>
        </w:r>
      </w:hyperlink>
    </w:p>
    <w:p w:rsidR="00C03EAA" w:rsidRDefault="00C03EAA">
      <w:r>
        <w:t>8.</w:t>
      </w:r>
    </w:p>
    <w:p w:rsidR="00C03EAA" w:rsidRDefault="00C03EAA">
      <w:r>
        <w:t xml:space="preserve">Aquí sugieren usar masa mitocondrial como control cuando se mide potencial de membrana mitocondrial, pero no hacen </w:t>
      </w:r>
      <w:proofErr w:type="gramStart"/>
      <w:r>
        <w:t>un ratio</w:t>
      </w:r>
      <w:proofErr w:type="gramEnd"/>
      <w:r>
        <w:t xml:space="preserve"> entre ellos</w:t>
      </w:r>
    </w:p>
    <w:p w:rsidR="00C03EAA" w:rsidRDefault="00565FC2">
      <w:hyperlink r:id="rId13" w:history="1">
        <w:r w:rsidR="00C03EAA">
          <w:rPr>
            <w:rStyle w:val="Hipervnculo"/>
          </w:rPr>
          <w:t>http://www.cyto.purdue.edu/cdroms/cyto4/15_apop/data/cossar1/cossariz.htm</w:t>
        </w:r>
      </w:hyperlink>
    </w:p>
    <w:p w:rsidR="00C03EAA" w:rsidRDefault="00C03EAA">
      <w:r>
        <w:t>9.</w:t>
      </w:r>
    </w:p>
    <w:p w:rsidR="00C03EAA" w:rsidRPr="007B0CB9" w:rsidRDefault="00C03EAA">
      <w:pPr>
        <w:rPr>
          <w:rFonts w:ascii="Arial" w:hAnsi="Arial" w:cs="Arial"/>
          <w:color w:val="1C1D1E"/>
          <w:shd w:val="clear" w:color="auto" w:fill="FFFFFF"/>
        </w:rPr>
      </w:pPr>
      <w:r w:rsidRPr="007B0CB9">
        <w:t>Aquí recomiendan normalizar con varios factores, entre ellos masa mitocondrial (</w:t>
      </w:r>
      <w:proofErr w:type="spellStart"/>
      <w:r w:rsidRPr="007B0CB9">
        <w:rPr>
          <w:rFonts w:ascii="Arial" w:hAnsi="Arial" w:cs="Arial"/>
          <w:i/>
          <w:iCs/>
          <w:color w:val="1C1D1E"/>
          <w:shd w:val="clear" w:color="auto" w:fill="FFFFFF"/>
        </w:rPr>
        <w:t>r</w:t>
      </w:r>
      <w:r>
        <w:rPr>
          <w:rFonts w:ascii="Arial" w:hAnsi="Arial" w:cs="Arial"/>
          <w:color w:val="1C1D1E"/>
          <w:shd w:val="clear" w:color="auto" w:fill="FFFFFF"/>
        </w:rPr>
        <w:t>ΔΨ</w:t>
      </w:r>
      <w:r w:rsidRPr="007B0CB9">
        <w:rPr>
          <w:rFonts w:ascii="Arial" w:hAnsi="Arial" w:cs="Arial"/>
          <w:color w:val="1C1D1E"/>
          <w:sz w:val="18"/>
          <w:szCs w:val="18"/>
          <w:shd w:val="clear" w:color="auto" w:fill="FFFFFF"/>
          <w:vertAlign w:val="subscript"/>
        </w:rPr>
        <w:t>m</w:t>
      </w:r>
      <w:proofErr w:type="spellEnd"/>
      <w:r w:rsidRPr="007B0CB9">
        <w:rPr>
          <w:rFonts w:ascii="Arial" w:hAnsi="Arial" w:cs="Arial"/>
          <w:color w:val="1C1D1E"/>
          <w:shd w:val="clear" w:color="auto" w:fill="FFFFFF"/>
        </w:rPr>
        <w:t>)</w:t>
      </w:r>
    </w:p>
    <w:p w:rsidR="00C03EAA" w:rsidRDefault="00C03EAA">
      <w:pPr>
        <w:rPr>
          <w:rFonts w:ascii="Arial" w:hAnsi="Arial" w:cs="Arial"/>
          <w:color w:val="1C1D1E"/>
          <w:shd w:val="clear" w:color="auto" w:fill="FFFFFF"/>
          <w:lang w:val="en-US"/>
        </w:rPr>
      </w:pPr>
      <w:r>
        <w:rPr>
          <w:rFonts w:ascii="Arial" w:hAnsi="Arial" w:cs="Arial"/>
          <w:color w:val="1C1D1E"/>
          <w:shd w:val="clear" w:color="auto" w:fill="FFFFFF"/>
          <w:lang w:val="en-US"/>
        </w:rPr>
        <w:t>“</w:t>
      </w:r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Mitochondrial membrane potential is often considered a measure of mitochondrial functionality, since a higher membrane potential may support a larger respiratory rate and ATP/ADP ratio </w:t>
      </w:r>
      <w:hyperlink r:id="rId14" w:anchor="bies201700001-bib-0027" w:history="1">
        <w:r w:rsidRPr="00C03EAA">
          <w:rPr>
            <w:rStyle w:val="Hipervnculo"/>
            <w:rFonts w:ascii="Arial" w:hAnsi="Arial" w:cs="Arial"/>
            <w:b/>
            <w:bCs/>
            <w:color w:val="000000"/>
            <w:lang w:val="en-US"/>
          </w:rPr>
          <w:t>27</w:t>
        </w:r>
      </w:hyperlink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, </w:t>
      </w:r>
      <w:hyperlink r:id="rId15" w:anchor="bies201700001-bib-0028" w:history="1">
        <w:r w:rsidRPr="00C03EAA">
          <w:rPr>
            <w:rStyle w:val="Hipervnculo"/>
            <w:rFonts w:ascii="Arial" w:hAnsi="Arial" w:cs="Arial"/>
            <w:b/>
            <w:bCs/>
            <w:color w:val="000000"/>
            <w:lang w:val="en-US"/>
          </w:rPr>
          <w:t>28</w:t>
        </w:r>
      </w:hyperlink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, as well as its role in quality control </w:t>
      </w:r>
      <w:hyperlink r:id="rId16" w:anchor="bies201700001-bib-0020" w:history="1">
        <w:r w:rsidRPr="00C03EAA">
          <w:rPr>
            <w:rStyle w:val="Hipervnculo"/>
            <w:rFonts w:ascii="Arial" w:hAnsi="Arial" w:cs="Arial"/>
            <w:b/>
            <w:bCs/>
            <w:color w:val="000000"/>
            <w:lang w:val="en-US"/>
          </w:rPr>
          <w:t>20</w:t>
        </w:r>
      </w:hyperlink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 (although this correspondence may not hold under all conditions, since inhibiting ATP synthase can cause membrane potential to increase </w:t>
      </w:r>
      <w:hyperlink r:id="rId17" w:anchor="bies201700001-bib-0028" w:history="1">
        <w:r w:rsidRPr="00C03EAA">
          <w:rPr>
            <w:rStyle w:val="Hipervnculo"/>
            <w:rFonts w:ascii="Arial" w:hAnsi="Arial" w:cs="Arial"/>
            <w:b/>
            <w:bCs/>
            <w:color w:val="000000"/>
            <w:lang w:val="en-US"/>
          </w:rPr>
          <w:t>28</w:t>
        </w:r>
      </w:hyperlink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, </w:t>
      </w:r>
      <w:hyperlink r:id="rId18" w:anchor="bies201700001-bib-0029" w:history="1">
        <w:r w:rsidRPr="00C03EAA">
          <w:rPr>
            <w:rStyle w:val="Hipervnculo"/>
            <w:rFonts w:ascii="Arial" w:hAnsi="Arial" w:cs="Arial"/>
            <w:b/>
            <w:bCs/>
            <w:color w:val="000000"/>
            <w:lang w:val="en-US"/>
          </w:rPr>
          <w:t>29</w:t>
        </w:r>
      </w:hyperlink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 xml:space="preserve">). It is important to distinguish between total </w:t>
      </w:r>
      <w:r>
        <w:rPr>
          <w:rFonts w:ascii="Arial" w:hAnsi="Arial" w:cs="Arial"/>
          <w:color w:val="1C1D1E"/>
          <w:shd w:val="clear" w:color="auto" w:fill="FFFFFF"/>
        </w:rPr>
        <w:t>ΔΨ</w:t>
      </w:r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 xml:space="preserve">, which is expected to scale with a characteristic size of the system (e.g. the size of the mitochondrial population, total cellular protein or some measure of the size of the cell itself, e.g. the radius), and a measure of </w:t>
      </w:r>
      <w:r>
        <w:rPr>
          <w:rFonts w:ascii="Arial" w:hAnsi="Arial" w:cs="Arial"/>
          <w:color w:val="1C1D1E"/>
          <w:shd w:val="clear" w:color="auto" w:fill="FFFFFF"/>
        </w:rPr>
        <w:t>ΔΨ</w:t>
      </w:r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 xml:space="preserve"> which is </w:t>
      </w:r>
      <w:proofErr w:type="spellStart"/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normalised</w:t>
      </w:r>
      <w:proofErr w:type="spellEnd"/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 xml:space="preserve"> to account for this scaling. We denote a relative measure of </w:t>
      </w:r>
      <w:r>
        <w:rPr>
          <w:rFonts w:ascii="Arial" w:hAnsi="Arial" w:cs="Arial"/>
          <w:color w:val="1C1D1E"/>
          <w:shd w:val="clear" w:color="auto" w:fill="FFFFFF"/>
        </w:rPr>
        <w:t>ΔΨ</w:t>
      </w:r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 xml:space="preserve"> with </w:t>
      </w:r>
      <w:r w:rsidRPr="00C03EAA">
        <w:rPr>
          <w:rFonts w:ascii="Arial" w:hAnsi="Arial" w:cs="Arial"/>
          <w:i/>
          <w:iCs/>
          <w:color w:val="1C1D1E"/>
          <w:shd w:val="clear" w:color="auto" w:fill="FFFFFF"/>
          <w:lang w:val="en-US"/>
        </w:rPr>
        <w:t>r</w:t>
      </w:r>
      <w:r>
        <w:rPr>
          <w:rFonts w:ascii="Arial" w:hAnsi="Arial" w:cs="Arial"/>
          <w:color w:val="1C1D1E"/>
          <w:shd w:val="clear" w:color="auto" w:fill="FFFFFF"/>
        </w:rPr>
        <w:t>ΔΨ</w:t>
      </w:r>
      <w:r w:rsidRPr="00C03EAA">
        <w:rPr>
          <w:rFonts w:ascii="Arial" w:hAnsi="Arial" w:cs="Arial"/>
          <w:color w:val="1C1D1E"/>
          <w:sz w:val="18"/>
          <w:szCs w:val="18"/>
          <w:shd w:val="clear" w:color="auto" w:fill="FFFFFF"/>
          <w:vertAlign w:val="subscript"/>
          <w:lang w:val="en-US"/>
        </w:rPr>
        <w:t>m</w:t>
      </w:r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, </w:t>
      </w:r>
      <w:r w:rsidRPr="00C03EAA">
        <w:rPr>
          <w:rFonts w:ascii="Arial" w:hAnsi="Arial" w:cs="Arial"/>
          <w:i/>
          <w:iCs/>
          <w:color w:val="1C1D1E"/>
          <w:shd w:val="clear" w:color="auto" w:fill="FFFFFF"/>
          <w:lang w:val="en-US"/>
        </w:rPr>
        <w:t>r</w:t>
      </w:r>
      <w:r>
        <w:rPr>
          <w:rFonts w:ascii="Arial" w:hAnsi="Arial" w:cs="Arial"/>
          <w:color w:val="1C1D1E"/>
          <w:shd w:val="clear" w:color="auto" w:fill="FFFFFF"/>
        </w:rPr>
        <w:t>ΔΨ</w:t>
      </w:r>
      <w:r w:rsidRPr="00C03EAA">
        <w:rPr>
          <w:rFonts w:ascii="Arial" w:hAnsi="Arial" w:cs="Arial"/>
          <w:color w:val="1C1D1E"/>
          <w:sz w:val="18"/>
          <w:szCs w:val="18"/>
          <w:shd w:val="clear" w:color="auto" w:fill="FFFFFF"/>
          <w:vertAlign w:val="subscript"/>
          <w:lang w:val="en-US"/>
        </w:rPr>
        <w:t>p</w:t>
      </w:r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 or </w:t>
      </w:r>
      <w:r w:rsidRPr="00C03EAA">
        <w:rPr>
          <w:rFonts w:ascii="Arial" w:hAnsi="Arial" w:cs="Arial"/>
          <w:i/>
          <w:iCs/>
          <w:color w:val="1C1D1E"/>
          <w:shd w:val="clear" w:color="auto" w:fill="FFFFFF"/>
          <w:lang w:val="en-US"/>
        </w:rPr>
        <w:t>r</w:t>
      </w:r>
      <w:r>
        <w:rPr>
          <w:rFonts w:ascii="Arial" w:hAnsi="Arial" w:cs="Arial"/>
          <w:color w:val="1C1D1E"/>
          <w:shd w:val="clear" w:color="auto" w:fill="FFFFFF"/>
        </w:rPr>
        <w:t>ΔΨ</w:t>
      </w:r>
      <w:r w:rsidRPr="00C03EAA">
        <w:rPr>
          <w:rFonts w:ascii="Arial" w:hAnsi="Arial" w:cs="Arial"/>
          <w:color w:val="1C1D1E"/>
          <w:sz w:val="18"/>
          <w:szCs w:val="18"/>
          <w:shd w:val="clear" w:color="auto" w:fill="FFFFFF"/>
          <w:vertAlign w:val="subscript"/>
          <w:lang w:val="en-US"/>
        </w:rPr>
        <w:t>r</w:t>
      </w:r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 xml:space="preserve"> for </w:t>
      </w:r>
      <w:proofErr w:type="spellStart"/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>normalisations</w:t>
      </w:r>
      <w:proofErr w:type="spellEnd"/>
      <w:r w:rsidRPr="00C03EAA">
        <w:rPr>
          <w:rFonts w:ascii="Arial" w:hAnsi="Arial" w:cs="Arial"/>
          <w:color w:val="1C1D1E"/>
          <w:shd w:val="clear" w:color="auto" w:fill="FFFFFF"/>
          <w:lang w:val="en-US"/>
        </w:rPr>
        <w:t xml:space="preserve"> by mitochondrial mass, total cellular protein and cell radius, respectively.</w:t>
      </w:r>
      <w:r>
        <w:rPr>
          <w:rFonts w:ascii="Arial" w:hAnsi="Arial" w:cs="Arial"/>
          <w:color w:val="1C1D1E"/>
          <w:shd w:val="clear" w:color="auto" w:fill="FFFFFF"/>
          <w:lang w:val="en-US"/>
        </w:rPr>
        <w:t>”</w:t>
      </w:r>
    </w:p>
    <w:p w:rsidR="001320BF" w:rsidRPr="007B0CB9" w:rsidRDefault="00565FC2">
      <w:pPr>
        <w:rPr>
          <w:lang w:val="en-US"/>
        </w:rPr>
      </w:pPr>
      <w:hyperlink r:id="rId19" w:history="1">
        <w:r w:rsidR="001320BF" w:rsidRPr="001320BF">
          <w:rPr>
            <w:rStyle w:val="Hipervnculo"/>
            <w:lang w:val="en-US"/>
          </w:rPr>
          <w:t>https://onlinelibrary.wiley.com/doi/full/10.1002/bies.201700001</w:t>
        </w:r>
      </w:hyperlink>
    </w:p>
    <w:p w:rsidR="001320BF" w:rsidRDefault="001320BF">
      <w:r>
        <w:t>10.</w:t>
      </w:r>
    </w:p>
    <w:p w:rsidR="001320BF" w:rsidRDefault="001320BF">
      <w:r>
        <w:t xml:space="preserve">Normalizan por tamaño celular, representan en la misma gráfica MTR y MTG para demostrar que la masa es estable pero la funcionalidad no </w:t>
      </w:r>
    </w:p>
    <w:p w:rsidR="001320BF" w:rsidRDefault="00565FC2">
      <w:hyperlink r:id="rId20" w:history="1">
        <w:r w:rsidR="001320BF">
          <w:rPr>
            <w:rStyle w:val="Hipervnculo"/>
          </w:rPr>
          <w:t>https://www.ncbi.nlm.nih.gov/pmc/articles/PMC5104693/</w:t>
        </w:r>
      </w:hyperlink>
    </w:p>
    <w:p w:rsidR="001320BF" w:rsidRDefault="001320BF">
      <w:r>
        <w:t>11.</w:t>
      </w:r>
    </w:p>
    <w:p w:rsidR="001320BF" w:rsidRPr="003407D7" w:rsidRDefault="008238F1">
      <w:r w:rsidRPr="003407D7">
        <w:rPr>
          <w:highlight w:val="yellow"/>
        </w:rPr>
        <w:t>Este artículo relativiza potencial de membrana (medido con TMRM) y masa mitocondrial (medido con MTG) en modelos de ALS con mutaciones en TDP-43 (</w:t>
      </w:r>
      <w:proofErr w:type="spellStart"/>
      <w:r w:rsidRPr="003407D7">
        <w:rPr>
          <w:highlight w:val="yellow"/>
        </w:rPr>
        <w:t>brain</w:t>
      </w:r>
      <w:proofErr w:type="spellEnd"/>
      <w:r w:rsidRPr="003407D7">
        <w:rPr>
          <w:highlight w:val="yellow"/>
        </w:rPr>
        <w:t xml:space="preserve">, </w:t>
      </w:r>
      <w:proofErr w:type="spellStart"/>
      <w:r w:rsidRPr="003407D7">
        <w:rPr>
          <w:highlight w:val="yellow"/>
        </w:rPr>
        <w:t>fibroblasts</w:t>
      </w:r>
      <w:proofErr w:type="spellEnd"/>
      <w:r w:rsidRPr="003407D7">
        <w:rPr>
          <w:highlight w:val="yellow"/>
        </w:rPr>
        <w:t>…)</w:t>
      </w:r>
    </w:p>
    <w:p w:rsidR="008238F1" w:rsidRDefault="00565FC2">
      <w:hyperlink r:id="rId21" w:history="1">
        <w:r w:rsidR="008238F1">
          <w:rPr>
            <w:rStyle w:val="Hipervnculo"/>
          </w:rPr>
          <w:t>https://www.researchgate.net/publication/316944919_Mutant_TDP-43_does_not_impair_mitochondrial_bioenergetics_in_vitro_and_in_vivo</w:t>
        </w:r>
      </w:hyperlink>
    </w:p>
    <w:p w:rsidR="008238F1" w:rsidRDefault="008238F1">
      <w:r>
        <w:lastRenderedPageBreak/>
        <w:t>12.</w:t>
      </w:r>
    </w:p>
    <w:p w:rsidR="008238F1" w:rsidRDefault="008238F1">
      <w:r>
        <w:t xml:space="preserve">Aquí enfrentan </w:t>
      </w:r>
      <w:proofErr w:type="spellStart"/>
      <w:r>
        <w:t>Rhodamine</w:t>
      </w:r>
      <w:proofErr w:type="spellEnd"/>
      <w:r>
        <w:t xml:space="preserve"> 123 con NAO para evaluar potencial vs masa en distintas fases del ciclo celular</w:t>
      </w:r>
    </w:p>
    <w:p w:rsidR="008238F1" w:rsidRDefault="00565FC2">
      <w:hyperlink r:id="rId22" w:history="1">
        <w:r w:rsidR="008238F1">
          <w:rPr>
            <w:rStyle w:val="Hipervnculo"/>
          </w:rPr>
          <w:t>https://www.ncbi.nlm.nih.gov/pubmed/10362021</w:t>
        </w:r>
      </w:hyperlink>
    </w:p>
    <w:p w:rsidR="008238F1" w:rsidRDefault="0070327A">
      <w:r>
        <w:t xml:space="preserve">13. Guía para analizar mitocondrias por </w:t>
      </w:r>
      <w:proofErr w:type="spellStart"/>
      <w:r>
        <w:t>citometría</w:t>
      </w:r>
      <w:proofErr w:type="spellEnd"/>
      <w:r>
        <w:t xml:space="preserve"> de flujo. Habla del potencial de membrana normalizado como la razón entre la fluorescencia con un marcaje dependiente de potencial de membrana (como </w:t>
      </w:r>
      <w:proofErr w:type="spellStart"/>
      <w:r>
        <w:t>MitoTracker</w:t>
      </w:r>
      <w:proofErr w:type="spellEnd"/>
      <w:r>
        <w:t xml:space="preserve"> Red </w:t>
      </w:r>
      <w:proofErr w:type="spellStart"/>
      <w:r>
        <w:t>CMXRos</w:t>
      </w:r>
      <w:proofErr w:type="spellEnd"/>
      <w:r>
        <w:t>) y la fluorescencia con un marcaje independiente (</w:t>
      </w:r>
      <w:proofErr w:type="spellStart"/>
      <w:r>
        <w:t>MitoTracker</w:t>
      </w:r>
      <w:proofErr w:type="spellEnd"/>
      <w:r>
        <w:t xml:space="preserve"> Green). Como parte de la fluorescencia emitida por el MTG puede ser absorbida por el MTR, recomiendan incluir muestras teñidas con solo uno de los </w:t>
      </w:r>
      <w:proofErr w:type="spellStart"/>
      <w:r>
        <w:t>fluoróforos</w:t>
      </w:r>
      <w:proofErr w:type="spellEnd"/>
      <w:r>
        <w:t>.</w:t>
      </w:r>
    </w:p>
    <w:p w:rsidR="0070327A" w:rsidRPr="0070327A" w:rsidRDefault="0070327A" w:rsidP="0070327A">
      <w:pPr>
        <w:rPr>
          <w:lang w:val="en-US"/>
        </w:rPr>
      </w:pPr>
      <w:r>
        <w:rPr>
          <w:lang w:val="en-US"/>
        </w:rPr>
        <w:t>“</w:t>
      </w:r>
      <w:r w:rsidRPr="0070327A">
        <w:rPr>
          <w:lang w:val="en-US"/>
        </w:rPr>
        <w:t xml:space="preserve">Owing to the small size of the mitochondrion, it is possible that dye molecules will bind in such a way that fluorescence resonance energy transfer may take place. Thus, it is conceivable that part of the fluorescence emission of MTG may be absorbed by </w:t>
      </w:r>
      <w:proofErr w:type="spellStart"/>
      <w:r w:rsidRPr="0070327A">
        <w:rPr>
          <w:lang w:val="en-US"/>
        </w:rPr>
        <w:t>CMXRos</w:t>
      </w:r>
      <w:proofErr w:type="spellEnd"/>
      <w:r w:rsidRPr="0070327A">
        <w:rPr>
          <w:lang w:val="en-US"/>
        </w:rPr>
        <w:t>. It is therefore recommended to include samples stained with a single dye to verify that the differences between samples observed do not result from differences in efficiency of energy transfer between pairs of dyes.</w:t>
      </w:r>
      <w:r>
        <w:rPr>
          <w:lang w:val="en-US"/>
        </w:rPr>
        <w:t>”</w:t>
      </w:r>
    </w:p>
    <w:p w:rsidR="0070327A" w:rsidRDefault="00565FC2">
      <w:pPr>
        <w:rPr>
          <w:rStyle w:val="Hipervnculo"/>
        </w:rPr>
      </w:pPr>
      <w:hyperlink r:id="rId23" w:history="1">
        <w:r w:rsidR="0070327A" w:rsidRPr="007B0CB9">
          <w:rPr>
            <w:rStyle w:val="Hipervnculo"/>
            <w:lang w:val="en-US"/>
          </w:rPr>
          <w:t>https://www.sciencedirect.com/science/article/pii/S0091679X01640093</w:t>
        </w:r>
      </w:hyperlink>
    </w:p>
    <w:p w:rsidR="007B0CB9" w:rsidRDefault="007B0CB9">
      <w:pPr>
        <w:rPr>
          <w:rStyle w:val="Hipervnculo"/>
          <w:color w:val="auto"/>
          <w:u w:val="none"/>
        </w:rPr>
      </w:pPr>
      <w:r w:rsidRPr="007B0CB9">
        <w:rPr>
          <w:rStyle w:val="Hipervnculo"/>
          <w:color w:val="auto"/>
          <w:u w:val="none"/>
        </w:rPr>
        <w:t>13.</w:t>
      </w:r>
    </w:p>
    <w:p w:rsidR="007B0CB9" w:rsidRPr="007B0CB9" w:rsidRDefault="007B0CB9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Aquí evalúan masa, morfología y potencial de membrana mitocondrial con NAO y JC-1 y lo validan por microscopía electrónica</w:t>
      </w:r>
      <w:bookmarkStart w:id="0" w:name="_GoBack"/>
      <w:bookmarkEnd w:id="0"/>
    </w:p>
    <w:p w:rsidR="007B0CB9" w:rsidRPr="007B0CB9" w:rsidRDefault="007B0CB9">
      <w:hyperlink r:id="rId24" w:history="1">
        <w:r>
          <w:rPr>
            <w:rStyle w:val="Hipervnculo"/>
          </w:rPr>
          <w:t>https://www.ncbi.nlm.nih.gov/pmc/articles/PMC2904361/</w:t>
        </w:r>
      </w:hyperlink>
    </w:p>
    <w:sectPr w:rsidR="007B0CB9" w:rsidRPr="007B0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D78"/>
    <w:multiLevelType w:val="hybridMultilevel"/>
    <w:tmpl w:val="F4562CF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DF"/>
    <w:rsid w:val="00061DB9"/>
    <w:rsid w:val="001320BF"/>
    <w:rsid w:val="001A2E13"/>
    <w:rsid w:val="00314E4E"/>
    <w:rsid w:val="003407D7"/>
    <w:rsid w:val="00464795"/>
    <w:rsid w:val="00504E7F"/>
    <w:rsid w:val="00565FC2"/>
    <w:rsid w:val="00694A95"/>
    <w:rsid w:val="0070327A"/>
    <w:rsid w:val="007B0CB9"/>
    <w:rsid w:val="008238F1"/>
    <w:rsid w:val="008E518C"/>
    <w:rsid w:val="00936D6F"/>
    <w:rsid w:val="0099048E"/>
    <w:rsid w:val="00BD5892"/>
    <w:rsid w:val="00C03EAA"/>
    <w:rsid w:val="00CF0ADF"/>
    <w:rsid w:val="00E345F2"/>
    <w:rsid w:val="00EB57D9"/>
    <w:rsid w:val="00F352FD"/>
    <w:rsid w:val="00F37F44"/>
    <w:rsid w:val="00F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1A9D"/>
  <w15:chartTrackingRefBased/>
  <w15:docId w15:val="{BB34D930-394B-48A3-847E-ADE92570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0AD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3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B57D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D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1068806" TargetMode="External"/><Relationship Id="rId13" Type="http://schemas.openxmlformats.org/officeDocument/2006/relationships/hyperlink" Target="http://www.cyto.purdue.edu/cdroms/cyto4/15_apop/data/cossar1/cossariz.htm" TargetMode="External"/><Relationship Id="rId18" Type="http://schemas.openxmlformats.org/officeDocument/2006/relationships/hyperlink" Target="https://onlinelibrary.wiley.com/doi/full/10.1002/bies.20170000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16944919_Mutant_TDP-43_does_not_impair_mitochondrial_bioenergetics_in_vitro_and_in_vivo" TargetMode="External"/><Relationship Id="rId7" Type="http://schemas.openxmlformats.org/officeDocument/2006/relationships/hyperlink" Target="https://link.springer.com/article/10.1007%2Fs00592-019-01366-x" TargetMode="External"/><Relationship Id="rId12" Type="http://schemas.openxmlformats.org/officeDocument/2006/relationships/hyperlink" Target="https://www.sciencedirect.com/science/article/pii/S0009279709001823?via%3Dihub" TargetMode="External"/><Relationship Id="rId17" Type="http://schemas.openxmlformats.org/officeDocument/2006/relationships/hyperlink" Target="https://onlinelibrary.wiley.com/doi/full/10.1002/bies.20170000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bies.201700001" TargetMode="External"/><Relationship Id="rId20" Type="http://schemas.openxmlformats.org/officeDocument/2006/relationships/hyperlink" Target="https://www.ncbi.nlm.nih.gov/pmc/articles/PMC510469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31085166" TargetMode="External"/><Relationship Id="rId11" Type="http://schemas.openxmlformats.org/officeDocument/2006/relationships/hyperlink" Target="https://www.ncbi.nlm.nih.gov/pubmed/30881628" TargetMode="External"/><Relationship Id="rId24" Type="http://schemas.openxmlformats.org/officeDocument/2006/relationships/hyperlink" Target="https://www.ncbi.nlm.nih.gov/pmc/articles/PMC2904361/" TargetMode="External"/><Relationship Id="rId5" Type="http://schemas.openxmlformats.org/officeDocument/2006/relationships/hyperlink" Target="https://www.hindawi.com/journals/omcl/2017/3064016/" TargetMode="External"/><Relationship Id="rId15" Type="http://schemas.openxmlformats.org/officeDocument/2006/relationships/hyperlink" Target="https://onlinelibrary.wiley.com/doi/full/10.1002/bies.201700001" TargetMode="External"/><Relationship Id="rId23" Type="http://schemas.openxmlformats.org/officeDocument/2006/relationships/hyperlink" Target="https://www.sciencedirect.com/science/article/pii/S0091679X01640093" TargetMode="External"/><Relationship Id="rId10" Type="http://schemas.openxmlformats.org/officeDocument/2006/relationships/hyperlink" Target="https://www.ncbi.nlm.nih.gov/pubmed/30903243" TargetMode="External"/><Relationship Id="rId19" Type="http://schemas.openxmlformats.org/officeDocument/2006/relationships/hyperlink" Target="https://onlinelibrary.wiley.com/doi/full/10.1002/bies.201700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480491/" TargetMode="External"/><Relationship Id="rId14" Type="http://schemas.openxmlformats.org/officeDocument/2006/relationships/hyperlink" Target="https://onlinelibrary.wiley.com/doi/full/10.1002/bies.201700001" TargetMode="External"/><Relationship Id="rId22" Type="http://schemas.openxmlformats.org/officeDocument/2006/relationships/hyperlink" Target="https://www.ncbi.nlm.nih.gov/pubmed/103620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1340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9</cp:revision>
  <dcterms:created xsi:type="dcterms:W3CDTF">2019-07-15T09:13:00Z</dcterms:created>
  <dcterms:modified xsi:type="dcterms:W3CDTF">2019-07-16T14:00:00Z</dcterms:modified>
</cp:coreProperties>
</file>