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<Relationship Id="rId1" Target="docProps/app.xml" Type="http://schemas.openxmlformats.org/officeDocument/2006/relationships/extended-properties"/>
<Relationship Id="rId2" Target="docProps/core.xml" Type="http://schemas.openxmlformats.org/package/2006/relationships/metadata/core-properties"/>
<Relationship Id="rId3" Target="docProps/custom.xml" Type="http://schemas.openxmlformats.org/officeDocument/2006/relationships/custom-properties"/>
<Relationship Id="rId4" Target="word/document.xml" Type="http://schemas.openxmlformats.org/officeDocument/2006/relationships/officeDocument"/>
</Relationships>
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>
      <w:pPr>
        <w:ind w:firstLine="883" w:firstLineChars="200"/>
        <w:jc w:val="center"/>
        <w:rPr>
          <w:rFonts w:eastAsia="仿宋_GB2312" w:hint="default"/>
          <w:lang w:eastAsia="zh-CN" w:val="en-US"/>
        </w:rPr>
      </w:pPr>
      <w:r>
        <w:rPr>
          <w:rFonts w:ascii="Times New Roman" w:eastAsia="仿宋_GB2312" w:hAnsi="Times New Roman" w:hint="eastAsia"/>
          <w:b/>
          <w:bCs/>
          <w:sz w:val="44"/>
          <w:szCs w:val="44"/>
          <w:lang w:eastAsia="zh-CN" w:val="en-US"/>
        </w:rPr>
        <w:t>湖北省武汉市自动站日报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200"/>
        <w:jc w:val="both"/>
        <w:textAlignment w:val="auto"/>
        <w:outlineLvl w:val="0"/>
        <w:rPr>
          <w:rFonts w:ascii="黑体" w:cs="黑体" w:eastAsia="黑体" w:hAnsi="黑体" w:hint="eastAsia"/>
          <w:color w:val="auto"/>
          <w:kern w:val="2"/>
          <w:sz w:val="32"/>
          <w:szCs w:val="32"/>
          <w:lang w:eastAsia="zh-CN" w:val="en-US"/>
        </w:rPr>
      </w:pPr>
      <w:r>
        <w:rPr>
          <w:rFonts w:ascii="黑体" w:cs="黑体" w:eastAsia="黑体" w:hAnsi="黑体" w:hint="eastAsia"/>
          <w:color w:val="auto"/>
          <w:kern w:val="2"/>
          <w:sz w:val="32"/>
          <w:szCs w:val="32"/>
          <w:lang w:eastAsia="zh-CN" w:val="en-US"/>
        </w:rPr>
        <w:t>一、自动站总体概况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cs="Times New Roman" w:eastAsia="仿宋_GB2312" w:hint="default"/>
          <w:color w:val="auto"/>
          <w:kern w:val="2"/>
          <w:sz w:val="32"/>
          <w:szCs w:val="32"/>
          <w:highlight w:val="none"/>
          <w:lang w:eastAsia="zh-CN" w:val="en-US"/>
        </w:rPr>
      </w:pP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>2026年4月21日</w:t>
      </w:r>
      <w:r>
        <w:rPr>
          <w:rFonts w:ascii="Times New Roman" w:cs="Times New Roman" w:eastAsia="仿宋_GB2312" w:hAnsi="Times New Roman" w:hint="default"/>
          <w:color w:val="auto"/>
          <w:kern w:val="2"/>
          <w:sz w:val="32"/>
          <w:szCs w:val="32"/>
          <w:lang w:eastAsia="zh-CN" w:val="en-US"/>
        </w:rPr>
        <w:t>，</w:t>
      </w: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>湖北省武汉市自动站</w:t>
      </w:r>
      <w:r>
        <w:rPr>
          <w:rFonts w:ascii="Times New Roman" w:eastAsia="仿宋_GB2312" w:hAnsi="Times New Roman" w:hint="eastAsia"/>
          <w:sz w:val="32"/>
          <w:szCs w:val="32"/>
        </w:rPr>
        <w:t>共</w:t>
      </w: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>34</w:t>
      </w:r>
      <w:r>
        <w:rPr>
          <w:rFonts w:ascii="Times New Roman" w:eastAsia="仿宋_GB2312" w:hAnsi="Times New Roman" w:hint="eastAsia"/>
          <w:sz w:val="32"/>
          <w:szCs w:val="32"/>
        </w:rPr>
        <w:t>个，</w:t>
      </w:r>
      <w:r>
        <w:rPr>
          <w:rFonts w:cs="Times New Roman" w:eastAsia="仿宋_GB2312" w:hint="eastAsia"/>
          <w:color w:val="auto"/>
          <w:kern w:val="2"/>
          <w:sz w:val="32"/>
          <w:szCs w:val="32"/>
          <w:highlight w:val="none"/>
          <w:lang w:eastAsia="zh-CN" w:val="en-US"/>
        </w:rPr>
        <w:t>实测</w:t>
      </w: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>19</w:t>
      </w:r>
      <w:r>
        <w:rPr>
          <w:rFonts w:cs="Times New Roman" w:eastAsia="仿宋_GB2312" w:hint="eastAsia"/>
          <w:color w:val="auto"/>
          <w:kern w:val="2"/>
          <w:sz w:val="32"/>
          <w:szCs w:val="32"/>
          <w:highlight w:val="none"/>
          <w:lang w:eastAsia="zh-CN" w:val="en-US"/>
        </w:rPr>
        <w:t/>
      </w: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/>
      </w:r>
      <w:r>
        <w:rPr>
          <w:rFonts w:cs="Times New Roman" w:eastAsia="仿宋_GB2312" w:hint="eastAsia"/>
          <w:color w:val="auto"/>
          <w:kern w:val="2"/>
          <w:sz w:val="32"/>
          <w:szCs w:val="32"/>
          <w:highlight w:val="none"/>
          <w:lang w:eastAsia="zh-CN" w:val="en-US"/>
        </w:rPr>
        <w:t>个</w:t>
      </w: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>,其中Ⅰ类断面2个，占比10.53%、Ⅱ类断面8个，占比42.11%、Ⅲ类断面2个，占比10.53%、Ⅳ类断面5个，占比26.32%、Ⅴ类断面2个，占比10.53%、无劣Ⅴ类断面</w:t>
      </w:r>
      <w:r>
        <w:rPr>
          <w:rFonts w:cs="Times New Roman" w:eastAsia="仿宋_GB2312" w:hint="eastAsia"/>
          <w:color w:val="auto"/>
          <w:kern w:val="2"/>
          <w:sz w:val="32"/>
          <w:szCs w:val="32"/>
          <w:highlight w:val="none"/>
          <w:lang w:eastAsia="zh-CN" w:val="en-US"/>
        </w:rPr>
        <w:t/>
      </w: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/>
      </w:r>
      <w:r>
        <w:rPr>
          <w:rFonts w:cs="Times New Roman" w:eastAsia="仿宋_GB2312" w:hint="eastAsia"/>
          <w:color w:val="auto"/>
          <w:kern w:val="2"/>
          <w:sz w:val="32"/>
          <w:szCs w:val="32"/>
          <w:highlight w:val="none"/>
          <w:lang w:eastAsia="zh-CN" w:val="en-US"/>
        </w:rPr>
        <w:t/>
      </w:r>
      <w:r>
        <w:rPr>
          <w:rFonts w:cs="Times New Roman" w:eastAsia="仿宋_GB2312" w:hint="eastAsia"/>
          <w:color w:val="auto"/>
          <w:kern w:val="2"/>
          <w:sz w:val="32"/>
          <w:szCs w:val="32"/>
          <w:highlight w:val="none"/>
          <w:lang w:eastAsia="zh-CN" w:val="en-US"/>
        </w:rPr>
        <w:t>，优良断面12个，优良率为63.16%,达标断面13个，达标率为68.42%，</w:t>
      </w: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>主要污染指标为溶解氧、总磷</w:t>
      </w:r>
      <w:r>
        <w:rPr>
          <w:rFonts w:cs="Times New Roman" w:eastAsia="仿宋_GB2312" w:hint="eastAsia"/>
          <w:color w:val="auto"/>
          <w:kern w:val="2"/>
          <w:sz w:val="32"/>
          <w:szCs w:val="32"/>
          <w:highlight w:val="none"/>
          <w:lang w:eastAsia="zh-CN" w:val="en-US"/>
        </w:rPr>
        <w:t/>
      </w:r>
      <w:r>
        <w:rPr>
          <w:rFonts w:ascii="Times New Roman" w:eastAsia="仿宋_GB2312" w:hAnsi="Times New Roman" w:hint="eastAsia"/>
          <w:sz w:val="32"/>
          <w:szCs w:val="32"/>
          <w:lang w:eastAsia="zh-CN" w:val="en-US"/>
        </w:rPr>
        <w:t/>
      </w:r>
      <w:r>
        <w:rPr>
          <w:rFonts w:cs="Times New Roman" w:eastAsia="仿宋_GB2312" w:hint="default"/>
          <w:color w:val="auto"/>
          <w:kern w:val="2"/>
          <w:sz w:val="32"/>
          <w:szCs w:val="32"/>
          <w:highlight w:val="none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cs="Times New Roman" w:eastAsia="仿宋_GB2312" w:hint="default"/>
          <w:color w:val="auto"/>
          <w:kern w:val="2"/>
          <w:sz w:val="32"/>
          <w:szCs w:val="32"/>
          <w:highlight w:val="none"/>
          <w:lang w:eastAsia="zh-CN" w:val="en-US"/>
        </w:rPr>
      </w:pPr>
      <w:r>
        <w:rPr>
          <w:rFonts w:cs="Times New Roman" w:eastAsia="仿宋_GB2312" w:hint="eastAsia"/>
          <w:color w:val="auto"/>
          <w:kern w:val="2"/>
          <w:sz w:val="32"/>
          <w:szCs w:val="32"/>
          <w:highlight w:val="none"/>
          <w:lang w:eastAsia="zh-CN" w:val="en-US"/>
        </w:rPr>
        <w:t>未达到优良的断面7个,分别为江夏湖心（Ⅳ类）、朱家河口（Ⅳ类）、太平沙（Ⅴ类）、黄陵大桥（Ⅳ类）、港洲村（Ⅴ类）、金水闸（Ⅳ类）、纱帽（右）（Ⅳ类）。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200"/>
        <w:jc w:val="both"/>
        <w:textAlignment w:val="auto"/>
        <w:outlineLvl w:val="0"/>
        <w:rPr>
          <w:rFonts w:hint="default"/>
          <w:lang w:eastAsia="zh-CN" w:val="en-US"/>
        </w:rPr>
      </w:pPr>
      <w:r>
        <w:rPr>
          <w:rFonts w:ascii="黑体" w:cs="黑体" w:eastAsia="黑体" w:hAnsi="黑体" w:hint="eastAsia"/>
          <w:color w:val="auto"/>
          <w:kern w:val="2"/>
          <w:sz w:val="32"/>
          <w:szCs w:val="32"/>
          <w:lang w:eastAsia="zh-CN" w:val="en-US"/>
        </w:rPr>
        <w:t>二、</w:t>
      </w:r>
      <w:r>
        <w:rPr>
          <w:rFonts w:ascii="黑体" w:cs="黑体" w:eastAsia="黑体" w:hAnsi="黑体" w:hint="eastAsia"/>
          <w:color w:val="auto"/>
          <w:sz w:val="32"/>
          <w:szCs w:val="32"/>
          <w:highlight w:val="none"/>
          <w:lang w:bidi="ar-SA" w:eastAsia="zh-CN" w:val="en-US"/>
        </w:rPr>
        <w:t>水质状况统计</w:t>
      </w:r>
      <w:bookmarkStart w:id="0" w:name="_GoBack"/>
      <w:bookmarkEnd w:id="0"/>
    </w:p>
    <w:tbl>
      <w:tblPr>
        <w:tblStyle w:val="13"/>
        <w:tblW w:type="pct" w:w="4836"/>
        <w:jc w:val="center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95"/>
        <w:gridCol w:w="1172"/>
        <w:gridCol w:w="787"/>
        <w:gridCol w:w="962"/>
        <w:gridCol w:w="969"/>
        <w:gridCol w:w="1025"/>
        <w:gridCol w:w="1073"/>
        <w:gridCol w:w="1366"/>
      </w:tblGrid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936"/>
          <w:tblHeader/>
          <w:jc w:val="center"/>
        </w:trPr>
        <w:tc>
          <w:tcPr>
            <w:tcW w:type="pct"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序号</w:t>
            </w:r>
          </w:p>
        </w:tc>
        <w:tc>
          <w:tcPr>
            <w:tcW w:type="pct"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地市</w:t>
            </w:r>
          </w:p>
        </w:tc>
        <w:tc>
          <w:tcPr>
            <w:tcW w:type="pct"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区县</w:t>
            </w:r>
          </w:p>
        </w:tc>
        <w:tc>
          <w:tcPr>
            <w:tcW w:type="pct"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水体</w:t>
            </w: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名称</w:t>
            </w:r>
          </w:p>
        </w:tc>
        <w:tc>
          <w:tcPr>
            <w:tcW w:type="pct"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断面</w:t>
            </w: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名称</w:t>
            </w:r>
          </w:p>
        </w:tc>
        <w:tc>
          <w:tcPr>
            <w:tcW w:type="pct"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断面属性</w:t>
            </w:r>
          </w:p>
        </w:tc>
        <w:tc>
          <w:tcPr>
            <w:tcW w:type="pct"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水体类型</w:t>
            </w:r>
          </w:p>
        </w:tc>
        <w:tc>
          <w:tcPr>
            <w:tcW w:type="pct"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2026年4月21日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举水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新洲长源自来水公司水源地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新洲区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举水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郭玉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Ⅰ类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新洲区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倒水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龙口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4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新洲区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倒水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冯集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Ⅲ类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5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斧头湖武汉水域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江夏湖心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湖库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6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梁子湖武汉水域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牛山湖湖心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湖库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7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梁子湖武汉水域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西梁子湖湖北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湖库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8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梁子湖武汉水域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西梁子湖湖南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湖库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9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梁子湖武汉水域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西梁子湖南北嘴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湖库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10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汉江白鹤嘴水厂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11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东西湖西湖水厂水源地（走马岭）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12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汉江琴断口水厂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13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汉阳区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宗关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Ⅰ类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14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江岸区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涢水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朱家河口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15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黄陂区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涢水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太平沙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Ⅴ类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16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黄陂区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滠水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滠口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17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滠水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北门港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18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蔡甸区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通顺河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黄陵大桥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19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蔡甸区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通顺河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港洲村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Ⅴ类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20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金水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新河口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21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金水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金水闸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22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长江巡测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湖北省水质监测船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23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江夏金口水厂水源地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24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长江港东水厂水源地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25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长江余家头水厂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26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长江沌口水厂水源地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27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长江堤角水厂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28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汉阳区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杨泗港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29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纱帽水厂水源地（汉武水厂）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30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纱帽（右）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31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长江干流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黄陂武湖水厂水源地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32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长江支流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蔡甸水厂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33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/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长江支流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黄陂前川水厂水源地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34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武汉市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新洲区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黄丝河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挖沟泵站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国控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河流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Ⅲ类</w:t>
            </w:r>
          </w:p>
        </w:tc>
      </w:tr>
    </w:tbl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200"/>
        <w:jc w:val="both"/>
        <w:textAlignment w:val="auto"/>
        <w:outlineLvl w:val="0"/>
        <w:rPr>
          <w:rFonts w:hint="default"/>
          <w:lang w:eastAsia="zh-CN" w:val="en-US"/>
        </w:rPr>
      </w:pPr>
      <w:r>
        <w:rPr>
          <w:rFonts w:ascii="黑体" w:cs="黑体" w:eastAsia="黑体" w:hAnsi="黑体" w:hint="eastAsia"/>
          <w:color w:val="auto"/>
          <w:kern w:val="2"/>
          <w:sz w:val="32"/>
          <w:szCs w:val="32"/>
          <w:lang w:eastAsia="zh-CN" w:val="en-US"/>
        </w:rPr>
        <w:t>三、</w:t>
      </w:r>
      <w:r>
        <w:rPr>
          <w:rFonts w:ascii="黑体" w:cs="黑体" w:eastAsia="黑体" w:hAnsi="黑体" w:hint="eastAsia"/>
          <w:color w:val="auto"/>
          <w:sz w:val="32"/>
          <w:szCs w:val="32"/>
          <w:highlight w:val="none"/>
          <w:lang w:bidi="ar-SA" w:eastAsia="zh-CN" w:val="en-US"/>
        </w:rPr>
        <w:t>水质指标详情</w:t>
      </w:r>
    </w:p>
    <w:tbl>
      <w:tblPr>
        <w:tblStyle w:val="13"/>
        <w:tblW w:type="pct" w:w="4836"/>
        <w:jc w:val="center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95"/>
        <w:gridCol w:w="1172"/>
        <w:gridCol w:w="787"/>
        <w:gridCol w:w="962"/>
        <w:gridCol w:w="969"/>
        <w:gridCol w:w="1025"/>
        <w:gridCol w:w="1073"/>
        <w:gridCol w:w="1366"/>
      </w:tblGrid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936"/>
          <w:tblHeader/>
          <w:jc w:val="center"/>
        </w:trPr>
        <w:tc>
          <w:tcPr>
            <w:tcW w:type="pct"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序号</w:t>
            </w:r>
          </w:p>
        </w:tc>
        <w:tc>
          <w:tcPr>
            <w:tcW w:type="dxa" w:w="117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断面名称</w:t>
            </w:r>
          </w:p>
        </w:tc>
        <w:tc>
          <w:tcPr>
            <w:tcW w:type="dxa" w:w="78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溶解氧mg/L</w:t>
            </w:r>
          </w:p>
        </w:tc>
        <w:tc>
          <w:tcPr>
            <w:tcW w:type="dxa" w:w="96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浊度NTU</w:t>
            </w:r>
          </w:p>
        </w:tc>
        <w:tc>
          <w:tcPr>
            <w:tcW w:type="dxa" w:w="96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高锰酸盐指数mg/L</w:t>
            </w:r>
          </w:p>
        </w:tc>
        <w:tc>
          <w:tcPr>
            <w:tcW w:type="dxa" w:w="102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tcMar>
              <w:top w:type="dxa" w:w="12"/>
              <w:left w:type="dxa" w:w="12"/>
              <w:right w:type="dxa" w:w="12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氨氮mg/L</w:t>
            </w:r>
          </w:p>
        </w:tc>
        <w:tc>
          <w:tcPr>
            <w:tcW w:type="dxa" w:w="1073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总磷mg/L</w:t>
            </w:r>
          </w:p>
        </w:tc>
        <w:tc>
          <w:tcPr>
            <w:tcW w:type="dxa" w:w="13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cs="仿宋" w:eastAsia="仿宋" w:hAnsi="仿宋" w:hint="default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</w:pPr>
            <w:r>
              <w:rPr>
                <w:rFonts w:ascii="仿宋" w:cs="仿宋" w:eastAsia="仿宋" w:hAnsi="仿宋" w:hint="eastAsia"/>
                <w:b/>
                <w:bCs/>
                <w:i w:val="0"/>
                <w:color w:val="000000"/>
                <w:kern w:val="0"/>
                <w:sz w:val="18"/>
                <w:szCs w:val="18"/>
                <w:u w:val="none"/>
                <w:lang w:bidi="ar" w:eastAsia="zh-CN" w:val="en-US"/>
              </w:rPr>
              <w:t>水质类别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新洲长源自来水公司水源地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郭玉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7.9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28.94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Ⅰ类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龙口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7.3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22.55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0.1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4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冯集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5.5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21.92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Ⅲ类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5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江夏湖心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8.2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6.43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4.7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0.09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0.08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6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牛山湖湖心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8.5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18.09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2.2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0.02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0.01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7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西梁子湖湖北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8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12.69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2.7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0.02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8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西梁子湖湖南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9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西梁子湖南北嘴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10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汉江白鹤嘴水厂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11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东西湖西湖水厂水源地（走马岭）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12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汉江琴断口水厂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13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宗关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9.3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9.91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Ⅰ类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14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朱家河口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4.5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35.06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15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太平沙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2.4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19.18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Ⅴ类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16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滠口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6.7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25.13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0.04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17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北门港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8.3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13.77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3.6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0.06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0.07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18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黄陵大桥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3.9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15.16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19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港洲村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2.9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12.26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0.38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0.14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Ⅴ类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20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新河口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6.3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5.63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4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0.04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0.1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21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金水闸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4.7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22.33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0.11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0.08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22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湖北省水质监测船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7.9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27.21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2.7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0.12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0.06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23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江夏金口水厂水源地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24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长江港东水厂水源地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25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长江余家头水厂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26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长江沌口水厂水源地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27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长江堤角水厂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28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杨泗港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8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19.37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0.05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Ⅱ类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29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纱帽水厂水源地（汉武水厂）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30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纱帽（右）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8.6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33.18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1.7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0.05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Ⅳ类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31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黄陂武湖水厂水源地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32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蔡甸水厂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33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黄陂前川水厂水源地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</w:tr>
      <w:tr>
        <w:tc>
          <w:tcPr>
            <w:tcW w:w="43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34</w:t>
            </w:r>
          </w:p>
        </w:tc>
        <w:tc>
          <w:tcPr>
            <w:tcW w:w="72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挖沟泵站</w:t>
            </w:r>
          </w:p>
        </w:tc>
        <w:tc>
          <w:tcPr>
            <w:tcW w:w="489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5.7</w:t>
            </w:r>
          </w:p>
        </w:tc>
        <w:tc>
          <w:tcPr>
            <w:tcW w:w="597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26.6</w:t>
            </w:r>
          </w:p>
        </w:tc>
        <w:tc>
          <w:tcPr>
            <w:tcW w:w="60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3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val="clear" w:fill="auto"/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66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-</w:t>
            </w:r>
          </w:p>
        </w:tc>
        <w:tc>
          <w:tcPr>
            <w:tcW w:w="84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vAlign w:val="center"/>
          </w:tcPr>
          <w:p>
            <w:pPr>
              <w:pageBreakBefore w:val="false"/>
              <w:pBdr/>
              <w:jc w:val="center"/>
              <w:textAlignment w:val="center"/>
            </w:pPr>
            <w:r>
              <w:rPr>
                <w:rFonts w:ascii="仿宋" w:hAnsi="仿宋" w:cs="仿宋" w:eastAsia="仿宋" w:asciiTheme="" w:cstheme="" w:eastAsiaTheme="" w:hAnsiTheme=""/>
                <w:b w:val="false"/>
                <w:i w:val="false"/>
                <w:strike w:val="false"/>
                <w:color w:val="000000"/>
                <w:position w:val="-1"/>
                <w:sz w:val="24"/>
                <w:u w:val="none"/>
              </w:rPr>
              <w:t>Ⅲ类</w:t>
            </w:r>
          </w:p>
        </w:tc>
      </w:tr>
    </w:tbl>
    <w:p/>
    <w:p/>
    <w:p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CB9B3BD2"/>
    <w:multiLevelType w:val="multilevel"/>
    <w:tmpl w:val="CB9B3BD2"/>
    <w:lvl w:ilvl="0" w:tentative="0">
      <w:start w:val="1"/>
      <w:numFmt w:val="chineseCountingThousand"/>
      <w:pStyle w:val="2"/>
      <w:lvlText w:val="%1、"/>
      <w:lvlJc w:val="left"/>
      <w:pPr>
        <w:ind w:hanging="420" w:left="420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pStyle w:val="3"/>
      <w:isLgl/>
      <w:lvlText w:val="%1.%2."/>
      <w:lvlJc w:val="left"/>
      <w:pPr>
        <w:ind w:hanging="567" w:left="567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isLgl/>
      <w:lvlText w:val="%1.%2.%3."/>
      <w:lvlJc w:val="left"/>
      <w:pPr>
        <w:ind w:hanging="709" w:left="709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pStyle w:val="5"/>
      <w:isLgl/>
      <w:lvlText w:val="%1.%2.%3.%4."/>
      <w:lvlJc w:val="left"/>
      <w:pPr>
        <w:ind w:hanging="851" w:left="851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hanging="992" w:left="992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30"/>
        <w:szCs w:val="3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hanging="1134" w:left="1134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hanging="1276" w:left="1276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hanging="1418" w:left="1418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hanging="1559" w:left="1559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props3d w14:contourW="0" w14:extrusionH="0" w14:prstMaterial="none"/>
        <w14:scene3d>
          <w14:lightRig w14:dir="t" w14:rig="threeP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VlMzA2MmQ4MDEyMWQ4MWZhODYwZDg4ZDA5ODkwNDAifQ=="/>
  </w:docVars>
  <w:rsids>
    <w:rsidRoot w:val="00172A27"/>
    <w:rsid w:val="00316A12"/>
    <w:rsid w:val="021F2DBB"/>
    <w:rsid w:val="02D57A8D"/>
    <w:rsid w:val="03FD05D6"/>
    <w:rsid w:val="064A01B5"/>
    <w:rsid w:val="0707383E"/>
    <w:rsid w:val="07245E7A"/>
    <w:rsid w:val="082C1DC0"/>
    <w:rsid w:val="0ABF333B"/>
    <w:rsid w:val="0B093D05"/>
    <w:rsid w:val="0EB421D9"/>
    <w:rsid w:val="0F900825"/>
    <w:rsid w:val="11DB7B4F"/>
    <w:rsid w:val="125D0492"/>
    <w:rsid w:val="13F957F6"/>
    <w:rsid w:val="1B210BF7"/>
    <w:rsid w:val="235F4920"/>
    <w:rsid w:val="2668024D"/>
    <w:rsid w:val="295075A7"/>
    <w:rsid w:val="30643D13"/>
    <w:rsid w:val="310244C0"/>
    <w:rsid w:val="332716B0"/>
    <w:rsid w:val="332B3AC7"/>
    <w:rsid w:val="3A4E6EC1"/>
    <w:rsid w:val="3B754A3B"/>
    <w:rsid w:val="3CC02A92"/>
    <w:rsid w:val="3D671104"/>
    <w:rsid w:val="40F06B41"/>
    <w:rsid w:val="41320BB8"/>
    <w:rsid w:val="484D4673"/>
    <w:rsid w:val="4C6E4F29"/>
    <w:rsid w:val="50131BB5"/>
    <w:rsid w:val="50A91760"/>
    <w:rsid w:val="53CA50A0"/>
    <w:rsid w:val="541E44DD"/>
    <w:rsid w:val="5498389E"/>
    <w:rsid w:val="580E03AC"/>
    <w:rsid w:val="60910D3F"/>
    <w:rsid w:val="61D57F85"/>
    <w:rsid w:val="64F81E71"/>
    <w:rsid w:val="65101C17"/>
    <w:rsid w:val="66A04FD3"/>
    <w:rsid w:val="6BC75B32"/>
    <w:rsid w:val="6EB34837"/>
    <w:rsid w:val="6F9A769F"/>
    <w:rsid w:val="74247984"/>
    <w:rsid w:val="74EC4F81"/>
    <w:rsid w:val="7763343D"/>
    <w:rsid w:val="77D01FB6"/>
    <w:rsid w:val="789D1C67"/>
    <w:rsid w:val="79A74146"/>
    <w:rsid w:val="7C49795C"/>
    <w:rsid w:val="7D10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qFormat="1" w:semiHidden="0" w:uiPriority="99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qFormat="1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qFormat="1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after="330" w:afterAutospacing="0" w:afterLines="0" w:before="340" w:beforeAutospacing="0" w:beforeLines="0" w:line="576" w:lineRule="auto"/>
      <w:ind w:hanging="420" w:left="420"/>
      <w:outlineLvl w:val="0"/>
    </w:pPr>
    <w:rPr>
      <w:rFonts w:asciiTheme="minorAscii" w:eastAsia="黑体" w:hAnsiTheme="minorAscii"/>
      <w:b/>
      <w:kern w:val="44"/>
      <w:sz w:val="32"/>
    </w:rPr>
  </w:style>
  <w:style w:styleId="3" w:type="paragraph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after="260" w:afterAutospacing="0" w:afterLines="0" w:before="260" w:beforeAutospacing="0" w:beforeLines="0" w:line="413" w:lineRule="auto"/>
      <w:ind w:hanging="567" w:left="567"/>
      <w:outlineLvl w:val="1"/>
    </w:pPr>
    <w:rPr>
      <w:rFonts w:ascii="Arial" w:eastAsia="黑体" w:hAnsi="Arial"/>
      <w:b/>
      <w:sz w:val="32"/>
    </w:rPr>
  </w:style>
  <w:style w:styleId="4" w:type="paragraph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after="260" w:afterAutospacing="0" w:afterLines="0" w:before="260" w:beforeAutospacing="0" w:beforeLines="0" w:line="413" w:lineRule="auto"/>
      <w:ind w:hanging="709" w:left="709"/>
      <w:outlineLvl w:val="2"/>
    </w:pPr>
    <w:rPr>
      <w:b/>
      <w:sz w:val="32"/>
    </w:rPr>
  </w:style>
  <w:style w:styleId="5" w:type="paragraph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after="290" w:afterAutospacing="0" w:afterLines="0" w:before="280" w:beforeAutospacing="0" w:beforeLines="0" w:line="372" w:lineRule="auto"/>
      <w:ind w:hanging="851" w:left="851"/>
      <w:outlineLvl w:val="3"/>
    </w:pPr>
    <w:rPr>
      <w:rFonts w:ascii="Arial" w:eastAsia="黑体" w:hAnsi="Arial"/>
      <w:b/>
      <w:sz w:val="30"/>
    </w:rPr>
  </w:style>
  <w:style w:styleId="6" w:type="paragraph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after="290" w:afterAutospacing="0" w:afterLines="0" w:before="280" w:beforeAutospacing="0" w:beforeLines="0" w:line="372" w:lineRule="auto"/>
      <w:ind w:hanging="992" w:left="992"/>
      <w:outlineLvl w:val="4"/>
    </w:pPr>
    <w:rPr>
      <w:b/>
      <w:sz w:val="28"/>
    </w:rPr>
  </w:style>
  <w:style w:styleId="7" w:type="paragraph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after="64" w:afterAutospacing="0" w:afterLines="0" w:before="240" w:beforeAutospacing="0" w:beforeLines="0" w:line="317" w:lineRule="auto"/>
      <w:ind w:hanging="1134" w:left="1134"/>
      <w:outlineLvl w:val="5"/>
    </w:pPr>
    <w:rPr>
      <w:rFonts w:ascii="Arial" w:eastAsia="黑体" w:hAnsi="Arial"/>
      <w:b/>
      <w:sz w:val="24"/>
    </w:rPr>
  </w:style>
  <w:style w:styleId="8" w:type="paragraph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after="64" w:afterAutospacing="0" w:afterLines="0" w:before="240" w:beforeAutospacing="0" w:beforeLines="0" w:line="317" w:lineRule="auto"/>
      <w:ind w:hanging="1276" w:left="1276"/>
      <w:outlineLvl w:val="6"/>
    </w:pPr>
    <w:rPr>
      <w:b/>
      <w:sz w:val="24"/>
    </w:rPr>
  </w:style>
  <w:style w:styleId="9" w:type="paragraph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after="64" w:afterAutospacing="0" w:afterLines="0" w:before="240" w:beforeAutospacing="0" w:beforeLines="0" w:line="317" w:lineRule="auto"/>
      <w:ind w:hanging="1418" w:left="1418"/>
      <w:outlineLvl w:val="7"/>
    </w:pPr>
    <w:rPr>
      <w:rFonts w:ascii="Arial" w:eastAsia="黑体" w:hAnsi="Arial"/>
      <w:sz w:val="24"/>
    </w:rPr>
  </w:style>
  <w:style w:styleId="10" w:type="paragraph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after="64" w:afterAutospacing="0" w:afterLines="0" w:before="240" w:beforeAutospacing="0" w:beforeLines="0" w:line="317" w:lineRule="auto"/>
      <w:ind w:hanging="1559" w:left="1559"/>
      <w:outlineLvl w:val="8"/>
    </w:pPr>
    <w:rPr>
      <w:rFonts w:ascii="Arial" w:eastAsia="黑体" w:hAnsi="Arial"/>
      <w:sz w:val="21"/>
    </w:rPr>
  </w:style>
  <w:style w:default="1" w:styleId="15" w:type="character">
    <w:name w:val="Default Paragraph Font"/>
    <w:autoRedefine/>
    <w:semiHidden/>
    <w:qFormat/>
    <w:uiPriority w:val="0"/>
  </w:style>
  <w:style w:default="1" w:styleId="13" w:type="table">
    <w:name w:val="Normal Table"/>
    <w:autoRedefine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Body Text"/>
    <w:basedOn w:val="1"/>
    <w:next w:val="1"/>
    <w:qFormat/>
    <w:uiPriority w:val="99"/>
    <w:pPr>
      <w:spacing w:after="120"/>
    </w:pPr>
  </w:style>
  <w:style w:styleId="12" w:type="paragraph">
    <w:name w:val="Body Text First Indent"/>
    <w:basedOn w:val="11"/>
    <w:next w:val="1"/>
    <w:autoRedefine/>
    <w:qFormat/>
    <w:uiPriority w:val="0"/>
    <w:pPr>
      <w:ind w:firstLine="420" w:firstLineChars="100"/>
    </w:pPr>
  </w:style>
  <w:style w:styleId="14" w:type="table">
    <w:name w:val="Table Grid"/>
    <w:basedOn w:val="13"/>
    <w:autoRedefine/>
    <w:qFormat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6" w:type="character">
    <w:name w:val="font11"/>
    <w:basedOn w:val="15"/>
    <w:qFormat/>
    <w:uiPriority w:val="0"/>
    <w:rPr>
      <w:rFonts w:ascii="宋体" w:cs="宋体" w:eastAsia="宋体" w:hAnsi="宋体" w:hint="eastAsia"/>
      <w:color w:val="000000"/>
      <w:sz w:val="24"/>
      <w:szCs w:val="24"/>
      <w:u w:val="none"/>
    </w:rPr>
  </w:style>
  <w:style w:customStyle="1" w:styleId="17" w:type="character">
    <w:name w:val="font21"/>
    <w:basedOn w:val="15"/>
    <w:qFormat/>
    <w:uiPriority w:val="0"/>
    <w:rPr>
      <w:rFonts w:ascii="Times New Roman" w:cs="Times New Roman" w:hAnsi="Times New Roman" w:hint="default"/>
      <w:color w:val="000000"/>
      <w:sz w:val="24"/>
      <w:szCs w:val="24"/>
      <w:u w:val="none"/>
    </w:rPr>
  </w:style>
</w:styles>
</file>

<file path=word/_rels/document.xml.rels><?xml version="1.0" encoding="UTF-8" standalone="yes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theme/theme1.xml" Type="http://schemas.openxmlformats.org/officeDocument/2006/relationships/theme"/>
<Relationship Id="rId4" Target="numbering.xml" Type="http://schemas.openxmlformats.org/officeDocument/2006/relationships/numbering"/>
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217</Characters>
  <Lines>0</Lines>
  <Paragraphs>0</Paragraphs>
  <TotalTime>3</TotalTime>
  <ScaleCrop>false</ScaleCrop>
  <LinksUpToDate>false</LinksUpToDate>
  <CharactersWithSpaces>218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2022-08-03T05:15:00Z</dcterms:created>
  <dc:creator>苹果</dc:creator>
  <cp:lastModifiedBy>苹果</cp:lastModifiedBy>
  <dcterms:modified xsi:type="dcterms:W3CDTF">2024-07-09T07:11:18Z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2052-12.1.0.16929</vt:lpwstr>
  </property>
  <property fmtid="{D5CDD505-2E9C-101B-9397-08002B2CF9AE}" name="ICV" pid="3">
    <vt:lpwstr>90A099352013407C829656AD3B7A5C0C</vt:lpwstr>
  </property>
</Properties>
</file>