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黑体" w:hAnsi="黑体" w:cs="黑体" w:eastAsia="黑体"/>
          <w:b w:val="true"/>
          <w:color w:val="FF0000"/>
          <w:sz w:val="64"/>
        </w:rPr>
        <w:t>湖北省水生态环境综合管理系统</w:t>
      </w:r>
    </w:p>
    <w:p>
      <w:pPr>
        <w:pBdr>
          <w:bottom w:val="single" w:color="FF0000" w:sz="12"/>
        </w:pBdr>
      </w:pPr>
    </w:p>
    <w:p>
      <w:pPr>
        <w:jc w:val="center"/>
      </w:pPr>
      <w:r>
        <w:rPr>
          <w:rFonts w:ascii="黑体" w:hAnsi="黑体" w:cs="黑体" w:eastAsia="黑体"/>
          <w:b w:val="true"/>
          <w:sz w:val="44"/>
        </w:rPr>
        <w:t>湖北省地表水水质自动站日报</w:t>
      </w:r>
    </w:p>
    <w:p>
      <w:pPr>
        <w:jc w:val="center"/>
      </w:pPr>
      <w:r>
        <w:rPr>
          <w:rFonts w:ascii="楷体" w:hAnsi="楷体" w:cs="楷体" w:eastAsia="楷体"/>
          <w:sz w:val="32"/>
        </w:rPr>
        <w:t>数据日期：2026年7月6日</w:t>
      </w:r>
    </w:p>
    <w:p>
      <w:pPr>
        <w:spacing w:before="300"/>
      </w:pPr>
      <w:r>
        <w:rPr>
          <w:rFonts w:ascii="黑体" w:hAnsi="黑体" w:cs="黑体" w:eastAsia="黑体"/>
          <w:b w:val="true"/>
          <w:sz w:val="36"/>
        </w:rPr>
        <w:t>一、 总体情况</w:t>
      </w:r>
    </w:p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2026年7月6日，全省国控、省控自动站实测</w:t>
      </w:r>
      <w:r>
        <w:rPr>
          <w:rFonts w:ascii="仿宋" w:hAnsi="仿宋" w:cs="仿宋" w:eastAsia="仿宋"/>
          <w:b w:val="false"/>
          <w:sz w:val="28"/>
        </w:rPr>
        <w:t>192</w:t>
      </w:r>
      <w:r>
        <w:rPr>
          <w:rFonts w:ascii="仿宋" w:hAnsi="仿宋" w:cs="仿宋" w:eastAsia="仿宋"/>
          <w:b w:val="false"/>
          <w:sz w:val="28"/>
        </w:rPr>
        <w:t>个，无监测数据自动站</w:t>
      </w:r>
      <w:r>
        <w:rPr>
          <w:rFonts w:ascii="仿宋" w:hAnsi="仿宋" w:cs="仿宋" w:eastAsia="仿宋"/>
          <w:b w:val="false"/>
          <w:sz w:val="28"/>
        </w:rPr>
        <w:t>11</w:t>
      </w:r>
      <w:r>
        <w:rPr>
          <w:rFonts w:ascii="仿宋" w:hAnsi="仿宋" w:cs="仿宋" w:eastAsia="仿宋"/>
          <w:b w:val="false"/>
          <w:sz w:val="28"/>
        </w:rPr>
        <w:t>个（详见附表5）。当日超标自动站</w:t>
      </w:r>
      <w:r>
        <w:rPr>
          <w:rFonts w:ascii="黑体" w:hAnsi="黑体" w:cs="黑体" w:eastAsia="黑体"/>
          <w:b w:val="true"/>
          <w:sz w:val="28"/>
        </w:rPr>
        <w:t>57个</w:t>
      </w:r>
      <w:r>
        <w:rPr>
          <w:rFonts w:ascii="仿宋" w:hAnsi="仿宋" w:cs="仿宋" w:eastAsia="仿宋"/>
          <w:b w:val="false"/>
          <w:sz w:val="28"/>
        </w:rPr>
        <w:t>，其中国控</w:t>
      </w:r>
      <w:r>
        <w:rPr>
          <w:rFonts w:ascii="仿宋" w:hAnsi="仿宋" w:cs="仿宋" w:eastAsia="仿宋"/>
          <w:b w:val="false"/>
          <w:sz w:val="28"/>
        </w:rPr>
        <w:t>35</w:t>
      </w:r>
      <w:r>
        <w:rPr>
          <w:rFonts w:ascii="仿宋" w:hAnsi="仿宋" w:cs="仿宋" w:eastAsia="仿宋"/>
          <w:b w:val="false"/>
          <w:sz w:val="28"/>
        </w:rPr>
        <w:t>个、省控</w:t>
      </w:r>
      <w:r>
        <w:rPr>
          <w:rFonts w:ascii="仿宋" w:hAnsi="仿宋" w:cs="仿宋" w:eastAsia="仿宋"/>
          <w:b w:val="false"/>
          <w:sz w:val="28"/>
        </w:rPr>
        <w:t>22</w:t>
      </w:r>
      <w:r>
        <w:rPr>
          <w:rFonts w:ascii="仿宋" w:hAnsi="仿宋" w:cs="仿宋" w:eastAsia="仿宋"/>
          <w:b w:val="false"/>
          <w:sz w:val="28"/>
        </w:rPr>
        <w:t>个；本月累计超标自动站</w:t>
      </w:r>
      <w:r>
        <w:rPr>
          <w:rFonts w:ascii="黑体" w:hAnsi="黑体" w:cs="黑体" w:eastAsia="黑体"/>
          <w:b w:val="true"/>
          <w:sz w:val="28"/>
        </w:rPr>
        <w:t>57个</w:t>
      </w:r>
      <w:r>
        <w:rPr>
          <w:rFonts w:ascii="仿宋" w:hAnsi="仿宋" w:cs="仿宋" w:eastAsia="仿宋"/>
          <w:b w:val="false"/>
          <w:sz w:val="28"/>
        </w:rPr>
        <w:t>（详见附表1、附表2）。</w:t>
      </w:r>
    </w:p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国控自动站中，达标</w:t>
      </w:r>
      <w:r>
        <w:rPr>
          <w:rFonts w:ascii="仿宋" w:hAnsi="仿宋" w:cs="仿宋" w:eastAsia="仿宋"/>
          <w:b w:val="false"/>
          <w:sz w:val="28"/>
        </w:rPr>
        <w:t>95</w:t>
      </w:r>
      <w:r>
        <w:rPr>
          <w:rFonts w:ascii="仿宋" w:hAnsi="仿宋" w:cs="仿宋" w:eastAsia="仿宋"/>
          <w:b w:val="false"/>
          <w:sz w:val="28"/>
        </w:rPr>
        <w:t>个，不达标</w:t>
      </w:r>
      <w:r>
        <w:rPr>
          <w:rFonts w:ascii="黑体" w:hAnsi="黑体" w:cs="黑体" w:eastAsia="黑体"/>
          <w:b w:val="true"/>
          <w:sz w:val="28"/>
        </w:rPr>
        <w:t>35个</w:t>
      </w:r>
      <w:r>
        <w:rPr>
          <w:rFonts w:ascii="仿宋" w:hAnsi="仿宋" w:cs="仿宋" w:eastAsia="仿宋"/>
          <w:b w:val="false"/>
          <w:sz w:val="28"/>
        </w:rPr>
        <w:t>，Ⅰ-Ⅲ类水质</w:t>
      </w:r>
      <w:r>
        <w:rPr>
          <w:rFonts w:ascii="仿宋" w:hAnsi="仿宋" w:cs="仿宋" w:eastAsia="仿宋"/>
          <w:b w:val="false"/>
          <w:sz w:val="28"/>
        </w:rPr>
        <w:t>98</w:t>
      </w:r>
      <w:r>
        <w:rPr>
          <w:rFonts w:ascii="仿宋" w:hAnsi="仿宋" w:cs="仿宋" w:eastAsia="仿宋"/>
          <w:b w:val="false"/>
          <w:sz w:val="28"/>
        </w:rPr>
        <w:t>个，占比</w:t>
      </w:r>
      <w:r>
        <w:rPr>
          <w:rFonts w:ascii="仿宋" w:hAnsi="仿宋" w:cs="仿宋" w:eastAsia="仿宋"/>
          <w:b w:val="false"/>
          <w:sz w:val="28"/>
        </w:rPr>
        <w:t>75.4%</w:t>
      </w:r>
      <w:r>
        <w:rPr>
          <w:rFonts w:ascii="仿宋" w:hAnsi="仿宋" w:cs="仿宋" w:eastAsia="仿宋"/>
          <w:b w:val="false"/>
          <w:sz w:val="28"/>
        </w:rPr>
        <w:t>；较前一日水质下降</w:t>
      </w:r>
      <w:r>
        <w:rPr>
          <w:rFonts w:ascii="仿宋" w:hAnsi="仿宋" w:cs="仿宋" w:eastAsia="仿宋"/>
          <w:b w:val="false"/>
          <w:sz w:val="28"/>
        </w:rPr>
        <w:t>--</w:t>
      </w:r>
      <w:r>
        <w:rPr>
          <w:rFonts w:ascii="仿宋" w:hAnsi="仿宋" w:cs="仿宋" w:eastAsia="仿宋"/>
          <w:b w:val="false"/>
          <w:sz w:val="28"/>
        </w:rPr>
        <w:t>个、改善</w:t>
      </w:r>
      <w:r>
        <w:rPr>
          <w:rFonts w:ascii="仿宋" w:hAnsi="仿宋" w:cs="仿宋" w:eastAsia="仿宋"/>
          <w:b w:val="false"/>
          <w:sz w:val="28"/>
        </w:rPr>
        <w:t>--</w:t>
      </w:r>
      <w:r>
        <w:rPr>
          <w:rFonts w:ascii="仿宋" w:hAnsi="仿宋" w:cs="仿宋" w:eastAsia="仿宋"/>
          <w:b w:val="false"/>
          <w:sz w:val="28"/>
        </w:rPr>
        <w:t>个，主要超标因子为</w:t>
      </w:r>
      <w:r>
        <w:rPr>
          <w:rFonts w:ascii="黑体" w:hAnsi="黑体" w:cs="黑体" w:eastAsia="黑体"/>
          <w:b w:val="true"/>
          <w:sz w:val="28"/>
        </w:rPr>
        <w:t>高锰酸盐指数、溶解氧、总磷</w:t>
      </w:r>
      <w:r>
        <w:rPr>
          <w:rFonts w:ascii="仿宋" w:hAnsi="仿宋" w:cs="仿宋" w:eastAsia="仿宋"/>
          <w:b w:val="false"/>
          <w:sz w:val="28"/>
        </w:rPr>
        <w:t>。省控自动站中，达标</w:t>
      </w:r>
      <w:r>
        <w:rPr>
          <w:rFonts w:ascii="仿宋" w:hAnsi="仿宋" w:cs="仿宋" w:eastAsia="仿宋"/>
          <w:b w:val="false"/>
          <w:sz w:val="28"/>
        </w:rPr>
        <w:t>51</w:t>
      </w:r>
      <w:r>
        <w:rPr>
          <w:rFonts w:ascii="仿宋" w:hAnsi="仿宋" w:cs="仿宋" w:eastAsia="仿宋"/>
          <w:b w:val="false"/>
          <w:sz w:val="28"/>
        </w:rPr>
        <w:t>个，不达标</w:t>
      </w:r>
      <w:r>
        <w:rPr>
          <w:rFonts w:ascii="黑体" w:hAnsi="黑体" w:cs="黑体" w:eastAsia="黑体"/>
          <w:b w:val="true"/>
          <w:sz w:val="28"/>
        </w:rPr>
        <w:t>22个</w:t>
      </w:r>
      <w:r>
        <w:rPr>
          <w:rFonts w:ascii="仿宋" w:hAnsi="仿宋" w:cs="仿宋" w:eastAsia="仿宋"/>
          <w:b w:val="false"/>
          <w:sz w:val="28"/>
        </w:rPr>
        <w:t>，Ⅰ-Ⅲ类水质</w:t>
      </w:r>
      <w:r>
        <w:rPr>
          <w:rFonts w:ascii="仿宋" w:hAnsi="仿宋" w:cs="仿宋" w:eastAsia="仿宋"/>
          <w:b w:val="false"/>
          <w:sz w:val="28"/>
        </w:rPr>
        <w:t>47</w:t>
      </w:r>
      <w:r>
        <w:rPr>
          <w:rFonts w:ascii="仿宋" w:hAnsi="仿宋" w:cs="仿宋" w:eastAsia="仿宋"/>
          <w:b w:val="false"/>
          <w:sz w:val="28"/>
        </w:rPr>
        <w:t>个，占比</w:t>
      </w:r>
      <w:r>
        <w:rPr>
          <w:rFonts w:ascii="仿宋" w:hAnsi="仿宋" w:cs="仿宋" w:eastAsia="仿宋"/>
          <w:b w:val="false"/>
          <w:sz w:val="28"/>
        </w:rPr>
        <w:t>64.4%</w:t>
      </w:r>
      <w:r>
        <w:rPr>
          <w:rFonts w:ascii="仿宋" w:hAnsi="仿宋" w:cs="仿宋" w:eastAsia="仿宋"/>
          <w:b w:val="false"/>
          <w:sz w:val="28"/>
        </w:rPr>
        <w:t>；较前一日水质下降</w:t>
      </w:r>
      <w:r>
        <w:rPr>
          <w:rFonts w:ascii="仿宋" w:hAnsi="仿宋" w:cs="仿宋" w:eastAsia="仿宋"/>
          <w:b w:val="false"/>
          <w:sz w:val="28"/>
        </w:rPr>
        <w:t>--</w:t>
      </w:r>
      <w:r>
        <w:rPr>
          <w:rFonts w:ascii="仿宋" w:hAnsi="仿宋" w:cs="仿宋" w:eastAsia="仿宋"/>
          <w:b w:val="false"/>
          <w:sz w:val="28"/>
        </w:rPr>
        <w:t>个、改善</w:t>
      </w:r>
      <w:r>
        <w:rPr>
          <w:rFonts w:ascii="仿宋" w:hAnsi="仿宋" w:cs="仿宋" w:eastAsia="仿宋"/>
          <w:b w:val="false"/>
          <w:sz w:val="28"/>
        </w:rPr>
        <w:t>--</w:t>
      </w:r>
      <w:r>
        <w:rPr>
          <w:rFonts w:ascii="仿宋" w:hAnsi="仿宋" w:cs="仿宋" w:eastAsia="仿宋"/>
          <w:b w:val="false"/>
          <w:sz w:val="28"/>
        </w:rPr>
        <w:t>个，主要超标因子为</w:t>
      </w:r>
      <w:r>
        <w:rPr>
          <w:rFonts w:ascii="黑体" w:hAnsi="黑体" w:cs="黑体" w:eastAsia="黑体"/>
          <w:b w:val="true"/>
          <w:sz w:val="28"/>
        </w:rPr>
        <w:t>高锰酸盐指数、溶解氧、总磷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pBdr>
          <w:top w:color="DCDCDC" w:sz="4" w:space="1"/>
          <w:left w:color="DCDCDC" w:sz="4" w:space="1" w:val="single"/>
          <w:bottom w:color="DCDCDC" w:sz="4" w:space="1"/>
          <w:right w:color="DCDCDC" w:sz="4" w:space="1" w:val="single"/>
        </w:pBdr>
        <w:spacing w:before="0" w:after="0"/>
      </w:pPr>
      <w:r>
        <w:rPr>
          <w:rFonts w:ascii="黑体" w:hAnsi="黑体" w:cs="黑体" w:eastAsia="黑体"/>
          <w:sz w:val="24"/>
        </w:rPr>
        <w:t>国控自动站水质分布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tcW w:type="pct" w:w="6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CCFFFF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Ⅰ类 16</w:t>
            </w:r>
          </w:p>
        </w:tc>
        <w:tc>
          <w:tcPr>
            <w:tcW w:type="pct" w:w="22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CCFF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Ⅱ类 57</w:t>
            </w:r>
          </w:p>
        </w:tc>
        <w:tc>
          <w:tcPr>
            <w:tcW w:type="pct" w:w="1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FF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Ⅲ类 25</w:t>
            </w:r>
          </w:p>
        </w:tc>
        <w:tc>
          <w:tcPr>
            <w:tcW w:type="pct" w:w="7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Ⅳ类 18</w:t>
            </w:r>
          </w:p>
        </w:tc>
        <w:tc>
          <w:tcPr>
            <w:tcW w:type="pct" w:w="2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99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color w:val="FFFFFF"/>
                <w:sz w:val="20"/>
              </w:rPr>
              <w:t>Ⅴ类 5</w:t>
            </w:r>
          </w:p>
        </w:tc>
        <w:tc>
          <w:tcPr>
            <w:tcW w:type="pct" w:w="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00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color w:val="FFFFFF"/>
                <w:sz w:val="20"/>
              </w:rPr>
              <w:t>劣Ⅴ类 4</w:t>
            </w:r>
          </w:p>
        </w:tc>
      </w:tr>
    </w:tbl>
    <w:p>
      <w:pPr>
        <w:pBdr>
          <w:top w:color="DCDCDC" w:sz="4" w:space="1"/>
          <w:left w:color="DCDCDC" w:sz="4" w:space="1" w:val="single"/>
          <w:bottom w:color="DCDCDC" w:sz="4" w:space="1"/>
          <w:right w:color="DCDCDC" w:sz="4" w:space="1" w:val="single"/>
        </w:pBdr>
        <w:spacing w:before="0" w:after="0"/>
      </w:pPr>
      <w:r>
        <w:rPr>
          <w:rFonts w:ascii="黑体" w:hAnsi="黑体" w:cs="黑体" w:eastAsia="黑体"/>
          <w:sz w:val="24"/>
        </w:rPr>
        <w:t>省控自动站水质分布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tcPr>
            <w:tcW w:type="pct" w:w="37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CCFFFF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Ⅰ类 5</w:t>
            </w:r>
          </w:p>
        </w:tc>
        <w:tc>
          <w:tcPr>
            <w:tcW w:type="pct" w:w="208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CCFF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Ⅱ类 28</w:t>
            </w:r>
          </w:p>
        </w:tc>
        <w:tc>
          <w:tcPr>
            <w:tcW w:type="pct" w:w="10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FF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Ⅲ类 14</w:t>
            </w:r>
          </w:p>
        </w:tc>
        <w:tc>
          <w:tcPr>
            <w:tcW w:type="pct" w:w="8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sz w:val="20"/>
              </w:rPr>
              <w:t>Ⅳ类 11</w:t>
            </w:r>
          </w:p>
        </w:tc>
        <w:tc>
          <w:tcPr>
            <w:tcW w:type="pct" w:w="4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99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color w:val="FFFFFF"/>
                <w:sz w:val="20"/>
              </w:rPr>
              <w:t>Ⅴ类 6</w:t>
            </w:r>
          </w:p>
        </w:tc>
        <w:tc>
          <w:tcPr>
            <w:tcW w:type="pct" w:w="22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0000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黑体" w:hAnsi="黑体" w:cs="黑体" w:eastAsia="黑体"/>
                <w:b w:val="true"/>
                <w:color w:val="FFFFFF"/>
                <w:sz w:val="20"/>
              </w:rPr>
              <w:t>劣Ⅴ类 3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全省主要超标因子：</w:t>
      </w:r>
      <w:r>
        <w:rPr>
          <w:rFonts w:ascii="仿宋" w:hAnsi="仿宋" w:cs="仿宋" w:eastAsia="仿宋"/>
          <w:b w:val="false"/>
          <w:sz w:val="28"/>
        </w:rPr>
        <w:t>省控自动站超标因子主要集中在溶解氧（31次）、高锰酸盐指数（11次）、总磷（10次）。</w:t>
      </w:r>
    </w:p>
    <w:p>
      <w:pPr>
        <w:pBdr>
          <w:top w:color="DCDCDC" w:sz="4" w:space="1" w:val="single"/>
          <w:left w:color="DCDCDC" w:sz="4" w:space="1" w:val="single"/>
          <w:bottom w:color="DCDCDC" w:sz="4" w:space="1"/>
          <w:right w:color="DCDCDC" w:sz="4" w:space="1" w:val="single"/>
        </w:pBdr>
        <w:spacing w:before="100" w:after="0"/>
      </w:pPr>
    </w:p>
    <w:p>
      <w:pPr>
        <w:pBdr>
          <w:top w:color="DCDCDC" w:sz="4" w:space="1"/>
          <w:left w:color="DCDCDC" w:sz="4" w:space="1" w:val="single"/>
          <w:bottom w:color="DCDCDC" w:sz="4" w:space="1"/>
          <w:right w:color="DCDCDC" w:sz="4" w:space="1" w:val="single"/>
        </w:pBdr>
        <w:spacing w:before="0" w:after="0"/>
      </w:pPr>
      <w:r>
        <w:rPr>
          <w:rFonts w:ascii="黑体" w:hAnsi="黑体" w:cs="黑体" w:eastAsia="黑体"/>
          <w:sz w:val="24"/>
        </w:rPr>
        <w:t>主要超标因子出现次数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rPr>
          <w:trHeight w:val="380"/>
        </w:trPr>
        <w:tc>
          <w:tcPr>
            <w:tcW w:type="pct" w:w="900"/>
            <w:tcBorders>
              <w:top w:val="single" w:color="DCDCDC" w:sz="4"/>
              <w:top w:val="nil"/>
              <w:left w:val="single" w:color="DCDCDC" w:sz="4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溶解氧</w:t>
            </w:r>
          </w:p>
        </w:tc>
        <w:tc>
          <w:tcPr>
            <w:tcW w:type="pct" w:w="3750"/>
            <w:tcBorders>
              <w:top w:val="single" w:color="DCDCDC" w:sz="4"/>
              <w:top w:val="nil"/>
              <w:left w:val="nil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shd w:fill="D9534F" w:val="clear"/>
            <w:vAlign w:val="center"/>
          </w:tcPr>
          <w:p>
            <w:pPr>
              <w:spacing w:before="4" w:after="4"/>
              <w:jc w:val="left"/>
            </w:pPr>
            <w:r>
              <w:t/>
            </w:r>
          </w:p>
        </w:tc>
        <w:tc>
          <w:tcPr>
            <w:tcBorders>
              <w:top w:val="single" w:color="DCDCDC" w:sz="4"/>
              <w:top w:val="nil"/>
              <w:left w:val="nil"/>
              <w:left w:val="nil"/>
              <w:bottom w:val="nil"/>
              <w:bottom w:val="nil"/>
              <w:right w:val="single" w:color="DCDCDC" w:sz="4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31</w:t>
            </w:r>
          </w:p>
        </w:tc>
      </w:tr>
      <w:tr>
        <w:trPr>
          <w:trHeight w:val="380"/>
        </w:trPr>
        <w:tc>
          <w:tcPr>
            <w:tcW w:type="pct" w:w="900"/>
            <w:tcBorders>
              <w:top w:val="nil"/>
              <w:top w:val="nil"/>
              <w:left w:val="single" w:color="DCDCDC" w:sz="4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高锰酸盐指数</w:t>
            </w:r>
          </w:p>
        </w:tc>
        <w:tc>
          <w:tcPr>
            <w:tcW w:type="pct" w:w="1330"/>
            <w:tcBorders>
              <w:top w:val="nil"/>
              <w:top w:val="nil"/>
              <w:left w:val="nil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shd w:fill="D9534F" w:val="clear"/>
            <w:vAlign w:val="center"/>
          </w:tcPr>
          <w:p>
            <w:pPr>
              <w:spacing w:before="4" w:after="4"/>
              <w:jc w:val="left"/>
            </w:pPr>
            <w:r>
              <w:t/>
            </w:r>
          </w:p>
        </w:tc>
        <w:tc>
          <w:tcPr>
            <w:tcBorders>
              <w:top w:val="nil"/>
              <w:top w:val="nil"/>
              <w:left w:val="nil"/>
              <w:left w:val="nil"/>
              <w:bottom w:val="nil"/>
              <w:bottom w:val="nil"/>
              <w:right w:val="single" w:color="DCDCDC" w:sz="4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11</w:t>
            </w:r>
          </w:p>
        </w:tc>
      </w:tr>
      <w:tr>
        <w:trPr>
          <w:trHeight w:val="380"/>
        </w:trPr>
        <w:tc>
          <w:tcPr>
            <w:tcW w:type="pct" w:w="900"/>
            <w:tcBorders>
              <w:top w:val="nil"/>
              <w:top w:val="nil"/>
              <w:left w:val="single" w:color="DCDCDC" w:sz="4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总磷</w:t>
            </w:r>
          </w:p>
        </w:tc>
        <w:tc>
          <w:tcPr>
            <w:tcW w:type="pct" w:w="1209"/>
            <w:tcBorders>
              <w:top w:val="nil"/>
              <w:top w:val="nil"/>
              <w:left w:val="nil"/>
              <w:left w:val="nil"/>
              <w:bottom w:val="nil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shd w:fill="D9534F" w:val="clear"/>
            <w:vAlign w:val="center"/>
          </w:tcPr>
          <w:p>
            <w:pPr>
              <w:spacing w:before="4" w:after="4"/>
              <w:jc w:val="left"/>
            </w:pPr>
            <w:r>
              <w:t/>
            </w:r>
          </w:p>
        </w:tc>
        <w:tc>
          <w:tcPr>
            <w:tcBorders>
              <w:top w:val="nil"/>
              <w:top w:val="nil"/>
              <w:left w:val="nil"/>
              <w:left w:val="nil"/>
              <w:bottom w:val="nil"/>
              <w:bottom w:val="nil"/>
              <w:right w:val="single" w:color="DCDCDC" w:sz="4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10</w:t>
            </w:r>
          </w:p>
        </w:tc>
      </w:tr>
      <w:tr>
        <w:trPr>
          <w:trHeight w:val="380"/>
        </w:trPr>
        <w:tc>
          <w:tcPr>
            <w:tcW w:type="pct" w:w="900"/>
            <w:tcBorders>
              <w:top w:val="nil"/>
              <w:top w:val="nil"/>
              <w:left w:val="single" w:color="DCDCDC" w:sz="4"/>
              <w:left w:val="nil"/>
              <w:bottom w:val="single" w:color="DCDCDC" w:sz="4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氨氮</w:t>
            </w:r>
          </w:p>
        </w:tc>
        <w:tc>
          <w:tcPr>
            <w:tcW w:type="pct" w:w="500"/>
            <w:tcBorders>
              <w:top w:val="nil"/>
              <w:top w:val="nil"/>
              <w:left w:val="nil"/>
              <w:left w:val="nil"/>
              <w:bottom w:val="single" w:color="DCDCDC" w:sz="4"/>
              <w:bottom w:val="nil"/>
              <w:right w:val="nil"/>
              <w:right w:val="nil"/>
              <w:insideH w:val="nil"/>
              <w:insideH w:val="nil"/>
              <w:insideV w:val="nil"/>
              <w:insideV w:val="nil"/>
            </w:tcBorders>
            <w:shd w:fill="D9534F" w:val="clear"/>
            <w:vAlign w:val="center"/>
          </w:tcPr>
          <w:p>
            <w:pPr>
              <w:spacing w:before="4" w:after="4"/>
              <w:jc w:val="left"/>
            </w:pPr>
            <w:r>
              <w:t/>
            </w:r>
          </w:p>
        </w:tc>
        <w:tc>
          <w:tcPr>
            <w:tcBorders>
              <w:top w:val="nil"/>
              <w:top w:val="nil"/>
              <w:left w:val="nil"/>
              <w:left w:val="nil"/>
              <w:bottom w:val="single" w:color="DCDCDC" w:sz="4"/>
              <w:bottom w:val="nil"/>
              <w:right w:val="single" w:color="DCDCDC" w:sz="4"/>
              <w:right w:val="nil"/>
              <w:insideH w:val="nil"/>
              <w:insideH w:val="nil"/>
              <w:insideV w:val="nil"/>
              <w:insideV w:val="nil"/>
            </w:tcBorders>
            <w:vAlign w:val="center"/>
          </w:tcPr>
          <w:p>
            <w:pPr>
              <w:spacing w:before="6" w:after="6"/>
              <w:jc w:val="left"/>
            </w:pPr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</w:tr>
    </w:tbl>
    <w:p>
      <w:pPr>
        <w:pBdr>
          <w:top w:color="DCDCDC" w:sz="4" w:space="1"/>
          <w:left w:color="DCDCDC" w:sz="4" w:space="1" w:val="single"/>
          <w:bottom w:color="DCDCDC" w:sz="4" w:space="1" w:val="single"/>
          <w:right w:color="DCDCDC" w:sz="4" w:space="1" w:val="single"/>
        </w:pBdr>
        <w:spacing w:before="0" w:after="100"/>
      </w:pPr>
    </w:p>
    <w:p>
      <w:pPr>
        <w:spacing w:before="300"/>
      </w:pPr>
      <w:r>
        <w:rPr>
          <w:rFonts w:ascii="黑体" w:hAnsi="黑体" w:cs="黑体" w:eastAsia="黑体"/>
          <w:b w:val="true"/>
          <w:sz w:val="36"/>
        </w:rPr>
        <w:t>二、 重点关注自动站</w:t>
      </w:r>
    </w:p>
    <w:p>
      <w:pPr>
        <w:spacing w:before="200"/>
      </w:pPr>
      <w:r>
        <w:rPr>
          <w:rFonts w:ascii="楷体" w:hAnsi="楷体" w:cs="楷体" w:eastAsia="楷体"/>
          <w:b w:val="true"/>
          <w:sz w:val="32"/>
        </w:rPr>
        <w:t>2.1 Ⅴ类及劣Ⅴ类自动站</w:t>
      </w:r>
    </w:p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全省自动站中</w:t>
      </w:r>
      <w:r>
        <w:rPr>
          <w:rFonts w:ascii="黑体" w:hAnsi="黑体" w:cs="黑体" w:eastAsia="黑体"/>
          <w:b w:val="true"/>
          <w:sz w:val="28"/>
        </w:rPr>
        <w:t>Ⅴ类及劣Ⅴ类自动站18个</w:t>
      </w:r>
      <w:r>
        <w:rPr>
          <w:rFonts w:ascii="仿宋" w:hAnsi="仿宋" w:cs="仿宋" w:eastAsia="仿宋"/>
          <w:b w:val="false"/>
          <w:sz w:val="28"/>
        </w:rPr>
        <w:t>，建议</w:t>
      </w:r>
      <w:r>
        <w:rPr>
          <w:rFonts w:ascii="黑体" w:hAnsi="黑体" w:cs="黑体" w:eastAsia="黑体"/>
          <w:b w:val="true"/>
          <w:sz w:val="28"/>
        </w:rPr>
        <w:t>重点关注</w:t>
      </w:r>
      <w:r>
        <w:rPr>
          <w:rFonts w:ascii="仿宋" w:hAnsi="仿宋" w:cs="仿宋" w:eastAsia="仿宋"/>
          <w:b w:val="false"/>
          <w:sz w:val="28"/>
        </w:rPr>
        <w:t>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自动站名称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所在地市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姚嘴王岭村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仙桃市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高锰酸盐指数、溶解氧、总磷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沐家泾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黄冈市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新河村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高锰酸盐指数、溶解氧、氨氮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新滩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运粮湖同心队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潜江市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瞿家湾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汉川新堰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拖市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天门市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垌冢桥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南垸良种场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新沟闸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夜谋沟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总磷、氨氮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太平沙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朱家河口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8"/>
              </w:rPr>
              <w:t>劣Ⅴ类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姚集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西排子河水库库心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襄阳市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纱帽（右）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挥发酚、汞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挖沟泵站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溶解氧</w:t>
            </w:r>
          </w:p>
        </w:tc>
      </w:tr>
    </w:tbl>
    <w:p>
      <w:pPr>
        <w:spacing w:before="200"/>
      </w:pPr>
      <w:r>
        <w:rPr>
          <w:rFonts w:ascii="楷体" w:hAnsi="楷体" w:cs="楷体" w:eastAsia="楷体"/>
          <w:b w:val="true"/>
          <w:sz w:val="32"/>
        </w:rPr>
        <w:t>2.2 近30日累计超标5天及以上自动站</w:t>
      </w:r>
    </w:p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近30日累计超标</w:t>
      </w:r>
      <w:r>
        <w:rPr>
          <w:rFonts w:ascii="仿宋" w:hAnsi="仿宋" w:cs="仿宋" w:eastAsia="仿宋"/>
          <w:b w:val="false"/>
          <w:sz w:val="28"/>
        </w:rPr>
        <w:t>5天及以上</w:t>
      </w:r>
      <w:r>
        <w:rPr>
          <w:rFonts w:ascii="仿宋" w:hAnsi="仿宋" w:cs="仿宋" w:eastAsia="仿宋"/>
          <w:b w:val="false"/>
          <w:sz w:val="28"/>
        </w:rPr>
        <w:t>的自动站如下，着色日期表示超标日期，颜色对应当日水质类别。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p/>
          <w:p>
            <w:pPr>
              <w:spacing w:before="60" w:after="40"/>
            </w:pPr>
            <w:r>
              <w:rPr>
                <w:rFonts w:ascii="黑体" w:hAnsi="黑体" w:cs="黑体" w:eastAsia="黑体"/>
                <w:b w:val="true"/>
                <w:sz w:val="20"/>
              </w:rPr>
              <w:t>1. 汉川新堰（孝感市）近30日累计超标16天</w:t>
            </w:r>
          </w:p>
        </w:tc>
        <w:tc>
          <w:p/>
          <w:p>
            <w:pPr>
              <w:spacing w:before="60" w:after="40"/>
            </w:pPr>
            <w:r>
              <w:rPr>
                <w:rFonts w:ascii="黑体" w:hAnsi="黑体" w:cs="黑体" w:eastAsia="黑体"/>
                <w:b w:val="true"/>
                <w:sz w:val="20"/>
              </w:rPr>
              <w:t>2. 汤店（襄阳市）近30日累计超标16天</w:t>
            </w:r>
          </w:p>
        </w:tc>
      </w:tr>
      <w:tr>
        <w:tc>
          <w:p/>
          <w:p>
            <w:pPr>
              <w:spacing w:before="60" w:after="40"/>
            </w:pPr>
            <w:r>
              <w:rPr>
                <w:rFonts w:ascii="黑体" w:hAnsi="黑体" w:cs="黑体" w:eastAsia="黑体"/>
                <w:b w:val="true"/>
                <w:sz w:val="20"/>
              </w:rPr>
              <w:t>3. 藕池河中支入境（荆州市）近30日累计超标16天</w:t>
            </w:r>
          </w:p>
        </w:tc>
        <w:tc>
          <w:p/>
          <w:p>
            <w:pPr>
              <w:spacing w:before="60" w:after="40"/>
            </w:pPr>
            <w:r>
              <w:rPr>
                <w:rFonts w:ascii="黑体" w:hAnsi="黑体" w:cs="黑体" w:eastAsia="黑体"/>
                <w:b w:val="true"/>
                <w:sz w:val="20"/>
              </w:rPr>
              <w:t>4. 拖市（天门市）近30日累计超标16天</w:t>
            </w:r>
          </w:p>
        </w:tc>
      </w:tr>
      <w:tr>
        <w:tc>
          <w:p/>
          <w:p>
            <w:pPr>
              <w:spacing w:before="60" w:after="40"/>
            </w:pPr>
            <w:r>
              <w:rPr>
                <w:rFonts w:ascii="黑体" w:hAnsi="黑体" w:cs="黑体" w:eastAsia="黑体"/>
                <w:b w:val="true"/>
                <w:sz w:val="20"/>
              </w:rPr>
              <w:t>5. 运粮湖同心队（潜江市）近30日累计超标16天</w:t>
            </w:r>
          </w:p>
        </w:tc>
        <w:tc>
          <w:p/>
        </w:tc>
      </w:tr>
    </w:tbl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7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8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21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23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27</w:t>
            </w:r>
          </w:p>
        </w:tc>
      </w:tr>
      <w:tr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28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29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30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1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4</w:t>
            </w:r>
          </w:p>
        </w:tc>
      </w:tr>
      <w:tr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5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6</w:t>
            </w:r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</w:tr>
    </w:tbl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7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21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27</w:t>
            </w:r>
          </w:p>
        </w:tc>
      </w:tr>
      <w:tr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30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1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4</w:t>
            </w:r>
          </w:p>
        </w:tc>
      </w:tr>
      <w:tr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6</w:t>
            </w:r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</w:tr>
    </w:tbl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7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8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21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22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23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24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27</w:t>
            </w:r>
          </w:p>
        </w:tc>
      </w:tr>
      <w:tr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28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29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30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1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4</w:t>
            </w:r>
          </w:p>
        </w:tc>
      </w:tr>
      <w:tr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5</w:t>
            </w:r>
          </w:p>
        </w:tc>
        <w:tc>
          <w:tcPr>
            <w:shd w:fill="BFE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6</w:t>
            </w:r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</w:tr>
    </w:tbl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7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21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27</w:t>
            </w:r>
          </w:p>
        </w:tc>
      </w:tr>
      <w:tr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29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30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1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4</w:t>
            </w:r>
          </w:p>
        </w:tc>
      </w:tr>
      <w:tr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5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6</w:t>
            </w:r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</w:tr>
    </w:tbl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7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12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13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14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17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18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19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</w:t>
            </w:r>
          </w:p>
        </w:tc>
      </w:tr>
      <w:tr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21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22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23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25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26</w:t>
            </w:r>
          </w:p>
        </w:tc>
        <w:tc>
          <w:tcPr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27</w:t>
            </w:r>
          </w:p>
        </w:tc>
      </w:tr>
      <w:tr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29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30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1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2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3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4</w:t>
            </w:r>
          </w:p>
        </w:tc>
      </w:tr>
      <w:tr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5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b w:val="true"/>
                <w:color w:val="FF0000"/>
                <w:sz w:val="18"/>
              </w:rPr>
              <w:t>6</w:t>
            </w:r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  <w:tc>
          <w:tcPr>
            <w:shd w:fill="FAFAFA" w:val="clear"/>
            <w:vAlign w:val="center"/>
          </w:tcPr>
          <w:p>
            <w:pPr>
              <w:jc w:val="center"/>
            </w:pPr>
            <w:r/>
          </w:p>
        </w:tc>
      </w:tr>
    </w:tbl>
    <w:p>
      <w:pPr>
        <w:spacing w:before="200"/>
      </w:pPr>
      <w:r>
        <w:rPr>
          <w:rFonts w:ascii="楷体" w:hAnsi="楷体" w:cs="楷体" w:eastAsia="楷体"/>
          <w:b w:val="true"/>
          <w:sz w:val="32"/>
        </w:rPr>
        <w:t>2.3 连续不达标自动站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连续</w:t>
      </w:r>
      <w:r>
        <w:rPr>
          <w:rFonts w:ascii="仿宋" w:hAnsi="仿宋" w:cs="仿宋" w:eastAsia="仿宋"/>
          <w:b w:val="false"/>
          <w:sz w:val="28"/>
        </w:rPr>
        <w:t>3天及以上不达标的自动站如下，按连续天数从高到低排序。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西梁子湖湖北：武汉市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不达标（2026-06-24 至 2026-06-29）。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2026-06-28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2026-06-29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滠口：武汉市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大冶湖闸：黄石市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铁路大桥（小桂林）：宜昌市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琚湾：襄阳市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不达标（2026-07-02 至 2026-07-05）。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西排子河水库库心：襄阳市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不达标（2026-06-28 至 2026-07-01）。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2026-06-29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2026-06-30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2026-07-01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西排子河水库库心：襄阳市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燕矶：鄂州市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孝感河口大桥：孝感市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隔蒲桥：孝感市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官垱：荆州市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氨氮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乌溪沟：荆州市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麻城许家湾：黄冈市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不达标（2026-06-08 至 2026-06-23）。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麻城许家湾：黄冈市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不达标（2026-06-28 至 2026-07-01）。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2026-06-28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2026-06-29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2026-06-30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2026-07-01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麻城许家湾：黄冈市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长滩：恩施土家族苗族自治州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黄陵大桥：武汉市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黄柏河大桥：宜昌市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不达标（2026-06-08 至 2026-06-23）。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富池闸：黄石市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不达标（2026-06-08 至 2026-06-23）。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新沟闸：孝感市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新沟闸：孝感市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西河驿：黄冈市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不达标（2026-06-22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西河驿：黄冈市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富水镇：黄石市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马良龚家湾：荆门市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不达标（2026-07-01 至 2026-07-04）。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2026-07-01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溶解氧、氨氮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溶解氧、氨氮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冯集：武汉市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不达标（2026-06-08 至 2026-06-23）。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挖沟泵站：武汉市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金水闸：武汉市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不达标（2026-06-09 至 2026-06-24）。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金水闸：武汉市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不达标（2026-07-03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孝昌王店：孝感市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4天</w:t>
      </w:r>
      <w:r>
        <w:rPr>
          <w:rFonts w:ascii="仿宋" w:hAnsi="仿宋" w:cs="仿宋" w:eastAsia="仿宋"/>
          <w:b w:val="false"/>
          <w:sz w:val="28"/>
        </w:rPr>
        <w:t>不达标（2026-06-08 至 2026-06-23）。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港口桥：鄂州市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不达标（2026-06-08 至 2026-06-22）。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大冶湖闸：黄石市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不达标（2026-06-25 至 2026-06-29）。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2026-06-28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2026-06-29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茶庵：襄阳市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不达标（2026-06-22 至 2026-06-24）。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薛家沟桥：鄂州市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不达标（2026-07-02 至 2026-07-04）。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山河电站：荆门市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不达标（2026-06-22 至 2026-06-24）。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小河：孝感市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不达标（2026-06-23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小河：孝感市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不达标（2026-07-04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鲢鱼地泵站：孝感市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不达标（2026-07-03 至 2026-07-05）。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万安闸：孝感市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不达标（2026-07-04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余家坡：孝感市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不达标（2026-07-03 至 2026-07-05）。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蔡河村：孝感市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不达标（2026-07-02 至 2026-07-04）。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荆州河口：荆州市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不达标（2026-07-04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康家岗：荆州市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不达标（2026-06-24 至 2026-06-28）。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2026-06-28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乌溪沟：荆州市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不达标（2026-07-03 至 2026-07-05）。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姚集：荆州市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不达标（2026-06-22 至 2026-06-24）。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2026-06-22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氨氮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富水水库：咸宁市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不达标（2026-06-09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窑嘴大桥：咸宁市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不达标（2026-06-07 至 2026-06-09）。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2026-06-07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南里渡桥：恩施土家族苗族自治州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不达标（2026-07-02 至 2026-07-04）。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岳口：天门市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不达标（2026-06-07 至 2026-06-09）。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2026-06-07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岳口：天门市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不达标（2026-06-23 至 2026-06-25）。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2026-06-23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2026-06-25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岳口：天门市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不达标（2026-07-04 至 2026-07-06）。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2026-07-04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2026-07-05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长滩：恩施土家族苗族自治州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不达标（2026-06-30 至 2026-07-02）。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2026-06-30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2026-07-01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2026-07-02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</w:t>
            </w:r>
          </w:p>
        </w:tc>
      </w:tr>
    </w:tbl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黄腊石：恩施土家族苗族自治州</w:t>
      </w:r>
      <w:r>
        <w:rPr>
          <w:rFonts w:ascii="仿宋" w:hAnsi="仿宋" w:cs="仿宋" w:eastAsia="仿宋"/>
          <w:b w:val="false"/>
          <w:sz w:val="28"/>
        </w:rPr>
        <w:t>，已连续</w:t>
      </w:r>
      <w:r>
        <w:rPr>
          <w:rFonts w:ascii="黑体" w:hAnsi="黑体" w:cs="黑体" w:eastAsia="黑体"/>
          <w:b w:val="true"/>
          <w:sz w:val="28"/>
        </w:rPr>
        <w:t>3天</w:t>
      </w:r>
      <w:r>
        <w:rPr>
          <w:rFonts w:ascii="仿宋" w:hAnsi="仿宋" w:cs="仿宋" w:eastAsia="仿宋"/>
          <w:b w:val="false"/>
          <w:sz w:val="28"/>
        </w:rPr>
        <w:t>不达标（2026-06-07 至 2026-06-09）。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日期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主要超标因子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2026-06-07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2026-06-08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2026-06-09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</w:t>
            </w:r>
          </w:p>
        </w:tc>
      </w:tr>
    </w:tbl>
    <w:p>
      <w:pPr>
        <w:pageBreakBefore w:val="true"/>
      </w:pPr>
    </w:p>
    <w:p>
      <w:pPr>
        <w:spacing w:before="300"/>
      </w:pPr>
      <w:r>
        <w:rPr>
          <w:rFonts w:ascii="黑体" w:hAnsi="黑体" w:cs="黑体" w:eastAsia="黑体"/>
          <w:b w:val="true"/>
          <w:sz w:val="36"/>
        </w:rPr>
        <w:t>三、 各地市自动站水质情况</w:t>
      </w:r>
    </w:p>
    <w:p>
      <w:pPr>
        <w:spacing w:before="120" w:after="120" w:line="420" w:lineRule="exact"/>
        <w:ind w:firstLine="480"/>
      </w:pPr>
      <w:r>
        <w:rPr>
          <w:rFonts w:ascii="仿宋" w:hAnsi="仿宋" w:cs="仿宋" w:eastAsia="仿宋"/>
          <w:b w:val="false"/>
          <w:sz w:val="28"/>
        </w:rPr>
        <w:t>从地市分布看，不达标站点主要集中在</w:t>
      </w:r>
      <w:r>
        <w:rPr>
          <w:rFonts w:ascii="黑体" w:hAnsi="黑体" w:cs="黑体" w:eastAsia="黑体"/>
          <w:b w:val="true"/>
          <w:sz w:val="28"/>
        </w:rPr>
        <w:t>荆州市14个</w:t>
      </w:r>
      <w:r>
        <w:rPr>
          <w:rFonts w:ascii="仿宋" w:hAnsi="仿宋" w:cs="仿宋" w:eastAsia="仿宋"/>
          <w:b w:val="false"/>
          <w:sz w:val="28"/>
        </w:rPr>
        <w:t>、</w:t>
      </w:r>
      <w:r>
        <w:rPr>
          <w:rFonts w:ascii="黑体" w:hAnsi="黑体" w:cs="黑体" w:eastAsia="黑体"/>
          <w:b w:val="true"/>
          <w:sz w:val="28"/>
        </w:rPr>
        <w:t>孝感市9个</w:t>
      </w:r>
      <w:r>
        <w:rPr>
          <w:rFonts w:ascii="仿宋" w:hAnsi="仿宋" w:cs="仿宋" w:eastAsia="仿宋"/>
          <w:b w:val="false"/>
          <w:sz w:val="28"/>
        </w:rPr>
        <w:t>、</w:t>
      </w:r>
      <w:r>
        <w:rPr>
          <w:rFonts w:ascii="黑体" w:hAnsi="黑体" w:cs="黑体" w:eastAsia="黑体"/>
          <w:b w:val="true"/>
          <w:sz w:val="28"/>
        </w:rPr>
        <w:t>武汉市8个</w:t>
      </w:r>
      <w:r>
        <w:rPr>
          <w:rFonts w:ascii="仿宋" w:hAnsi="仿宋" w:cs="仿宋" w:eastAsia="仿宋"/>
          <w:b w:val="false"/>
          <w:sz w:val="28"/>
        </w:rPr>
        <w:t>；其中</w:t>
      </w:r>
      <w:r>
        <w:rPr>
          <w:rFonts w:ascii="黑体" w:hAnsi="黑体" w:cs="黑体" w:eastAsia="黑体"/>
          <w:b w:val="true"/>
          <w:sz w:val="28"/>
        </w:rPr>
        <w:t>荆州市Ⅴ类及劣Ⅴ类站点5个</w:t>
      </w:r>
      <w:r>
        <w:rPr>
          <w:rFonts w:ascii="仿宋" w:hAnsi="仿宋" w:cs="仿宋" w:eastAsia="仿宋"/>
          <w:b w:val="false"/>
          <w:sz w:val="28"/>
        </w:rPr>
        <w:t>，风险相对突出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武汉市：</w:t>
      </w:r>
      <w:r>
        <w:rPr>
          <w:rFonts w:ascii="仿宋" w:hAnsi="仿宋" w:cs="仿宋" w:eastAsia="仿宋"/>
          <w:b w:val="false"/>
          <w:sz w:val="28"/>
        </w:rPr>
        <w:t>涉及国控自动站16个、省控自动站5个。当日Ⅰ-Ⅲ类10个，不达标8个，其中Ⅴ类及劣Ⅴ类4个。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江夏湖心（Ⅳ类）、太平沙（劣Ⅴ类）、朱家河口（劣Ⅴ类）、滠口（Ⅳ类）、港洲村（Ⅳ类）、金水闸（Ⅳ类）、纱帽（右）（Ⅴ类）、挖沟泵站（Ⅴ类）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黄石市：</w:t>
      </w:r>
      <w:r>
        <w:rPr>
          <w:rFonts w:ascii="仿宋" w:hAnsi="仿宋" w:cs="仿宋" w:eastAsia="仿宋"/>
          <w:b w:val="false"/>
          <w:sz w:val="28"/>
        </w:rPr>
        <w:t>涉及国控自动站3个、省控自动站4个。当日Ⅰ-Ⅲ类4个，不达标1个，其中Ⅴ类及劣Ⅴ类0个。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磊山湖心（Ⅳ类）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十堰市：</w:t>
      </w:r>
      <w:r>
        <w:rPr>
          <w:rFonts w:ascii="仿宋" w:hAnsi="仿宋" w:cs="仿宋" w:eastAsia="仿宋"/>
          <w:b w:val="false"/>
          <w:sz w:val="28"/>
        </w:rPr>
        <w:t>涉及国控自动站16个、省控自动站4个。当日Ⅰ-Ⅲ类20个，不达标0个，其中Ⅴ类及劣Ⅴ类0个。</w:t>
      </w:r>
      <w:r>
        <w:rPr>
          <w:rFonts w:ascii="仿宋" w:hAnsi="仿宋" w:cs="仿宋" w:eastAsia="仿宋"/>
          <w:b w:val="false"/>
          <w:sz w:val="28"/>
        </w:rPr>
        <w:t>当日无不达标自动站。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宜昌市：</w:t>
      </w:r>
      <w:r>
        <w:rPr>
          <w:rFonts w:ascii="仿宋" w:hAnsi="仿宋" w:cs="仿宋" w:eastAsia="仿宋"/>
          <w:b w:val="false"/>
          <w:sz w:val="28"/>
        </w:rPr>
        <w:t>涉及国控自动站10个、省控自动站8个。当日Ⅰ-Ⅲ类17个，不达标0个，其中Ⅴ类及劣Ⅴ类0个。</w:t>
      </w:r>
      <w:r>
        <w:rPr>
          <w:rFonts w:ascii="仿宋" w:hAnsi="仿宋" w:cs="仿宋" w:eastAsia="仿宋"/>
          <w:b w:val="false"/>
          <w:sz w:val="28"/>
        </w:rPr>
        <w:t>当日无不达标自动站。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襄阳市：</w:t>
      </w:r>
      <w:r>
        <w:rPr>
          <w:rFonts w:ascii="仿宋" w:hAnsi="仿宋" w:cs="仿宋" w:eastAsia="仿宋"/>
          <w:b w:val="false"/>
          <w:sz w:val="28"/>
        </w:rPr>
        <w:t>涉及国控自动站11个、省控自动站6个。当日Ⅰ-Ⅲ类14个，不达标3个，其中Ⅴ类及劣Ⅴ类1个。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王湾村（Ⅳ类）、汤店（Ⅳ类）、西排子河水库库心（Ⅴ类）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鄂州市：</w:t>
      </w:r>
      <w:r>
        <w:rPr>
          <w:rFonts w:ascii="仿宋" w:hAnsi="仿宋" w:cs="仿宋" w:eastAsia="仿宋"/>
          <w:b w:val="false"/>
          <w:sz w:val="28"/>
        </w:rPr>
        <w:t>涉及国控自动站3个、省控自动站5个。当日Ⅰ-Ⅲ类7个，不达标1个，其中Ⅴ类及劣Ⅴ类0个。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薛家沟桥（Ⅳ类）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荆门市：</w:t>
      </w:r>
      <w:r>
        <w:rPr>
          <w:rFonts w:ascii="仿宋" w:hAnsi="仿宋" w:cs="仿宋" w:eastAsia="仿宋"/>
          <w:b w:val="false"/>
          <w:sz w:val="28"/>
        </w:rPr>
        <w:t>涉及国控自动站5个、省控自动站4个。当日Ⅰ-Ⅲ类7个，不达标2个，其中Ⅴ类及劣Ⅴ类0个。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彭墩桥（Ⅳ类）、马良龚家湾（Ⅳ类）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孝感市：</w:t>
      </w:r>
      <w:r>
        <w:rPr>
          <w:rFonts w:ascii="仿宋" w:hAnsi="仿宋" w:cs="仿宋" w:eastAsia="仿宋"/>
          <w:b w:val="false"/>
          <w:sz w:val="28"/>
        </w:rPr>
        <w:t>涉及国控自动站12个、省控自动站8个。当日Ⅰ-Ⅲ类11个，不达标9个，其中Ⅴ类及劣Ⅴ类4个。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汉川新堰（劣Ⅴ类）、新沟闸（劣Ⅴ类）、垌冢桥（Ⅴ类）、南垸良种场（Ⅴ类）、隔蒲桥（Ⅳ类）、夏庙村（Ⅳ类）、鲢鱼地泵站（Ⅳ类）、万安闸（Ⅳ类）、孝感河口大桥（Ⅳ类）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荆州市：</w:t>
      </w:r>
      <w:r>
        <w:rPr>
          <w:rFonts w:ascii="仿宋" w:hAnsi="仿宋" w:cs="仿宋" w:eastAsia="仿宋"/>
          <w:b w:val="false"/>
          <w:sz w:val="28"/>
        </w:rPr>
        <w:t>涉及国控自动站22个、省控自动站7个。当日Ⅰ-Ⅲ类15个，不达标11个，其中Ⅴ类及劣Ⅴ类5个。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新刘家台（Ⅳ类）、新河村（Ⅴ类）、新滩（劣Ⅴ类）、瞿家湾（劣Ⅴ类）、东关桥（Ⅳ类）、桂花树（Ⅳ类）、排水闸（Ⅳ类）、杨柴湖（Ⅳ类）、夜谋沟（Ⅴ类）、湖心B（Ⅳ类）、姚集（Ⅴ类）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黄冈市：</w:t>
      </w:r>
      <w:r>
        <w:rPr>
          <w:rFonts w:ascii="仿宋" w:hAnsi="仿宋" w:cs="仿宋" w:eastAsia="仿宋"/>
          <w:b w:val="false"/>
          <w:sz w:val="28"/>
        </w:rPr>
        <w:t>涉及国控自动站7个、省控自动站4个。当日Ⅰ-Ⅲ类5个，不达标5个，其中Ⅴ类及劣Ⅴ类1个。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沐家泾（Ⅴ类）、巴河镇河口（Ⅳ类）、兰溪大桥（Ⅳ类）、蕲春县八里湖（Ⅳ类）、西河驿（Ⅳ类）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咸宁市：</w:t>
      </w:r>
      <w:r>
        <w:rPr>
          <w:rFonts w:ascii="仿宋" w:hAnsi="仿宋" w:cs="仿宋" w:eastAsia="仿宋"/>
          <w:b w:val="false"/>
          <w:sz w:val="28"/>
        </w:rPr>
        <w:t>涉及国控自动站5个、省控自动站2个。当日Ⅰ-Ⅲ类5个，不达标1个，其中Ⅴ类及劣Ⅴ类0个。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陆溪口（Ⅳ类）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随州市：</w:t>
      </w:r>
      <w:r>
        <w:rPr>
          <w:rFonts w:ascii="仿宋" w:hAnsi="仿宋" w:cs="仿宋" w:eastAsia="仿宋"/>
          <w:b w:val="false"/>
          <w:sz w:val="28"/>
        </w:rPr>
        <w:t>涉及国控自动站2个、省控自动站1个。当日Ⅰ-Ⅲ类2个，不达标1个，其中Ⅴ类及劣Ⅴ类0个。</w:t>
      </w:r>
      <w:r>
        <w:rPr>
          <w:rFonts w:ascii="仿宋" w:hAnsi="仿宋" w:cs="仿宋" w:eastAsia="仿宋"/>
          <w:b w:val="false"/>
          <w:sz w:val="28"/>
        </w:rPr>
        <w:t>需关注站点为：</w:t>
      </w:r>
      <w:r>
        <w:rPr>
          <w:rFonts w:ascii="黑体" w:hAnsi="黑体" w:cs="黑体" w:eastAsia="黑体"/>
          <w:b w:val="true"/>
          <w:sz w:val="28"/>
        </w:rPr>
        <w:t>厉山（Ⅳ类）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恩施土家族苗族自治州：</w:t>
      </w:r>
      <w:r>
        <w:rPr>
          <w:rFonts w:ascii="仿宋" w:hAnsi="仿宋" w:cs="仿宋" w:eastAsia="仿宋"/>
          <w:b w:val="false"/>
          <w:sz w:val="28"/>
        </w:rPr>
        <w:t>涉及国控自动站11个、省控自动站8个。当日Ⅰ-Ⅲ类19个，不达标0个，其中Ⅴ类及劣Ⅴ类0个。</w:t>
      </w:r>
      <w:r>
        <w:rPr>
          <w:rFonts w:ascii="仿宋" w:hAnsi="仿宋" w:cs="仿宋" w:eastAsia="仿宋"/>
          <w:b w:val="false"/>
          <w:sz w:val="28"/>
        </w:rPr>
        <w:t>当日无不达标自动站。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神农架林区：</w:t>
      </w:r>
      <w:r>
        <w:rPr>
          <w:rFonts w:ascii="仿宋" w:hAnsi="仿宋" w:cs="仿宋" w:eastAsia="仿宋"/>
          <w:b w:val="false"/>
          <w:sz w:val="28"/>
        </w:rPr>
        <w:t>涉及国控自动站1个、省控自动站0个。当日Ⅰ-Ⅲ类1个，不达标0个，其中Ⅴ类及劣Ⅴ类0个。</w:t>
      </w:r>
      <w:r>
        <w:rPr>
          <w:rFonts w:ascii="仿宋" w:hAnsi="仿宋" w:cs="仿宋" w:eastAsia="仿宋"/>
          <w:b w:val="false"/>
          <w:sz w:val="28"/>
        </w:rPr>
        <w:t>当日无不达标自动站。</w:t>
      </w:r>
    </w:p>
    <w:p>
      <w:pPr>
        <w:spacing w:before="120" w:after="120" w:line="420" w:lineRule="exact"/>
        <w:ind w:firstLine="480"/>
      </w:pPr>
      <w:r>
        <w:rPr>
          <w:rFonts w:ascii="黑体" w:hAnsi="黑体" w:cs="黑体" w:eastAsia="黑体"/>
          <w:b w:val="true"/>
          <w:sz w:val="28"/>
        </w:rPr>
        <w:t>省直管县市及林区：</w:t>
      </w:r>
      <w:r>
        <w:rPr>
          <w:rFonts w:ascii="仿宋" w:hAnsi="仿宋" w:cs="仿宋" w:eastAsia="仿宋"/>
          <w:b w:val="false"/>
          <w:sz w:val="28"/>
        </w:rPr>
        <w:t>仙桃市省控自动站5个，不达标1个</w:t>
      </w:r>
      <w:r>
        <w:rPr>
          <w:rFonts w:ascii="仿宋" w:hAnsi="仿宋" w:cs="仿宋" w:eastAsia="仿宋"/>
          <w:b w:val="false"/>
          <w:sz w:val="28"/>
        </w:rPr>
        <w:t>；不达标自动站为：</w:t>
      </w:r>
      <w:r>
        <w:rPr>
          <w:rFonts w:ascii="黑体" w:hAnsi="黑体" w:cs="黑体" w:eastAsia="黑体"/>
          <w:b w:val="true"/>
          <w:sz w:val="28"/>
        </w:rPr>
        <w:t>姚嘴王岭村（劣Ⅴ类）</w:t>
      </w:r>
      <w:r>
        <w:rPr>
          <w:rFonts w:ascii="仿宋" w:hAnsi="仿宋" w:cs="仿宋" w:eastAsia="仿宋"/>
          <w:b w:val="false"/>
          <w:sz w:val="28"/>
        </w:rPr>
        <w:t>。</w:t>
      </w:r>
      <w:r>
        <w:rPr>
          <w:rFonts w:ascii="黑体" w:hAnsi="黑体" w:cs="黑体" w:eastAsia="黑体"/>
          <w:b w:val="true"/>
          <w:sz w:val="28"/>
        </w:rPr>
        <w:t>省直管县市及林区：</w:t>
      </w:r>
      <w:r>
        <w:rPr>
          <w:rFonts w:ascii="仿宋" w:hAnsi="仿宋" w:cs="仿宋" w:eastAsia="仿宋"/>
          <w:b w:val="false"/>
          <w:sz w:val="28"/>
        </w:rPr>
        <w:t>潜江市省控自动站5个，不达标3个</w:t>
      </w:r>
      <w:r>
        <w:rPr>
          <w:rFonts w:ascii="仿宋" w:hAnsi="仿宋" w:cs="仿宋" w:eastAsia="仿宋"/>
          <w:b w:val="false"/>
          <w:sz w:val="28"/>
        </w:rPr>
        <w:t>；不达标自动站为：</w:t>
      </w:r>
      <w:r>
        <w:rPr>
          <w:rFonts w:ascii="黑体" w:hAnsi="黑体" w:cs="黑体" w:eastAsia="黑体"/>
          <w:b w:val="true"/>
          <w:sz w:val="28"/>
        </w:rPr>
        <w:t>积玉口荷花村（Ⅳ类）、丫角桥（Ⅳ类）、运粮湖同心队（Ⅴ类）</w:t>
      </w:r>
      <w:r>
        <w:rPr>
          <w:rFonts w:ascii="仿宋" w:hAnsi="仿宋" w:cs="仿宋" w:eastAsia="仿宋"/>
          <w:b w:val="false"/>
          <w:sz w:val="28"/>
        </w:rPr>
        <w:t>。</w:t>
      </w:r>
      <w:r>
        <w:rPr>
          <w:rFonts w:ascii="黑体" w:hAnsi="黑体" w:cs="黑体" w:eastAsia="黑体"/>
          <w:b w:val="true"/>
          <w:sz w:val="28"/>
        </w:rPr>
        <w:t>省直管县市及林区：</w:t>
      </w:r>
      <w:r>
        <w:rPr>
          <w:rFonts w:ascii="仿宋" w:hAnsi="仿宋" w:cs="仿宋" w:eastAsia="仿宋"/>
          <w:b w:val="false"/>
          <w:sz w:val="28"/>
        </w:rPr>
        <w:t>天门市省控自动站3个，不达标1个</w:t>
      </w:r>
      <w:r>
        <w:rPr>
          <w:rFonts w:ascii="仿宋" w:hAnsi="仿宋" w:cs="仿宋" w:eastAsia="仿宋"/>
          <w:b w:val="false"/>
          <w:sz w:val="28"/>
        </w:rPr>
        <w:t>；不达标自动站为：</w:t>
      </w:r>
      <w:r>
        <w:rPr>
          <w:rFonts w:ascii="黑体" w:hAnsi="黑体" w:cs="黑体" w:eastAsia="黑体"/>
          <w:b w:val="true"/>
          <w:sz w:val="28"/>
        </w:rPr>
        <w:t>拖市（Ⅴ类）</w:t>
      </w:r>
      <w:r>
        <w:rPr>
          <w:rFonts w:ascii="仿宋" w:hAnsi="仿宋" w:cs="仿宋" w:eastAsia="仿宋"/>
          <w:b w:val="false"/>
          <w:sz w:val="28"/>
        </w:rPr>
        <w:t>。</w:t>
      </w:r>
    </w:p>
    <w:p>
      <w:pPr>
        <w:pageBreakBefore w:val="true"/>
      </w:pPr>
    </w:p>
    <w:p>
      <w:pPr>
        <w:jc w:val="center"/>
      </w:pPr>
      <w:r>
        <w:rPr>
          <w:rFonts w:ascii="黑体" w:hAnsi="黑体" w:cs="黑体" w:eastAsia="黑体"/>
          <w:b w:val="true"/>
          <w:sz w:val="44"/>
        </w:rPr>
        <w:t>附表及监测明细</w:t>
      </w:r>
    </w:p>
    <w:p>
      <w:pPr>
        <w:spacing w:before="200"/>
        <w:jc w:val="center"/>
      </w:pPr>
      <w:r>
        <w:rPr>
          <w:rFonts w:ascii="黑体" w:hAnsi="黑体" w:cs="黑体" w:eastAsia="黑体"/>
          <w:b w:val="true"/>
          <w:sz w:val="32"/>
        </w:rPr>
        <w:t>附表1：超标自动站汇总表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所在河流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自动站属性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点位名称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责任城市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当日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本月累计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十四五考核目标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较前一日变化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主要超标因子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主要超标因子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上西荆河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积玉口荷花村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东荆河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新刘家台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东荆河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姚嘴王岭村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高锰酸盐指数(0.1)、溶解氧、总磷(0.5)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举水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沐家泾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举水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麻城许家湾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高锰酸盐指数(0.23)、溶解氧、总磷(0.16)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厥水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厉山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四湖总干渠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新河村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高锰酸盐指数(0.05)、溶解氧、氨氮(0.1)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四湖总干渠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丫角桥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四湖总干渠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四湖总干渠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运粮湖同心队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四湖总干渠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瞿家湾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大冶湖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大冶湖闸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大冶湖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磊山湖心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总磷(0.12)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汉川新堰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拖市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高锰酸盐指数(0.18)、溶解氧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太湖港渠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东关桥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小清河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王湾村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巴河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巴河镇河口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斧头湖咸宁水域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高锰酸盐指数(0.05)、总磷(0.8)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斧头湖武汉水域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江夏湖心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高锰酸盐指数(0.38)、总磷(1.4)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梁子湖武汉水域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西梁子湖湖北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高锰酸盐指数(0.07)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垌冢桥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南垸良种场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新沟闸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石剅（右）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小河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铁路大桥（小桂林）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总磷(0.54)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沮漳河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两河口(草埠湖）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总磷(0.33)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沮漳河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总磷(0.17)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洈水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桂花树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夜谋沟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总磷(1.46)、氨氮(0.45)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湖心B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总磷(0.44)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排水闸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总磷(0.38)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杨柴湖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溶解氧、总磷(0.04)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浠水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兰溪大桥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夏庙村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太平沙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隔蒲桥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高锰酸盐指数(0.07)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朱家河口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滚河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汤店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滠水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滠口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澴水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孝感河口大桥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澴水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万安闸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竹皮河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彭墩桥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高锰酸盐指数(0.05)、总磷(0.2)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蕲水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蕲春县八里湖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总磷(0.19)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蕲水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西河驿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溶解氧、总磷(0.25)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薛家沟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薛家沟桥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藕池河东支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藕池河东支入境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总磷(1.4)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藕池河中支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藕池河中支入境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西干渠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氨氮(0.25)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西排子河水库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西排子河水库库心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总磷(1.1)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金水闸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纱帽（右）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挥发酚(11.4)、汞(10.0)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陆水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陆溪口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黄丝河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挖沟泵站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</w:tbl>
    <w:p>
      <w:pPr>
        <w:spacing w:before="200"/>
        <w:jc w:val="center"/>
      </w:pPr>
      <w:r>
        <w:rPr>
          <w:rFonts w:ascii="黑体" w:hAnsi="黑体" w:cs="黑体" w:eastAsia="黑体"/>
          <w:b w:val="true"/>
          <w:sz w:val="32"/>
        </w:rPr>
        <w:t>附表2：超标自动站监测明细表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自动站名称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所在地市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溶解氧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总氮(mg/L)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电导率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总磷(mg/L)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水温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高锰酸盐指数(mg/L)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PH值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浊度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氨氮(mg/L)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积玉口荷花村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446.73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新刘家台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370.73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姚嘴王岭村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428.54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高锰酸盐指数(0.1)、溶解氧、总磷(0.5)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沐家泾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193.1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麻城许家湾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130.61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厉山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新河村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440.93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高锰酸盐指数(0.05)、溶解氧、氨氮(0.1)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丫角桥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345.01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65.77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405.85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运粮湖同心队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437.55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瞿家湾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383.54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大冶湖闸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340.83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磊山湖心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337.36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总磷(0.12)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汉川新堰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522.98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拖市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540.7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高锰酸盐指数(0.18)、溶解氧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东关桥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441.58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176.69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王湾村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339.51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巴河镇河口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154.31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227.83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江夏湖心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199.74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高锰酸盐指数(0.38)、总磷(1.4)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西梁子湖湖北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174.31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垌冢桥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462.14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南垸良种场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518.23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新沟闸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413.22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石剅（右）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367.29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小河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380.72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358.98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铁路大桥（小桂林）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513.88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两河口(草埠湖）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541.48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543.2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桂花树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301.13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夜谋沟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307.29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153.57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总磷(1.46)、氨氮(0.45)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湖心B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73.24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总磷(0.44)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排水闸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303.66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101.13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总磷(0.38)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杨柴湖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313.53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溶解氧、总磷(0.04)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兰溪大桥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166.92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夏庙村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太平沙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404.77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隔蒲桥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379.83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高锰酸盐指数(0.07)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朱家河口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00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color w:val="FFFFFF"/>
                <w:sz w:val="14"/>
              </w:rPr>
              <w:t>劣Ⅴ类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434.16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汤店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677.86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高锰酸盐指数(0.03)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滠口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162.85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孝感河口大桥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265.32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万安闸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高锰酸盐指数(0.1)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彭墩桥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1111.48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高锰酸盐指数(0.05)、总磷(0.2)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蕲春县八里湖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131.02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93.73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总磷(0.19)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西河驿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113.59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溶解氧、总磷(0.25)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薛家沟桥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288.01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56.35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高锰酸盐指数(0.05)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藕池河东支入境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藕池河中支入境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137.67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530.27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氨氮(0.25)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西排子河水库库心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总磷(1.1)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金水闸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269.6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106.83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纱帽（右）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302.35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77.64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挥发酚(11.4)、汞(10.0)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陆溪口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203.78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挖沟泵站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99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Ⅴ类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615.51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溶解氧</w:t>
            </w:r>
          </w:p>
        </w:tc>
      </w:tr>
    </w:tbl>
    <w:p>
      <w:pPr>
        <w:spacing w:before="200"/>
        <w:jc w:val="center"/>
      </w:pPr>
      <w:r>
        <w:rPr>
          <w:rFonts w:ascii="黑体" w:hAnsi="黑体" w:cs="黑体" w:eastAsia="黑体"/>
          <w:b w:val="true"/>
          <w:sz w:val="32"/>
        </w:rPr>
        <w:t>附表3：未超标自动站汇总表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所在河流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自动站属性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点位名称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责任城市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当日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本月累计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十四五考核目标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较前一日变化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主要超标因子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>主要超标因子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黑体" w:hAnsi="黑体" w:cs="黑体" w:eastAsia="黑体"/>
                <w:b w:val="true"/>
                <w:sz w:val="14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东荆河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汉洪大桥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东荆河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丹江口水库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坝上中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丹江口水库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五龙泉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举水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陶冲村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举水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郭玉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九畹溪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九畹溪河口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京山河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京山河邓李港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倒水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冯集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倒水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周八家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冷水河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落坡坝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剑河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剑河口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聂家滩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玛瑙观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阳日湾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神农架林区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茶庵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唐岩河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周家坝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唐河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埠口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唐白河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张湾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堵河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化口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堵河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潘口水库坝上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堵河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焦家院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大富水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应城公路桥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大富水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田店泵站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天池河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纸坊头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水石门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官山河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孙家湾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应山河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孝昌王店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引江济汉渠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高石碑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忠建河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洞坪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忠建河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龙坪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新埠河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山河电站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松滋东河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马坡湖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松滋东河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淤泥湖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松滋河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杨家垱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柏临河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土门大桥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梁子湖武汉水域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牛山湖湖心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梁子湖鄂州水域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七星（梁子岛水源）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汉南村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黄家村（右）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石牌港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仙人渡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沈湾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皇庄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余家湖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石剅（左）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转斗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陈家坡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宗关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羊尾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罗汉闸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重阳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马渡河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泗河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泗河口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洈水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乌溪沟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浪河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浪河口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雷福闸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平林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鲢鱼地泵站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随应桥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蔡河村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涢水（漳水西支）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安陆桑树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淦水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窑嘴大桥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雪照河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景阳河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长沙河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桅杆坪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朱津滩(天龙湾)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恩施大沙坝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渔洋河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马勒坡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溇水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江口村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滔河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王河电站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滚河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琚湾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滠水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北门港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滠水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大悟河口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白石港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康家沟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漳河水库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漳河水库库心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澴水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余家坡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犟河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东湾桥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翟湾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白莲河水库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磨刀溪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神农溪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神农洞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神定河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神定河口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竹皮河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马良龚家湾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康家岗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藕池河西支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官垱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蛮河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通顺河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港洲村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通顺河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郑场游潭村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通顺河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黄陵大桥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郁江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长顺乡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鄂坪水库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鄂坪水库库心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酉水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百福司镇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酉水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乐坪桥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金钱河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玉皇滩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金钱河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夹河口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长江巡测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湖北省水质监测船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杨泗港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黄盖湖镇（右）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砖瓦厂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云池（白洋）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调关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培石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中官铺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观音寺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黄腊石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燕矶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荆江口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白浒山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南津关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巫峡口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长江干流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三峡村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梁子湖长港出口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樊口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清水湖渡口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陆水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洪下水文站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隔河岩水库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隔河岩水库坝上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隧洞河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隧洞村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香溪河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长沙坝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香溪河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木鱼镇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马兰河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马兰河口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马水河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南里渡桥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高桥河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港口桥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黄柏河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省控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黄柏河大桥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黄龙滩水库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国控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黄龙滩水库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</w:tr>
    </w:tbl>
    <w:p>
      <w:pPr>
        <w:spacing w:before="200"/>
        <w:jc w:val="center"/>
      </w:pPr>
      <w:r>
        <w:rPr>
          <w:rFonts w:ascii="黑体" w:hAnsi="黑体" w:cs="黑体" w:eastAsia="黑体"/>
          <w:b w:val="true"/>
          <w:sz w:val="32"/>
        </w:rPr>
        <w:t>附表4：未超标自动站监测明细表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自动站名称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所在地市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监测时间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水质类别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是否达标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溶解氧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总氮(mg/L)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电导率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总磷(mg/L)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水温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高锰酸盐指数(mg/L)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PH值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浊度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氨氮(mg/L)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超标因子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汉洪大桥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394.07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359.93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坝上中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266.65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五龙泉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272.63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陶冲村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93.94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郭玉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504.66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九畹溪河口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280.32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京山河邓李港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528.52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冯集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173.1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周八家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106.52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落坡坝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272.77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剑河口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225.03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聂家滩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327.17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玛瑙观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326.39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阳日湾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神农架林区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339.07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茶庵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314.64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周家坝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233.23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埠口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450.94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张湾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418.47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化口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潘口水库坝上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180.43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焦家院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应城公路桥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480.11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田店泵站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纸坊头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187.96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水石门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226.21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369.59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孙家湾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361.64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富水水库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孝昌王店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262.47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高石碑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潜江市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371.27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洞坪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206.66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龙坪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236.12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山河电站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340.38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马坡湖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362.04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淤泥湖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杨家垱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359.86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土门大桥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556.02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牛山湖湖心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七星（梁子岛水源）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186.76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汉南村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346.44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黄家村（右）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361.47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石牌港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325.68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仙人渡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313.97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沈湾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皇庄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329.83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余家湖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石剅（左）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358.75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转斗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353.65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陈家坡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272.33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宗关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羊尾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220.28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318.91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罗汉闸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天门市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358.97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69.41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重阳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419.74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马渡河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372.16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泗河口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455.17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乌溪沟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340.23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浪河口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176.41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雷福闸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399.43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平林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367.05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鲢鱼地泵站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391.27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随应桥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347.51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蔡河村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374.33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涢水大桥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随州市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401.67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安陆桑树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429.15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窑嘴大桥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雪照河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365.16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景阳河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165.01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长沙河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273.55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桅杆坪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299.46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清江大桥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308.76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朱津滩(天龙湾)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恩施大沙坝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301.44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马勒坡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江口村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王河电站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409.69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琚湾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648.89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北门港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164.81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大悟河口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172.97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白石港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328.16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康家沟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320.4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漳河水库库心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301.55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余家坡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孝感市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58.91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东湾桥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524.01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翟湾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435.35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119.45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162.17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17.85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神农洞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217.88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神定河口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646.52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马良龚家湾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荆门市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2094.8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68.25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康家岗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官垱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353.34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朱市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632.13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港洲村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FF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Ⅳ类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否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428.78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郑场游潭村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仙桃市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541.66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黄陵大桥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322.45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长顺乡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207.31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鄂坪水库库心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百福司镇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220.3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乐坪桥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180.23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21.4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新河口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玉皇滩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347.75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夹河口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317.23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湖北省水质监测船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417.12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14.41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杨泗港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282.64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黄盖湖镇（右）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286.03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砖瓦厂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397.25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云池（白洋）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347.55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调关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345.45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培石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350.4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75.72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中官铺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305.83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43.69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363.47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58.44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观音寺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343.79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35.83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黄腊石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332.22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49.47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燕矶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311.86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荆江口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377.22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26.49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白浒山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309.53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37.11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南津关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427.03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姚港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黄冈市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336.32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巫峡口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327.14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三峡村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315.94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54.54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梁子湖长港出口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151.53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樊口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244.04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27.89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清水湖渡口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169.99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洪下水文站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咸宁市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185.05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24.29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11.87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隔河岩水库坝上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9.2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206.15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隧洞村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292.32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22.51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长沙坝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10.8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381.05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6.9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木鱼镇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206.49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马兰河口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襄阳市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342.7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31.54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23.45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南里渡桥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恩施土家族苗族自治州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130.81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港口桥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鄂州市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FF00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Ⅲ类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5.6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192.93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25.49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3.7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47.22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黄柏河大桥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00CC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Ⅱ类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383.42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28.04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黄龙滩水库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十堰市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2026-07-06</w:t>
            </w:r>
          </w:p>
        </w:tc>
        <w:tc>
          <w:tcPr>
            <w:shd w:fill="CCFFFF" w:val="clear"/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Ⅰ类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是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12.4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207.93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29.09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1.13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0.02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4"/>
              </w:rPr>
              <w:t>不超标</w:t>
            </w:r>
          </w:p>
        </w:tc>
      </w:tr>
    </w:tbl>
    <w:p>
      <w:pPr>
        <w:spacing w:before="200"/>
        <w:jc w:val="center"/>
      </w:pPr>
      <w:r>
        <w:rPr>
          <w:rFonts w:ascii="黑体" w:hAnsi="黑体" w:cs="黑体" w:eastAsia="黑体"/>
          <w:b w:val="true"/>
          <w:sz w:val="32"/>
        </w:rPr>
        <w:t>附表5：无监测数据自动站明细表</w:t>
      </w:r>
    </w:p>
    <w:tbl>
      <w:tblPr>
        <w:tblW w:w="0" w:type="auto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Pr>
        <w:tblW w:type="pct" w:w="5000"/>
      </w:tblPr>
      <w:tr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序号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数据来源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自动站名称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责任地市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水质目标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监测时间</w:t>
            </w:r>
          </w:p>
        </w:tc>
        <w:tc>
          <w:tcPr>
            <w:shd w:fill="F5F5F5" w:val="clea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黑体" w:hAnsi="黑体" w:cs="黑体" w:eastAsia="黑体"/>
                <w:b w:val="true"/>
                <w:sz w:val="16"/>
              </w:rPr>
              <w:t>无数据说明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龙口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富池闸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黄石市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西梁子湖南北嘴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西梁子湖湖南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武汉市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滨湖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湖心A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五岭子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荆州市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汪洲村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黄冈市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石矶头大桥上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咸宁市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龙潭村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黄石市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自动站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东支(天府庙)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宜昌市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2026-07-06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18"/>
              </w:rPr>
              <w:t>无监测数据</w:t>
            </w:r>
          </w:p>
        </w:tc>
      </w:tr>
    </w:tbl>
    <w:sectPr>
      <w:headerReference w:type="default" r:id="rId2"/>
      <w:footerReference w:type="default" r:id="rId3"/>
    </w:sectPr>
    <w:sectPr>
      <w:pgSz w:w="11906" w:h="16838"/>
    </w:sectPr>
    <w:sectPr>
      <w:pgSz w:w="16838" w:h="11906"/>
    </w:sectPr>
  </w:body>
</w:document>
</file>

<file path=word/footer1.xml><?xml version="1.0" encoding="utf-8"?>
<w:ftr xmlns:w="http://schemas.openxmlformats.org/wordprocessingml/2006/main">
  <w:p>
    <w:pPr>
      <w:pStyle w:val="Footer"/>
    </w:pPr>
  </w:p>
  <w:p>
    <w:pPr>
      <w:jc w:val="center"/>
    </w:pPr>
    <w:r>
      <w:rPr>
        <w:rFonts w:ascii="宋体" w:hAnsi="宋体" w:cs="宋体" w:eastAsia="宋体"/>
        <w:sz w:val="16"/>
      </w:rPr>
      <w:t xml:space="preserve">- </w:t>
    </w:r>
    <w:fldSimple w:instr=" PAGE ">
      <w:r>
        <w:rPr/>
        <w:t>1</w:t>
      </w:r>
    </w:fldSimple>
    <w:r>
      <w:rPr>
        <w:rFonts w:ascii="宋体" w:hAnsi="宋体" w:cs="宋体" w:eastAsia="宋体"/>
        <w:sz w:val="16"/>
      </w:rPr>
      <w:t xml:space="preserve"> -</w:t>
    </w:r>
  </w:p>
</w:ftr>
</file>

<file path=word/header1.xml><?xml version="1.0" encoding="utf-8"?>
<w:hdr xmlns:w="http://schemas.openxmlformats.org/wordprocessingml/2006/main">
  <w:p>
    <w:pPr>
      <w:pStyle w:val="Header"/>
    </w:pPr>
  </w:p>
  <w:p>
    <w:pPr>
      <w:jc w:val="center"/>
    </w:pPr>
    <w:r>
      <w:rPr>
        <w:rFonts w:ascii="宋体" w:hAnsi="宋体" w:cs="宋体" w:eastAsia="宋体"/>
        <w:color w:val="B0B0B0"/>
        <w:sz w:val="16"/>
      </w:rPr>
      <w:t>碧水荆灵 AI 生成，仅供参考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header1.xml" Type="http://schemas.openxmlformats.org/officeDocument/2006/relationships/header"/>
<Relationship Id="rId3" Target="footer1.xml" Type="http://schemas.openxmlformats.org/officeDocument/2006/relationships/footer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2026-07-07T09:04:37Z</dcterms:created>
  <dc:creator>Apache POI</dc:creator>
</cp:coreProperties>
</file>