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1FCEE048" w:rsidR="008A55BB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hyperlink r:id="rId5" w:history="1">
        <w:r w:rsidR="00F702E5" w:rsidRPr="00716FCD">
          <w:rPr>
            <w:rStyle w:val="Hyperlink"/>
            <w:rFonts w:asciiTheme="majorHAnsi" w:eastAsia="Times New Roman" w:hAnsiTheme="majorHAnsi" w:cs="Arial"/>
          </w:rPr>
          <w:t>kbs37@pitt.edu</w:t>
        </w:r>
      </w:hyperlink>
    </w:p>
    <w:p w14:paraId="367AADFD" w14:textId="5E7EEC51" w:rsidR="00F702E5" w:rsidRPr="00162AD6" w:rsidRDefault="00F702E5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hAnsiTheme="majorHAnsi" w:cs="Arial"/>
          <w:color w:val="000000"/>
          <w:u w:val="single"/>
        </w:rPr>
        <w:t>https://kbsezginel.github.io</w:t>
      </w:r>
    </w:p>
    <w:p w14:paraId="26D53F4E" w14:textId="77777777" w:rsidR="00837EDD" w:rsidRPr="00162AD6" w:rsidRDefault="00837EDD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p w14:paraId="63841ECC" w14:textId="77777777" w:rsidR="00837EDD" w:rsidRPr="00162AD6" w:rsidRDefault="00837EDD" w:rsidP="00071052">
      <w:pPr>
        <w:spacing w:before="0" w:after="0"/>
        <w:divId w:val="148920306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182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32923AC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2E3FB4D5" w14:textId="77777777" w:rsidTr="00520E2B">
        <w:trPr>
          <w:divId w:val="775364983"/>
        </w:trPr>
        <w:tc>
          <w:tcPr>
            <w:tcW w:w="3854" w:type="pct"/>
            <w:hideMark/>
          </w:tcPr>
          <w:p w14:paraId="22CF0DC7" w14:textId="42CA6701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7C5043A3" w14:textId="5EDBDA30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520E2B" w:rsidRPr="00162AD6" w14:paraId="5D8081E7" w14:textId="77777777" w:rsidTr="00520E2B">
        <w:trPr>
          <w:divId w:val="775364983"/>
        </w:trPr>
        <w:tc>
          <w:tcPr>
            <w:tcW w:w="3854" w:type="pct"/>
            <w:hideMark/>
          </w:tcPr>
          <w:p w14:paraId="598858F1" w14:textId="7C1121A2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5EC8EEDD" w14:textId="5B3EE818" w:rsidR="00520E2B" w:rsidRPr="00162AD6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5D092984" w14:textId="67157E6C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="00453B97">
        <w:rPr>
          <w:rFonts w:asciiTheme="majorHAnsi" w:eastAsia="Times New Roman" w:hAnsiTheme="majorHAnsi" w:cs="Arial"/>
          <w:color w:val="000000"/>
        </w:rPr>
        <w:t>“</w:t>
      </w:r>
      <w:r>
        <w:rPr>
          <w:rFonts w:asciiTheme="majorHAnsi" w:eastAsia="Times New Roman" w:hAnsiTheme="majorHAnsi" w:cs="Arial"/>
          <w:color w:val="000000"/>
        </w:rPr>
        <w:t>Computational and Experimental Investigation of Methane Adsorption in Pure and Ionic Liquid Modified Metal-Organic Frameworks</w:t>
      </w:r>
      <w:r w:rsidR="00453B97">
        <w:rPr>
          <w:rFonts w:asciiTheme="majorHAnsi" w:eastAsia="Times New Roman" w:hAnsiTheme="majorHAnsi" w:cs="Arial"/>
          <w:color w:val="000000"/>
        </w:rPr>
        <w:t>”</w:t>
      </w:r>
    </w:p>
    <w:p w14:paraId="438A9A80" w14:textId="3E9FEB66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Adviser</w:t>
      </w:r>
      <w:r w:rsidR="00453B97">
        <w:rPr>
          <w:rFonts w:asciiTheme="majorHAnsi" w:eastAsia="Times New Roman" w:hAnsiTheme="majorHAnsi" w:cs="Arial"/>
          <w:color w:val="000000"/>
        </w:rPr>
        <w:t>s</w:t>
      </w:r>
      <w:r>
        <w:rPr>
          <w:rFonts w:asciiTheme="majorHAnsi" w:eastAsia="Times New Roman" w:hAnsiTheme="majorHAnsi" w:cs="Arial"/>
          <w:color w:val="000000"/>
        </w:rPr>
        <w:t xml:space="preserve">: Dr. Seda </w:t>
      </w:r>
      <w:proofErr w:type="spellStart"/>
      <w:r>
        <w:rPr>
          <w:rFonts w:asciiTheme="majorHAnsi" w:eastAsia="Times New Roman" w:hAnsiTheme="majorHAnsi" w:cs="Arial"/>
          <w:color w:val="000000"/>
        </w:rPr>
        <w:t>Keskin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&amp; Dr. </w:t>
      </w:r>
      <w:proofErr w:type="spellStart"/>
      <w:r>
        <w:rPr>
          <w:rFonts w:asciiTheme="majorHAnsi" w:eastAsia="Times New Roman" w:hAnsiTheme="majorHAnsi" w:cs="Arial"/>
          <w:color w:val="000000"/>
        </w:rPr>
        <w:t>Alper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</w:rPr>
        <w:t>Uzun</w:t>
      </w:r>
      <w:proofErr w:type="spellEnd"/>
    </w:p>
    <w:p w14:paraId="597B7928" w14:textId="230E0F5F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520E2B" w:rsidRPr="00162AD6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520E2B" w:rsidRPr="00520E2B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520E2B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D7068C1" w14:textId="735CE14E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3063"/>
      </w:tblGrid>
      <w:tr w:rsidR="00453B97" w:rsidRPr="00162AD6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453B97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453B97">
              <w:rPr>
                <w:rFonts w:asciiTheme="majorHAnsi" w:eastAsia="Times New Roman" w:hAnsiTheme="majorHAnsi" w:cs="Arial"/>
                <w:b/>
                <w:i/>
                <w:color w:val="000000"/>
              </w:rPr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162AD6" w:rsidRDefault="00F74893" w:rsidP="00453B97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Feb 2012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453B97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Aug 2012</w:t>
            </w:r>
          </w:p>
        </w:tc>
      </w:tr>
      <w:tr w:rsidR="00453B97" w:rsidRPr="00162AD6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162AD6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 University of Technology</w:t>
            </w:r>
            <w:r>
              <w:rPr>
                <w:rFonts w:asciiTheme="majorHAnsi" w:eastAsia="Times New Roman" w:hAnsiTheme="majorHAnsi" w:cs="Arial"/>
                <w:color w:val="000000"/>
              </w:rPr>
              <w:t>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162AD6" w:rsidRDefault="00453B97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11202BB0" w14:textId="77777777" w:rsidR="00684F17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Working on several projects to develop new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>
        <w:rPr>
          <w:rFonts w:asciiTheme="majorHAnsi" w:eastAsia="Times New Roman" w:hAnsiTheme="majorHAnsi" w:cs="Arial"/>
          <w:color w:val="000000"/>
        </w:rPr>
        <w:t xml:space="preserve">discovery of novel </w:t>
      </w:r>
      <w:r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>, focusing on supramolecular structures and metal-organic frameworks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Performed</w:t>
      </w:r>
      <w:r w:rsidRPr="00162AD6">
        <w:rPr>
          <w:rFonts w:asciiTheme="majorHAnsi" w:eastAsia="Times New Roman" w:hAnsiTheme="majorHAnsi" w:cs="Arial"/>
          <w:color w:val="000000"/>
        </w:rPr>
        <w:t xml:space="preserve"> grand canonical Monte Carlo (GCMC) and Molecular Dynamics (MD) simulations of Metal-Organic Frameworks (MOFs) to screen these materials 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applications.</w:t>
      </w:r>
    </w:p>
    <w:p w14:paraId="07E44BB7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methane storage of MOFs at </w:t>
      </w:r>
      <w:r>
        <w:rPr>
          <w:rFonts w:asciiTheme="majorHAnsi" w:eastAsia="Times New Roman" w:hAnsiTheme="majorHAnsi" w:cs="Arial"/>
          <w:color w:val="000000"/>
        </w:rPr>
        <w:t>various temperature and</w:t>
      </w:r>
      <w:r w:rsidRPr="00162AD6">
        <w:rPr>
          <w:rFonts w:asciiTheme="majorHAnsi" w:eastAsia="Times New Roman" w:hAnsiTheme="majorHAnsi" w:cs="Arial"/>
          <w:color w:val="000000"/>
        </w:rPr>
        <w:t xml:space="preserve"> pressures.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797E23">
        <w:rPr>
          <w:rFonts w:asciiTheme="majorHAnsi" w:eastAsia="Times New Roman" w:hAnsiTheme="majorHAnsi" w:cs="Arial"/>
        </w:rPr>
        <w:t>Investigated post-synthetic modifications of MOFs and zeolites using ionic liquids to enhance gas storage/selectivity performances concentrating on flue gas separation. Prepared and characterized composite materials by TGA, XRD, FT-IR, surface area, pore volume, and various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22714C1E" w14:textId="77777777" w:rsidR="00684F17" w:rsidRPr="00162AD6" w:rsidRDefault="00684F17" w:rsidP="00684F17">
      <w:pPr>
        <w:numPr>
          <w:ilvl w:val="0"/>
          <w:numId w:val="4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97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</w:tblGrid>
      <w:tr w:rsidR="00F702E5" w:rsidRPr="00162AD6" w14:paraId="40EC2F13" w14:textId="77777777" w:rsidTr="00F702E5">
        <w:trPr>
          <w:divId w:val="775364983"/>
        </w:trPr>
        <w:tc>
          <w:tcPr>
            <w:tcW w:w="0" w:type="auto"/>
          </w:tcPr>
          <w:p w14:paraId="215E7CF3" w14:textId="77777777" w:rsidR="00F702E5" w:rsidRPr="00162AD6" w:rsidRDefault="00F702E5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5AC4D33F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PUBLICATIONS</w:t>
      </w:r>
    </w:p>
    <w:p w14:paraId="4BE8ED14" w14:textId="2478878F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CrystEngComm</w:t>
      </w:r>
      <w:proofErr w:type="spellEnd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19.31 (2017):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(futured on 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Langmuir, 32(4),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Industrial &amp; Engineering Chemistry Research, 54(34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89819B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Multivariable linear models of structural parameters to predict methane uptake in metal–organic frameworks. Chemical Engineering Science, 124, 125-134.</w:t>
      </w:r>
      <w:bookmarkEnd w:id="1"/>
    </w:p>
    <w:p w14:paraId="74EE0650" w14:textId="026C5FBB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43AAF4F1" w14:textId="71F742BA" w:rsidR="00C11A7D" w:rsidRDefault="00C11A7D" w:rsidP="00A77990">
      <w:pPr>
        <w:pStyle w:val="Heading2"/>
        <w:numPr>
          <w:ilvl w:val="0"/>
          <w:numId w:val="15"/>
        </w:numPr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 w:rsidRPr="00C11A7D">
        <w:rPr>
          <w:rFonts w:asciiTheme="majorHAnsi" w:eastAsia="Times New Roman" w:hAnsiTheme="majorHAnsi" w:cs="Arial"/>
          <w:b w:val="0"/>
          <w:sz w:val="20"/>
          <w:szCs w:val="24"/>
        </w:rPr>
        <w:t>4 conference presentations (3 in USA and 1 in Turkey).</w:t>
      </w:r>
    </w:p>
    <w:p w14:paraId="2499953E" w14:textId="77777777" w:rsidR="00C11A7D" w:rsidRPr="00C11A7D" w:rsidRDefault="00C11A7D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</w:p>
    <w:p w14:paraId="31181635" w14:textId="42531C8D" w:rsidR="00D5532A" w:rsidRDefault="00C11A7D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LEADERSHIP </w:t>
      </w:r>
      <w:r w:rsidR="00D5532A" w:rsidRPr="00162AD6">
        <w:rPr>
          <w:rFonts w:asciiTheme="majorHAnsi" w:eastAsia="Times New Roman" w:hAnsiTheme="majorHAnsi" w:cs="Arial"/>
          <w:sz w:val="24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3844"/>
      </w:tblGrid>
      <w:tr w:rsidR="005E638E" w:rsidRPr="00162AD6" w14:paraId="6EA2060C" w14:textId="77777777" w:rsidTr="00C45FB8">
        <w:trPr>
          <w:divId w:val="775364983"/>
        </w:trPr>
        <w:tc>
          <w:tcPr>
            <w:tcW w:w="0" w:type="auto"/>
            <w:hideMark/>
          </w:tcPr>
          <w:p w14:paraId="639E1E7A" w14:textId="77777777" w:rsidR="00C45FB8" w:rsidRPr="00C45FB8" w:rsidRDefault="00C45FB8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C45FB8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Mentor </w:t>
            </w:r>
          </w:p>
        </w:tc>
        <w:tc>
          <w:tcPr>
            <w:tcW w:w="0" w:type="auto"/>
            <w:hideMark/>
          </w:tcPr>
          <w:p w14:paraId="440428E7" w14:textId="65812B89" w:rsidR="00C45FB8" w:rsidRPr="00162AD6" w:rsidRDefault="00C45FB8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</w:t>
            </w:r>
            <w:r w:rsidR="005E638E">
              <w:rPr>
                <w:rFonts w:asciiTheme="majorHAnsi" w:eastAsia="Times New Roman" w:hAnsiTheme="majorHAnsi" w:cs="Arial"/>
                <w:color w:val="000000"/>
              </w:rPr>
              <w:t>6 – Present</w:t>
            </w:r>
          </w:p>
        </w:tc>
      </w:tr>
      <w:tr w:rsidR="005E638E" w:rsidRPr="00162AD6" w14:paraId="11DBEC38" w14:textId="77777777" w:rsidTr="00D5532A">
        <w:trPr>
          <w:divId w:val="775364983"/>
        </w:trPr>
        <w:tc>
          <w:tcPr>
            <w:tcW w:w="0" w:type="auto"/>
            <w:hideMark/>
          </w:tcPr>
          <w:p w14:paraId="0418C6B3" w14:textId="35FF04B5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</w:t>
            </w:r>
            <w:r w:rsidR="00F74893">
              <w:rPr>
                <w:rFonts w:asciiTheme="majorHAnsi" w:eastAsia="Times New Roman" w:hAnsiTheme="majorHAnsi" w:cs="Arial"/>
                <w:color w:val="000000"/>
              </w:rPr>
              <w:t xml:space="preserve"> Materials Lab (</w:t>
            </w:r>
            <w:proofErr w:type="spellStart"/>
            <w:r w:rsidR="00F74893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="00F74893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458B7387" w14:textId="6ADF94BC" w:rsidR="00D5532A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</w:t>
            </w:r>
            <w:r w:rsidR="00D5532A" w:rsidRPr="00162AD6">
              <w:rPr>
                <w:rFonts w:asciiTheme="majorHAnsi" w:eastAsia="Times New Roman" w:hAnsiTheme="majorHAnsi" w:cs="Arial"/>
                <w:color w:val="000000"/>
              </w:rPr>
              <w:t>, PA</w:t>
            </w:r>
          </w:p>
        </w:tc>
      </w:tr>
    </w:tbl>
    <w:p w14:paraId="6C8226A5" w14:textId="09659FDA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 xml:space="preserve">Mentored </w:t>
      </w:r>
      <w:r w:rsidR="00014B70">
        <w:rPr>
          <w:rFonts w:asciiTheme="majorHAnsi" w:eastAsia="Times New Roman" w:hAnsiTheme="majorHAnsi" w:cs="Arial"/>
          <w:color w:val="000000"/>
        </w:rPr>
        <w:t>three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4E5247">
        <w:rPr>
          <w:rFonts w:asciiTheme="majorHAnsi" w:eastAsia="Times New Roman" w:hAnsiTheme="majorHAnsi" w:cs="Arial"/>
          <w:color w:val="000000"/>
        </w:rPr>
        <w:t xml:space="preserve">undergraduate </w:t>
      </w:r>
      <w:r>
        <w:rPr>
          <w:rFonts w:asciiTheme="majorHAnsi" w:eastAsia="Times New Roman" w:hAnsiTheme="majorHAnsi" w:cs="Arial"/>
          <w:color w:val="000000"/>
        </w:rPr>
        <w:t xml:space="preserve">and </w:t>
      </w:r>
      <w:r w:rsidRPr="004E5247">
        <w:rPr>
          <w:rFonts w:asciiTheme="majorHAnsi" w:eastAsia="Times New Roman" w:hAnsiTheme="majorHAnsi" w:cs="Arial"/>
          <w:color w:val="000000"/>
        </w:rPr>
        <w:t xml:space="preserve">two </w:t>
      </w:r>
      <w:r>
        <w:rPr>
          <w:rFonts w:asciiTheme="majorHAnsi" w:eastAsia="Times New Roman" w:hAnsiTheme="majorHAnsi" w:cs="Arial"/>
          <w:color w:val="000000"/>
        </w:rPr>
        <w:t xml:space="preserve">master </w:t>
      </w:r>
      <w:r w:rsidRPr="004E5247">
        <w:rPr>
          <w:rFonts w:asciiTheme="majorHAnsi" w:eastAsia="Times New Roman" w:hAnsiTheme="majorHAnsi" w:cs="Arial"/>
          <w:color w:val="000000"/>
        </w:rPr>
        <w:t>students in data collection and analysis</w:t>
      </w:r>
      <w:r>
        <w:rPr>
          <w:rFonts w:asciiTheme="majorHAnsi" w:eastAsia="Times New Roman" w:hAnsiTheme="majorHAnsi" w:cs="Arial"/>
          <w:color w:val="000000"/>
        </w:rPr>
        <w:t xml:space="preserve"> for various projects.</w:t>
      </w:r>
    </w:p>
    <w:p w14:paraId="581176D6" w14:textId="77777777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>Guided the students in preparation and presentation of research findings.</w:t>
      </w:r>
    </w:p>
    <w:p w14:paraId="3108C2FD" w14:textId="77777777" w:rsidR="00D5532A" w:rsidRPr="00162AD6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bookmarkStart w:id="2" w:name="_GoBack"/>
      <w:bookmarkEnd w:id="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3"/>
        <w:gridCol w:w="3093"/>
      </w:tblGrid>
      <w:tr w:rsidR="00D5532A" w:rsidRPr="00162AD6" w14:paraId="40BEBA34" w14:textId="77777777" w:rsidTr="00D5532A">
        <w:trPr>
          <w:divId w:val="775364983"/>
        </w:trPr>
        <w:tc>
          <w:tcPr>
            <w:tcW w:w="0" w:type="auto"/>
            <w:hideMark/>
          </w:tcPr>
          <w:p w14:paraId="5F71CBD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2BA7002E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2017</w:t>
            </w:r>
          </w:p>
        </w:tc>
      </w:tr>
      <w:tr w:rsidR="001C3310" w:rsidRPr="00162AD6" w14:paraId="28D1A3C5" w14:textId="77777777" w:rsidTr="001C3310">
        <w:trPr>
          <w:divId w:val="775364983"/>
        </w:trPr>
        <w:tc>
          <w:tcPr>
            <w:tcW w:w="0" w:type="auto"/>
            <w:hideMark/>
          </w:tcPr>
          <w:p w14:paraId="16D2A5A9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ENG 0712 (</w:t>
            </w:r>
            <w:bookmarkStart w:id="3" w:name="_Hlk484171033"/>
            <w:r w:rsidRPr="00162AD6">
              <w:rPr>
                <w:rFonts w:asciiTheme="majorHAnsi" w:eastAsia="Times New Roman" w:hAnsiTheme="majorHAnsi" w:cs="Arial"/>
                <w:color w:val="000000"/>
              </w:rPr>
              <w:t>Honors Engineering Analysis and Computing</w:t>
            </w:r>
            <w:bookmarkEnd w:id="3"/>
            <w:r w:rsidRPr="00162AD6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2A2A0369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Pittsburgh, PA</w:t>
            </w:r>
          </w:p>
        </w:tc>
      </w:tr>
    </w:tbl>
    <w:p w14:paraId="6FFA4065" w14:textId="3E976AD2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color w:val="000000"/>
        </w:rPr>
        <w:t>Attended lectures to hel</w:t>
      </w:r>
      <w:r w:rsidR="001C3310">
        <w:rPr>
          <w:rFonts w:asciiTheme="majorHAnsi" w:eastAsia="Times New Roman" w:hAnsiTheme="majorHAnsi" w:cs="Arial"/>
          <w:color w:val="000000"/>
        </w:rPr>
        <w:t>p students with the assignments and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1C3310">
        <w:rPr>
          <w:rFonts w:asciiTheme="majorHAnsi" w:eastAsia="Times New Roman" w:hAnsiTheme="majorHAnsi" w:cs="Arial"/>
          <w:color w:val="000000"/>
        </w:rPr>
        <w:t>g</w:t>
      </w:r>
      <w:r w:rsidRPr="00162AD6">
        <w:rPr>
          <w:rFonts w:asciiTheme="majorHAnsi" w:eastAsia="Times New Roman" w:hAnsiTheme="majorHAnsi" w:cs="Arial"/>
          <w:color w:val="000000"/>
        </w:rPr>
        <w:t>raded assignments.</w:t>
      </w:r>
    </w:p>
    <w:p w14:paraId="6E8544EB" w14:textId="77777777" w:rsidR="00D5532A" w:rsidRPr="00162AD6" w:rsidRDefault="00D5532A" w:rsidP="00D5532A">
      <w:pPr>
        <w:spacing w:before="0" w:after="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210"/>
      </w:tblGrid>
      <w:tr w:rsidR="00D5532A" w:rsidRPr="00162AD6" w14:paraId="32C79D1A" w14:textId="77777777" w:rsidTr="00D5532A">
        <w:trPr>
          <w:divId w:val="775364983"/>
        </w:trPr>
        <w:tc>
          <w:tcPr>
            <w:tcW w:w="0" w:type="auto"/>
            <w:hideMark/>
          </w:tcPr>
          <w:p w14:paraId="63666526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6A434C0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Fall 2013 &amp; Fall 2014</w:t>
            </w:r>
          </w:p>
        </w:tc>
      </w:tr>
      <w:tr w:rsidR="001C3310" w:rsidRPr="00162AD6" w14:paraId="7684F5BE" w14:textId="77777777" w:rsidTr="001C3310">
        <w:trPr>
          <w:divId w:val="775364983"/>
        </w:trPr>
        <w:tc>
          <w:tcPr>
            <w:tcW w:w="0" w:type="auto"/>
            <w:hideMark/>
          </w:tcPr>
          <w:p w14:paraId="015FD4A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403 (Process and Product Design)</w:t>
            </w:r>
          </w:p>
        </w:tc>
        <w:tc>
          <w:tcPr>
            <w:tcW w:w="0" w:type="auto"/>
            <w:hideMark/>
          </w:tcPr>
          <w:p w14:paraId="546D0C7D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EE2C703" w14:textId="3A5F2F06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Instructed weekly lab sessions for </w:t>
      </w:r>
      <w:r w:rsidR="00CE09C3">
        <w:rPr>
          <w:rFonts w:asciiTheme="majorHAnsi" w:eastAsia="Times New Roman" w:hAnsiTheme="majorHAnsi" w:cs="Arial"/>
          <w:color w:val="000000"/>
        </w:rPr>
        <w:t xml:space="preserve">teaching </w:t>
      </w:r>
      <w:r w:rsidRPr="00162AD6">
        <w:rPr>
          <w:rFonts w:asciiTheme="majorHAnsi" w:eastAsia="Times New Roman" w:hAnsiTheme="majorHAnsi" w:cs="Arial"/>
          <w:color w:val="000000"/>
        </w:rPr>
        <w:t>Aspen HYSYS software. Prepared and graded quizzes for lab sessions, assigned four design projects and evaluated them, proctored the midterms and finals.</w:t>
      </w:r>
    </w:p>
    <w:p w14:paraId="4CF98C64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1"/>
        <w:gridCol w:w="3175"/>
      </w:tblGrid>
      <w:tr w:rsidR="00D5532A" w:rsidRPr="00162AD6" w14:paraId="07CEA6B5" w14:textId="77777777" w:rsidTr="00D5532A">
        <w:trPr>
          <w:divId w:val="775364983"/>
        </w:trPr>
        <w:tc>
          <w:tcPr>
            <w:tcW w:w="0" w:type="auto"/>
            <w:hideMark/>
          </w:tcPr>
          <w:p w14:paraId="2C388B2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104024C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2015</w:t>
            </w:r>
          </w:p>
        </w:tc>
      </w:tr>
      <w:tr w:rsidR="001C3310" w:rsidRPr="00162AD6" w14:paraId="35ADB169" w14:textId="77777777" w:rsidTr="001C3310">
        <w:trPr>
          <w:divId w:val="775364983"/>
        </w:trPr>
        <w:tc>
          <w:tcPr>
            <w:tcW w:w="0" w:type="auto"/>
            <w:hideMark/>
          </w:tcPr>
          <w:p w14:paraId="0D39FA34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491 (Chemical and Biological Engineering Senior Project)</w:t>
            </w:r>
          </w:p>
        </w:tc>
        <w:tc>
          <w:tcPr>
            <w:tcW w:w="0" w:type="auto"/>
            <w:hideMark/>
          </w:tcPr>
          <w:p w14:paraId="044066A0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1DDE0FC6" w14:textId="77777777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Held weekly meetings with project group members and Prof. Can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Erkey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to discuss the project, assisted the project group members by providing them supportive articles for their project and giving ideas.</w:t>
      </w:r>
    </w:p>
    <w:p w14:paraId="6B0FE43C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732"/>
      </w:tblGrid>
      <w:tr w:rsidR="00D5532A" w:rsidRPr="00162AD6" w14:paraId="18A5B92A" w14:textId="77777777" w:rsidTr="00D5532A">
        <w:trPr>
          <w:divId w:val="775364983"/>
        </w:trPr>
        <w:tc>
          <w:tcPr>
            <w:tcW w:w="0" w:type="auto"/>
            <w:hideMark/>
          </w:tcPr>
          <w:p w14:paraId="506F276D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53485305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2014</w:t>
            </w:r>
          </w:p>
        </w:tc>
      </w:tr>
      <w:tr w:rsidR="001C3310" w:rsidRPr="00162AD6" w14:paraId="08BA9D58" w14:textId="77777777" w:rsidTr="001C3310">
        <w:trPr>
          <w:divId w:val="775364983"/>
        </w:trPr>
        <w:tc>
          <w:tcPr>
            <w:tcW w:w="0" w:type="auto"/>
            <w:hideMark/>
          </w:tcPr>
          <w:p w14:paraId="2BC74EB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CHEM 103 (General Chemistry)</w:t>
            </w:r>
          </w:p>
        </w:tc>
        <w:tc>
          <w:tcPr>
            <w:tcW w:w="0" w:type="auto"/>
            <w:hideMark/>
          </w:tcPr>
          <w:p w14:paraId="1822C3B4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6E19AE96" w14:textId="1BEF0F96" w:rsidR="00C9095C" w:rsidRPr="00F702E5" w:rsidRDefault="00D5532A" w:rsidP="00F702E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Attended weekly lab sessions of</w:t>
      </w:r>
      <w:r w:rsidR="001C3310">
        <w:rPr>
          <w:rFonts w:asciiTheme="majorHAnsi" w:eastAsia="Times New Roman" w:hAnsiTheme="majorHAnsi" w:cs="Arial"/>
          <w:color w:val="000000"/>
        </w:rPr>
        <w:t xml:space="preserve"> freshman students, graded</w:t>
      </w:r>
      <w:r w:rsidRPr="00162AD6">
        <w:rPr>
          <w:rFonts w:asciiTheme="majorHAnsi" w:eastAsia="Times New Roman" w:hAnsiTheme="majorHAnsi" w:cs="Arial"/>
          <w:color w:val="000000"/>
        </w:rPr>
        <w:t xml:space="preserve"> quizzes, lab reports and midterm questions, proctored the midterms and finals.</w:t>
      </w:r>
    </w:p>
    <w:p w14:paraId="2C312F56" w14:textId="77777777" w:rsidR="00684F17" w:rsidRDefault="00684F17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</w:p>
    <w:p w14:paraId="3DEC143E" w14:textId="257C4A0A" w:rsidR="002332EA" w:rsidRPr="00162AD6" w:rsidRDefault="00D8548C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HONORS &amp; AWARDS</w:t>
      </w:r>
    </w:p>
    <w:p w14:paraId="39597EA7" w14:textId="0B6A9E5A" w:rsidR="002332EA" w:rsidRDefault="00A66CDA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Attended </w:t>
      </w:r>
      <w:r w:rsidR="0025671A"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</w:t>
      </w: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2017 Workshop: </w:t>
      </w:r>
      <w:r w:rsidR="0025671A"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3F5539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3AEC3126" w14:textId="2FA20BDA" w:rsidR="00162AD6" w:rsidRPr="00162AD6" w:rsidRDefault="00162AD6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MS</w:t>
      </w:r>
      <w:r w:rsidR="00F702E5">
        <w:rPr>
          <w:rFonts w:asciiTheme="majorHAnsi" w:eastAsia="Times New Roman" w:hAnsiTheme="majorHAnsi" w:cs="Arial"/>
          <w:b w:val="0"/>
          <w:sz w:val="20"/>
          <w:szCs w:val="20"/>
        </w:rPr>
        <w:t xml:space="preserve"> and BS</w:t>
      </w:r>
    </w:p>
    <w:p w14:paraId="76D806ED" w14:textId="60E3EDEB" w:rsidR="00CE09C3" w:rsidRPr="00CE09C3" w:rsidRDefault="00CE09C3" w:rsidP="00CE09C3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7F71DE63" w14:textId="77777777" w:rsidR="00837EDD" w:rsidRPr="00162AD6" w:rsidRDefault="00837EDD" w:rsidP="00926D1B">
      <w:pPr>
        <w:pStyle w:val="NormalWeb"/>
        <w:spacing w:before="0" w:after="0"/>
        <w:divId w:val="1787504341"/>
        <w:rPr>
          <w:rFonts w:asciiTheme="majorHAnsi" w:hAnsiTheme="majorHAnsi" w:cs="Arial"/>
          <w:color w:val="000000"/>
        </w:rPr>
      </w:pPr>
    </w:p>
    <w:p w14:paraId="4E6D6F94" w14:textId="77777777" w:rsidR="008A55BB" w:rsidRPr="00162AD6" w:rsidRDefault="004C78D6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A46FEA3" w14:textId="09049714" w:rsidR="006F6988" w:rsidRPr="00CE09C3" w:rsidRDefault="004C78D6" w:rsidP="00926D1B">
      <w:pPr>
        <w:pStyle w:val="NormalWeb"/>
        <w:spacing w:before="0" w:after="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Language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   </w:t>
      </w:r>
      <w:r w:rsidR="00B70D36" w:rsidRPr="00162AD6">
        <w:rPr>
          <w:rStyle w:val="Strong"/>
          <w:rFonts w:asciiTheme="majorHAnsi" w:hAnsiTheme="majorHAnsi" w:cs="Arial"/>
          <w:color w:val="000000"/>
        </w:rPr>
        <w:t xml:space="preserve"> </w:t>
      </w:r>
      <w:r w:rsidRPr="00162AD6">
        <w:rPr>
          <w:rFonts w:asciiTheme="majorHAnsi" w:hAnsiTheme="majorHAnsi" w:cs="Arial"/>
          <w:color w:val="000000"/>
        </w:rPr>
        <w:t>English (Advanced)</w:t>
      </w:r>
      <w:r w:rsidR="00D417B7" w:rsidRPr="00162AD6">
        <w:rPr>
          <w:rFonts w:asciiTheme="majorHAnsi" w:hAnsiTheme="majorHAnsi" w:cs="Arial"/>
          <w:color w:val="000000"/>
        </w:rPr>
        <w:t xml:space="preserve"> TOEFL </w:t>
      </w:r>
      <w:proofErr w:type="spellStart"/>
      <w:r w:rsidR="00D417B7" w:rsidRPr="00162AD6">
        <w:rPr>
          <w:rFonts w:asciiTheme="majorHAnsi" w:hAnsiTheme="majorHAnsi" w:cs="Arial"/>
          <w:color w:val="000000"/>
        </w:rPr>
        <w:t>iBT</w:t>
      </w:r>
      <w:proofErr w:type="spellEnd"/>
      <w:r w:rsidR="00D417B7" w:rsidRPr="00162AD6">
        <w:rPr>
          <w:rFonts w:asciiTheme="majorHAnsi" w:hAnsiTheme="majorHAnsi" w:cs="Arial"/>
          <w:color w:val="000000"/>
        </w:rPr>
        <w:t xml:space="preserve"> (110</w:t>
      </w:r>
      <w:r w:rsidR="00D60520" w:rsidRPr="00162AD6">
        <w:rPr>
          <w:rFonts w:asciiTheme="majorHAnsi" w:hAnsiTheme="majorHAnsi" w:cs="Arial"/>
          <w:color w:val="000000"/>
        </w:rPr>
        <w:t>/120</w:t>
      </w:r>
      <w:r w:rsidR="009B1B5F" w:rsidRPr="00162AD6">
        <w:rPr>
          <w:rFonts w:asciiTheme="majorHAnsi" w:hAnsiTheme="majorHAnsi" w:cs="Arial"/>
          <w:color w:val="000000"/>
        </w:rPr>
        <w:t>)</w:t>
      </w:r>
      <w:r w:rsidRPr="00162AD6">
        <w:rPr>
          <w:rFonts w:asciiTheme="majorHAnsi" w:hAnsiTheme="majorHAnsi" w:cs="Arial"/>
          <w:color w:val="000000"/>
        </w:rPr>
        <w:t>, Dutch (Beginner)</w:t>
      </w:r>
    </w:p>
    <w:p w14:paraId="3AE90496" w14:textId="7C09E2A2" w:rsidR="00A63B0D" w:rsidRPr="00F16DA9" w:rsidRDefault="00A63B0D" w:rsidP="00A63B0D">
      <w:pPr>
        <w:pStyle w:val="NormalWeb"/>
        <w:tabs>
          <w:tab w:val="left" w:pos="1080"/>
          <w:tab w:val="left" w:pos="126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Software</w:t>
      </w:r>
      <w:r w:rsidRPr="00162AD6">
        <w:rPr>
          <w:rStyle w:val="Strong"/>
          <w:rFonts w:asciiTheme="majorHAnsi" w:hAnsiTheme="majorHAnsi" w:cs="Arial"/>
          <w:color w:val="000000"/>
        </w:rPr>
        <w:t> </w:t>
      </w:r>
      <w:r>
        <w:rPr>
          <w:rStyle w:val="Strong"/>
          <w:rFonts w:asciiTheme="majorHAnsi" w:hAnsiTheme="majorHAnsi" w:cs="Arial"/>
          <w:color w:val="000000"/>
        </w:rPr>
        <w:t xml:space="preserve">  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 </w:t>
      </w:r>
      <w:r w:rsidRPr="00162AD6">
        <w:rPr>
          <w:rFonts w:asciiTheme="majorHAnsi" w:hAnsiTheme="majorHAnsi" w:cs="Arial"/>
          <w:color w:val="000000"/>
        </w:rPr>
        <w:t xml:space="preserve"> </w:t>
      </w:r>
      <w:r>
        <w:rPr>
          <w:rFonts w:asciiTheme="majorHAnsi" w:hAnsiTheme="majorHAnsi" w:cs="Arial"/>
          <w:color w:val="000000"/>
        </w:rPr>
        <w:t xml:space="preserve">Advanced in Python, </w:t>
      </w:r>
      <w:proofErr w:type="spellStart"/>
      <w:r>
        <w:rPr>
          <w:rFonts w:asciiTheme="majorHAnsi" w:hAnsiTheme="majorHAnsi" w:cs="Arial"/>
          <w:color w:val="000000"/>
        </w:rPr>
        <w:t>Javascript</w:t>
      </w:r>
      <w:proofErr w:type="spellEnd"/>
      <w:r>
        <w:rPr>
          <w:rFonts w:asciiTheme="majorHAnsi" w:hAnsiTheme="majorHAnsi" w:cs="Arial"/>
          <w:color w:val="000000"/>
        </w:rPr>
        <w:t xml:space="preserve">, </w:t>
      </w:r>
      <w:proofErr w:type="spellStart"/>
      <w:r>
        <w:rPr>
          <w:rFonts w:asciiTheme="majorHAnsi" w:hAnsiTheme="majorHAnsi" w:cs="Arial"/>
          <w:color w:val="000000"/>
        </w:rPr>
        <w:t>Matlab</w:t>
      </w:r>
      <w:proofErr w:type="spellEnd"/>
      <w:r>
        <w:rPr>
          <w:rFonts w:asciiTheme="majorHAnsi" w:hAnsiTheme="majorHAnsi" w:cs="Arial"/>
          <w:color w:val="000000"/>
        </w:rPr>
        <w:t xml:space="preserve"> and computational chemistry</w:t>
      </w:r>
      <w:r>
        <w:rPr>
          <w:rFonts w:asciiTheme="majorHAnsi" w:hAnsiTheme="majorHAnsi" w:cs="Arial"/>
          <w:color w:val="000000"/>
        </w:rPr>
        <w:t>:</w:t>
      </w:r>
      <w:r>
        <w:rPr>
          <w:rFonts w:asciiTheme="majorHAnsi" w:hAnsiTheme="majorHAnsi" w:cs="Arial"/>
          <w:color w:val="000000"/>
        </w:rPr>
        <w:t xml:space="preserve"> RASPA, </w:t>
      </w:r>
      <w:proofErr w:type="spellStart"/>
      <w:r>
        <w:rPr>
          <w:rFonts w:asciiTheme="majorHAnsi" w:hAnsiTheme="majorHAnsi" w:cs="Arial"/>
          <w:color w:val="000000"/>
        </w:rPr>
        <w:t>Lammps</w:t>
      </w:r>
      <w:proofErr w:type="spellEnd"/>
      <w:r>
        <w:rPr>
          <w:rFonts w:asciiTheme="majorHAnsi" w:hAnsiTheme="majorHAnsi" w:cs="Arial"/>
          <w:color w:val="000000"/>
        </w:rPr>
        <w:t>, Orca, Materials Studio,</w:t>
      </w:r>
      <w:r w:rsidRPr="00162AD6">
        <w:rPr>
          <w:rFonts w:asciiTheme="majorHAnsi" w:hAnsiTheme="majorHAnsi" w:cs="Arial"/>
          <w:color w:val="000000"/>
        </w:rPr>
        <w:t xml:space="preserve"> </w:t>
      </w:r>
      <w:r>
        <w:rPr>
          <w:rFonts w:asciiTheme="majorHAnsi" w:hAnsiTheme="majorHAnsi" w:cs="Arial"/>
          <w:color w:val="000000"/>
        </w:rPr>
        <w:t>Aspen HYSY. Experienced in big data analysis and high-throughput screening.</w:t>
      </w:r>
    </w:p>
    <w:p w14:paraId="29053333" w14:textId="00669E3C" w:rsidR="001C3310" w:rsidRPr="00F702E5" w:rsidRDefault="00B70D36" w:rsidP="00F702E5">
      <w:pPr>
        <w:pStyle w:val="NormalWeb"/>
        <w:tabs>
          <w:tab w:val="left" w:pos="708"/>
          <w:tab w:val="left" w:pos="117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Lab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                  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FT-IR (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Thermo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Scientific Nicolet iS10), XRD (Bruker D2 Phaser),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 xml:space="preserve">High Pressure Volumetric Analyzer (Micromeritics HPVA II),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Chemisorption Analyzer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(Microme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ri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ti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cs Auto 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Chem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II), </w:t>
      </w:r>
      <w:r w:rsidR="008337CE" w:rsidRPr="00162AD6">
        <w:rPr>
          <w:rStyle w:val="Strong"/>
          <w:rFonts w:asciiTheme="majorHAnsi" w:hAnsiTheme="majorHAnsi" w:cs="Arial"/>
          <w:b w:val="0"/>
          <w:color w:val="000000"/>
        </w:rPr>
        <w:t xml:space="preserve">TGA,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Glovebox</w:t>
      </w:r>
    </w:p>
    <w:sectPr w:rsidR="001C3310" w:rsidRPr="00F702E5" w:rsidSect="00684F17"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D7872"/>
    <w:multiLevelType w:val="hybridMultilevel"/>
    <w:tmpl w:val="02E42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14"/>
  </w:num>
  <w:num w:numId="7">
    <w:abstractNumId w:val="13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62AD6"/>
    <w:rsid w:val="00180B58"/>
    <w:rsid w:val="001C3310"/>
    <w:rsid w:val="001E31F1"/>
    <w:rsid w:val="00202D5D"/>
    <w:rsid w:val="00232241"/>
    <w:rsid w:val="002332EA"/>
    <w:rsid w:val="0025671A"/>
    <w:rsid w:val="0029610E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E638E"/>
    <w:rsid w:val="00613CD8"/>
    <w:rsid w:val="00684F17"/>
    <w:rsid w:val="0069751B"/>
    <w:rsid w:val="006A1A03"/>
    <w:rsid w:val="006C5086"/>
    <w:rsid w:val="006F1AF7"/>
    <w:rsid w:val="006F6988"/>
    <w:rsid w:val="00721961"/>
    <w:rsid w:val="00797E23"/>
    <w:rsid w:val="007A7C05"/>
    <w:rsid w:val="007B728E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3B0D"/>
    <w:rsid w:val="00A66CDA"/>
    <w:rsid w:val="00A764C8"/>
    <w:rsid w:val="00A76E6F"/>
    <w:rsid w:val="00A77990"/>
    <w:rsid w:val="00B272BD"/>
    <w:rsid w:val="00B70D36"/>
    <w:rsid w:val="00BC04E3"/>
    <w:rsid w:val="00BC0CEF"/>
    <w:rsid w:val="00C11A7D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630A6"/>
    <w:rsid w:val="00F702E5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702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bs37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3</cp:revision>
  <cp:lastPrinted>2017-06-02T17:01:00Z</cp:lastPrinted>
  <dcterms:created xsi:type="dcterms:W3CDTF">2017-09-19T05:51:00Z</dcterms:created>
  <dcterms:modified xsi:type="dcterms:W3CDTF">2017-09-19T05:58:00Z</dcterms:modified>
</cp:coreProperties>
</file>