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jc w:val="right"/>
        <w:rPr>
          <w:rFonts w:ascii="Calibri" w:hAnsi="Calibri" w:eastAsia="Times New Roman" w:cs="Arial" w:asciiTheme="majorHAnsi" w:hAnsiTheme="majorHAnsi"/>
          <w:color w:val="000000"/>
          <w:sz w:val="36"/>
          <w:szCs w:val="36"/>
        </w:rPr>
      </w:pPr>
      <w:r>
        <w:rPr>
          <w:rFonts w:eastAsia="Times New Roman" w:cs="Arial" w:ascii="Calibri" w:hAnsi="Calibri" w:asciiTheme="majorHAnsi" w:hAnsiTheme="majorHAnsi"/>
          <w:color w:val="000000"/>
          <w:sz w:val="36"/>
          <w:szCs w:val="36"/>
        </w:rPr>
        <w:t>KUTAY BERK SEZGINEL</w:t>
      </w:r>
    </w:p>
    <w:p>
      <w:pPr>
        <w:pStyle w:val="Normal"/>
        <w:spacing w:before="0" w:after="0"/>
        <w:jc w:val="right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rFonts w:eastAsia="Times New Roman" w:cs="Arial" w:ascii="Calibri" w:hAnsi="Calibri" w:asciiTheme="majorHAnsi" w:hAnsiTheme="majorHAnsi"/>
          <w:color w:val="000000"/>
        </w:rPr>
        <w:t>University of Pittsburgh, Pittsburgh, PA</w:t>
      </w:r>
    </w:p>
    <w:p>
      <w:pPr>
        <w:pStyle w:val="Normal"/>
        <w:spacing w:before="0" w:after="0"/>
        <w:jc w:val="right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rFonts w:eastAsia="Times New Roman" w:cs="Arial" w:ascii="Calibri" w:hAnsi="Calibri" w:asciiTheme="majorHAnsi" w:hAnsiTheme="majorHAnsi"/>
          <w:color w:val="000000"/>
        </w:rPr>
        <w:t xml:space="preserve">+1 (619) 576 64 78 | kbs37@pitt.edu </w:t>
      </w:r>
    </w:p>
    <w:p>
      <w:pPr>
        <w:pStyle w:val="Normal"/>
        <w:spacing w:before="0" w:after="0"/>
        <w:jc w:val="right"/>
        <w:rPr>
          <w:rFonts w:ascii="Calibri" w:hAnsi="Calibri" w:eastAsia="Times New Roman" w:cs="Arial" w:asciiTheme="majorHAnsi" w:hAnsiTheme="majorHAnsi"/>
          <w:color w:val="000000"/>
          <w:sz w:val="16"/>
          <w:szCs w:val="16"/>
        </w:rPr>
      </w:pPr>
      <w:r>
        <w:rPr>
          <w:rFonts w:eastAsia="Times New Roman" w:cs="Arial" w:ascii="Calibri" w:hAnsi="Calibri"/>
          <w:color w:val="000000"/>
          <w:sz w:val="16"/>
          <w:szCs w:val="16"/>
        </w:rPr>
      </w:r>
    </w:p>
    <w:p>
      <w:pPr>
        <w:pStyle w:val="Normal"/>
        <w:spacing w:before="0" w:after="0"/>
        <w:rPr>
          <w:rFonts w:ascii="Calibri" w:hAnsi="Calibri" w:eastAsia="Times New Roman" w:cs="Arial" w:asciiTheme="majorHAnsi" w:hAnsiTheme="majorHAnsi"/>
          <w:sz w:val="24"/>
          <w:szCs w:val="24"/>
        </w:rPr>
      </w:pPr>
      <w:r>
        <w:rPr>
          <w:rFonts w:eastAsia="Times New Roman" w:cs="Arial" w:ascii="Calibri" w:hAnsi="Calibri"/>
          <w:sz w:val="24"/>
          <w:szCs w:val="24"/>
        </w:rPr>
      </w:r>
    </w:p>
    <w:p>
      <w:pPr>
        <w:pStyle w:val="Heading2"/>
        <w:rPr/>
      </w:pPr>
      <w:r>
        <w:rPr>
          <w:rFonts w:eastAsia="Times New Roman" w:cs="Arial" w:ascii="Calibri" w:hAnsi="Calibri" w:asciiTheme="majorHAnsi" w:hAnsiTheme="majorHAnsi"/>
          <w:sz w:val="24"/>
          <w:szCs w:val="24"/>
        </w:rPr>
        <w:t>PUBLICATIONS</w:t>
      </w:r>
    </w:p>
    <w:p>
      <w:pPr>
        <w:pStyle w:val="Heading2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Gulsoy, Z.,</w:t>
      </w:r>
      <w:r>
        <w:rPr>
          <w:rFonts w:eastAsia="Times New Roman" w:cs="Arial" w:ascii="Calibri" w:hAnsi="Calibri" w:asciiTheme="majorHAnsi" w:hAnsiTheme="majorHAnsi"/>
          <w:b/>
          <w:bCs/>
          <w:sz w:val="20"/>
          <w:szCs w:val="20"/>
        </w:rPr>
        <w:t xml:space="preserve"> </w:t>
      </w:r>
      <w:r>
        <w:rPr>
          <w:rFonts w:eastAsia="Times New Roman" w:cs="Arial" w:ascii="Calibri" w:hAnsi="Calibri" w:asciiTheme="majorHAnsi" w:hAnsiTheme="majorHAnsi"/>
          <w:b/>
          <w:bCs/>
          <w:sz w:val="20"/>
          <w:szCs w:val="20"/>
        </w:rPr>
        <w:t>Sezginel, K. B.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,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Uzun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A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.,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Keskin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S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., and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Yildirim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R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. (2018).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Analysis of CH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  <w:vertAlign w:val="subscript"/>
        </w:rPr>
        <w:t>4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 Uptake over MOFs using data mining tools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.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ACS Combinatorial Science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,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2019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.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/>
          <w:b/>
          <w:bCs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2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/>
          <w:bCs/>
          <w:sz w:val="20"/>
          <w:szCs w:val="20"/>
        </w:rPr>
        <w:t>Sezginel, K. B.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, Asinger P., Babaei H., and Wilmer C.E. (2018).Thermal Transport in Interpenetrated Metal–Organic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Cs w:val="false"/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Frameworks. Chemistry of Materials, 2281-2286. (featured on the front cover)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Cs w:val="false"/>
        </w:rPr>
      </w:pPr>
      <w:r>
        <w:rPr>
          <w:sz w:val="20"/>
          <w:szCs w:val="20"/>
        </w:rPr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Cs w:val="false"/>
          <w:sz w:val="20"/>
          <w:szCs w:val="20"/>
        </w:rPr>
        <w:t>Sezginel, K.B.</w:t>
      </w:r>
      <w:bookmarkStart w:id="0" w:name="_Hlk484170346"/>
      <w:bookmarkEnd w:id="0"/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, Feng T., Wilmer, C.E. (2017). Discovery of Hypothetical Hetero-Interpenetrated MOFs with Arbitrarily Dissimilar Topologies and Unit Cell Shapes. CrystEngComm 19.31 (2017): 4497-4504. (futured on front cover)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/>
          <w:b w:val="false"/>
          <w:bCs w:val="false"/>
          <w:sz w:val="20"/>
          <w:szCs w:val="20"/>
        </w:rPr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  <w:sz w:val="20"/>
          <w:szCs w:val="20"/>
        </w:rPr>
      </w:pPr>
      <w:bookmarkStart w:id="1" w:name="_Hlk484170404"/>
      <w:r>
        <w:rPr>
          <w:rFonts w:eastAsia="Times New Roman" w:cs="Arial" w:ascii="Calibri" w:hAnsi="Calibri" w:asciiTheme="majorHAnsi" w:hAnsiTheme="majorHAnsi"/>
          <w:bCs w:val="false"/>
          <w:sz w:val="20"/>
          <w:szCs w:val="20"/>
        </w:rPr>
        <w:t>Sezginel, K. B.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, Keskin, S., &amp; Uzun, A. (2016). Tuning the Gas Separation Performance of CuBTC by Ionic Liquid Incorporation. Langmuir, 32(4), 1139-1147.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/>
          <w:b w:val="false"/>
          <w:bCs w:val="false"/>
          <w:sz w:val="20"/>
          <w:szCs w:val="20"/>
        </w:rPr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Basdogan, Y., </w:t>
      </w:r>
      <w:r>
        <w:rPr>
          <w:rFonts w:eastAsia="Times New Roman" w:cs="Arial" w:ascii="Calibri" w:hAnsi="Calibri" w:asciiTheme="majorHAnsi" w:hAnsiTheme="majorHAnsi"/>
          <w:bCs w:val="false"/>
          <w:sz w:val="20"/>
          <w:szCs w:val="20"/>
        </w:rPr>
        <w:t>Sezginel, K. B.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, &amp; Keskin, S. (2015). Identifying highly selective metal organic frameworks for CH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  <w:vertAlign w:val="subscript"/>
        </w:rPr>
        <w:t>4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/H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  <w:vertAlign w:val="subscript"/>
        </w:rPr>
        <w:t>2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 separations using computational tools. Industrial &amp; Engineering Chemistry Research, 54(34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Calibri" w:hAnsi="Calibri"/>
          <w:b w:val="false"/>
          <w:bCs w:val="false"/>
          <w:sz w:val="20"/>
          <w:szCs w:val="20"/>
        </w:rPr>
      </w:r>
    </w:p>
    <w:p>
      <w:pPr>
        <w:pStyle w:val="Heading2"/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Cs w:val="false"/>
          <w:sz w:val="20"/>
          <w:szCs w:val="20"/>
        </w:rPr>
        <w:t>Sezginel, K. B.</w:t>
      </w:r>
      <w:bookmarkEnd w:id="1"/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, Uzun, A., &amp; Keskin, S. (2015). Multivariable linear models of structural parameters to predict methane uptake in metal–organic frameworks. Chemical Engineering Science, 124, 125-134.</w:t>
      </w:r>
    </w:p>
    <w:p>
      <w:pPr>
        <w:pStyle w:val="Heading2"/>
        <w:jc w:val="both"/>
        <w:rPr>
          <w:rFonts w:ascii="Calibri" w:hAnsi="Calibri" w:eastAsia="Times New Roman" w:cs="Arial" w:asciiTheme="majorHAnsi" w:hAnsiTheme="majorHAnsi"/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Heading2"/>
        <w:rPr/>
      </w:pPr>
      <w:r>
        <w:rPr>
          <w:rFonts w:eastAsia="Times New Roman" w:cs="Arial" w:ascii="Calibri" w:hAnsi="Calibri" w:asciiTheme="majorHAnsi" w:hAnsiTheme="majorHAnsi"/>
          <w:sz w:val="24"/>
          <w:szCs w:val="24"/>
        </w:rPr>
        <w:t>CONFERENCE PRESENTATIONS (ORAL)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American Chemical Society Annual Meeting – 2019 (USA)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American Institute of Chemical Engineers Annual Meeting – 2014, 2016, 2018 (USA)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Metal-Organic Fram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e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works 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International Meeting</w:t>
      </w: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 xml:space="preserve"> – 2018 (Auckland, New Zealand)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Simulators Meeting – 2016, 2018 (Pittsburgh, USA)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Midwest Thermodynamics and Statistical Mechanics Conference 2018 (Pittsburgh, USA)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NanoTR – 2014 (Istanbul, Turkey)</w:t>
      </w:r>
    </w:p>
    <w:p>
      <w:pPr>
        <w:pStyle w:val="Heading2"/>
        <w:rPr>
          <w:rFonts w:ascii="Calibri" w:hAnsi="Calibri" w:eastAsia="Times New Roman" w:cs="Arial" w:asciiTheme="majorHAnsi" w:hAnsiTheme="majorHAnsi"/>
          <w:sz w:val="24"/>
          <w:szCs w:val="24"/>
        </w:rPr>
      </w:pPr>
      <w:r>
        <w:rPr>
          <w:rFonts w:eastAsia="Times New Roman" w:cs="Arial" w:ascii="Calibri" w:hAnsi="Calibri"/>
          <w:sz w:val="24"/>
          <w:szCs w:val="24"/>
        </w:rPr>
      </w:r>
    </w:p>
    <w:p>
      <w:pPr>
        <w:pStyle w:val="Heading2"/>
        <w:rPr/>
      </w:pPr>
      <w:r>
        <w:rPr>
          <w:rFonts w:eastAsia="Times New Roman" w:cs="Arial" w:ascii="Calibri" w:hAnsi="Calibri" w:asciiTheme="majorHAnsi" w:hAnsiTheme="majorHAnsi"/>
          <w:sz w:val="24"/>
          <w:szCs w:val="24"/>
        </w:rPr>
        <w:t>HONORS &amp; AWARDS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Molecular Sciences and Software Institute (MolSSI) Fellow (2018 Phase I)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Best Graduate Paper Award (Summer `17), Chemical Engineering Department, University of Pittsburgh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Startup Blitz Pitch Competition, First Place, University of Pittsburgh ($1500 prize)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Foresight Institute 2017 Workshop: Artificial Intelligence for Molecular Machines Invitation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Innocentive challenge entitled Chemical Sorbents for Fixed Bed Mercury (Hg 0 ) Control ($5000 prize)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Full Merit Scholarship – Koc University, BS and MS</w:t>
      </w:r>
    </w:p>
    <w:p>
      <w:pPr>
        <w:pStyle w:val="Heading2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="Times New Roman" w:cs="Arial" w:ascii="Calibri" w:hAnsi="Calibri" w:asciiTheme="majorHAnsi" w:hAnsiTheme="majorHAnsi"/>
          <w:b w:val="false"/>
          <w:bCs w:val="false"/>
          <w:sz w:val="20"/>
          <w:szCs w:val="20"/>
        </w:rPr>
        <w:t>Best Chemical and Biological Engineering Senior Project Award (Biodiesel Production from Algae Oil)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17" w:right="1417" w:header="0" w:top="1260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SimSun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120" w:after="120"/>
      <w:jc w:val="left"/>
    </w:pPr>
    <w:rPr>
      <w:rFonts w:ascii="Times" w:hAnsi="Times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751b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684f17"/>
    <w:rPr>
      <w:color w:val="2B579A"/>
      <w:shd w:fill="E6E6E6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cs="Times New Roman"/>
    </w:rPr>
  </w:style>
  <w:style w:type="paragraph" w:styleId="Bodoni" w:customStyle="1">
    <w:name w:val="bodoni"/>
    <w:basedOn w:val="Normal"/>
    <w:qFormat/>
    <w:pPr/>
    <w:rPr>
      <w:rFonts w:ascii="Times New Roman" w:hAnsi="Times New Roman" w:cs="Times New Roman"/>
    </w:rPr>
  </w:style>
  <w:style w:type="paragraph" w:styleId="Courier" w:customStyle="1">
    <w:name w:val="courier"/>
    <w:basedOn w:val="Normal"/>
    <w:qFormat/>
    <w:pPr/>
    <w:rPr>
      <w:rFonts w:ascii="Courier New" w:hAnsi="Courier New" w:cs="Courier New"/>
    </w:rPr>
  </w:style>
  <w:style w:type="paragraph" w:styleId="Georgia" w:customStyle="1">
    <w:name w:val="georgia"/>
    <w:basedOn w:val="Normal"/>
    <w:qFormat/>
    <w:pPr/>
    <w:rPr>
      <w:rFonts w:ascii="Georgia" w:hAnsi="Georgia"/>
    </w:rPr>
  </w:style>
  <w:style w:type="paragraph" w:styleId="Helvetica" w:customStyle="1">
    <w:name w:val="helvetica"/>
    <w:basedOn w:val="Normal"/>
    <w:qFormat/>
    <w:pPr/>
    <w:rPr>
      <w:rFonts w:ascii="Helvetica" w:hAnsi="Helvetica"/>
    </w:rPr>
  </w:style>
  <w:style w:type="paragraph" w:styleId="Times" w:customStyle="1">
    <w:name w:val="times"/>
    <w:basedOn w:val="Normal"/>
    <w:qFormat/>
    <w:pPr/>
    <w:rPr>
      <w:rFonts w:ascii="Times New Roman" w:hAnsi="Times New Roman" w:cs="Times New Roman"/>
    </w:rPr>
  </w:style>
  <w:style w:type="paragraph" w:styleId="Trebuchet" w:customStyle="1">
    <w:name w:val="trebuchet"/>
    <w:basedOn w:val="Normal"/>
    <w:qFormat/>
    <w:pPr/>
    <w:rPr>
      <w:rFonts w:ascii="Trebuchet MS" w:hAnsi="Trebuchet MS"/>
    </w:rPr>
  </w:style>
  <w:style w:type="paragraph" w:styleId="Verdana" w:customStyle="1">
    <w:name w:val="verdana"/>
    <w:basedOn w:val="Normal"/>
    <w:qFormat/>
    <w:pPr/>
    <w:rPr>
      <w:rFonts w:ascii="Verdana" w:hAnsi="Verdana"/>
    </w:rPr>
  </w:style>
  <w:style w:type="paragraph" w:styleId="Simsun" w:customStyle="1">
    <w:name w:val="simsun"/>
    <w:basedOn w:val="Normal"/>
    <w:qFormat/>
    <w:pPr/>
    <w:rPr>
      <w:rFonts w:ascii="SimSun" w:hAnsi="SimSun"/>
    </w:rPr>
  </w:style>
  <w:style w:type="paragraph" w:styleId="Garamond" w:customStyle="1">
    <w:name w:val="garamond"/>
    <w:basedOn w:val="Normal"/>
    <w:qFormat/>
    <w:pPr/>
    <w:rPr>
      <w:rFonts w:ascii="Garamond" w:hAnsi="Garamond"/>
    </w:rPr>
  </w:style>
  <w:style w:type="paragraph" w:styleId="Sevenpt" w:customStyle="1">
    <w:name w:val="sevenpt"/>
    <w:basedOn w:val="Normal"/>
    <w:qFormat/>
    <w:pPr/>
    <w:rPr>
      <w:sz w:val="14"/>
      <w:szCs w:val="14"/>
    </w:rPr>
  </w:style>
  <w:style w:type="paragraph" w:styleId="Eightpt" w:customStyle="1">
    <w:name w:val="eightpt"/>
    <w:basedOn w:val="Normal"/>
    <w:qFormat/>
    <w:pPr/>
    <w:rPr>
      <w:sz w:val="16"/>
      <w:szCs w:val="16"/>
    </w:rPr>
  </w:style>
  <w:style w:type="paragraph" w:styleId="Ninept" w:customStyle="1">
    <w:name w:val="ninept"/>
    <w:basedOn w:val="Normal"/>
    <w:qFormat/>
    <w:pPr/>
    <w:rPr>
      <w:sz w:val="18"/>
      <w:szCs w:val="18"/>
    </w:rPr>
  </w:style>
  <w:style w:type="paragraph" w:styleId="Tenpt" w:customStyle="1">
    <w:name w:val="tenpt"/>
    <w:basedOn w:val="Normal"/>
    <w:qFormat/>
    <w:pPr/>
    <w:rPr/>
  </w:style>
  <w:style w:type="paragraph" w:styleId="Elevenpt" w:customStyle="1">
    <w:name w:val="elevenpt"/>
    <w:basedOn w:val="Normal"/>
    <w:qFormat/>
    <w:pPr/>
    <w:rPr>
      <w:sz w:val="22"/>
      <w:szCs w:val="22"/>
    </w:rPr>
  </w:style>
  <w:style w:type="paragraph" w:styleId="Twelvept" w:customStyle="1">
    <w:name w:val="twelvept"/>
    <w:basedOn w:val="Normal"/>
    <w:qFormat/>
    <w:pPr/>
    <w:rPr>
      <w:sz w:val="24"/>
      <w:szCs w:val="24"/>
    </w:rPr>
  </w:style>
  <w:style w:type="paragraph" w:styleId="Fourteenpt" w:customStyle="1">
    <w:name w:val="fourteenpt"/>
    <w:basedOn w:val="Normal"/>
    <w:qFormat/>
    <w:pPr/>
    <w:rPr>
      <w:sz w:val="28"/>
      <w:szCs w:val="28"/>
    </w:rPr>
  </w:style>
  <w:style w:type="paragraph" w:styleId="Sixteenpt" w:customStyle="1">
    <w:name w:val="sixteenpt"/>
    <w:basedOn w:val="Normal"/>
    <w:qFormat/>
    <w:pPr/>
    <w:rPr>
      <w:sz w:val="32"/>
      <w:szCs w:val="32"/>
    </w:rPr>
  </w:style>
  <w:style w:type="paragraph" w:styleId="Eighteenpt" w:customStyle="1">
    <w:name w:val="eighteenpt"/>
    <w:basedOn w:val="Normal"/>
    <w:qFormat/>
    <w:pPr/>
    <w:rPr>
      <w:sz w:val="36"/>
      <w:szCs w:val="36"/>
    </w:rPr>
  </w:style>
  <w:style w:type="paragraph" w:styleId="Twentypt" w:customStyle="1">
    <w:name w:val="twentypt"/>
    <w:basedOn w:val="Normal"/>
    <w:qFormat/>
    <w:pPr/>
    <w:rPr>
      <w:sz w:val="40"/>
      <w:szCs w:val="40"/>
    </w:rPr>
  </w:style>
  <w:style w:type="paragraph" w:styleId="Twenty2pt" w:customStyle="1">
    <w:name w:val="twenty2pt"/>
    <w:basedOn w:val="Normal"/>
    <w:qFormat/>
    <w:pPr/>
    <w:rPr>
      <w:sz w:val="44"/>
      <w:szCs w:val="44"/>
    </w:rPr>
  </w:style>
  <w:style w:type="paragraph" w:styleId="Twenty4pt" w:customStyle="1">
    <w:name w:val="twenty4pt"/>
    <w:basedOn w:val="Normal"/>
    <w:qFormat/>
    <w:pPr/>
    <w:rPr>
      <w:sz w:val="48"/>
      <w:szCs w:val="48"/>
    </w:rPr>
  </w:style>
  <w:style w:type="paragraph" w:styleId="One" w:customStyle="1">
    <w:name w:val="one"/>
    <w:basedOn w:val="Normal"/>
    <w:qFormat/>
    <w:pPr/>
    <w:rPr/>
  </w:style>
  <w:style w:type="paragraph" w:styleId="One25" w:customStyle="1">
    <w:name w:val="one25"/>
    <w:basedOn w:val="Normal"/>
    <w:qFormat/>
    <w:pPr>
      <w:spacing w:lineRule="auto" w:line="300"/>
    </w:pPr>
    <w:rPr/>
  </w:style>
  <w:style w:type="paragraph" w:styleId="One5" w:customStyle="1">
    <w:name w:val="one5"/>
    <w:basedOn w:val="Normal"/>
    <w:qFormat/>
    <w:pPr>
      <w:spacing w:lineRule="auto" w:line="360"/>
    </w:pPr>
    <w:rPr/>
  </w:style>
  <w:style w:type="paragraph" w:styleId="One75" w:customStyle="1">
    <w:name w:val="one75"/>
    <w:basedOn w:val="Normal"/>
    <w:qFormat/>
    <w:pPr>
      <w:spacing w:lineRule="auto" w:line="420"/>
    </w:pPr>
    <w:rPr/>
  </w:style>
  <w:style w:type="paragraph" w:styleId="Two" w:customStyle="1">
    <w:name w:val="two"/>
    <w:basedOn w:val="Normal"/>
    <w:qFormat/>
    <w:pPr>
      <w:spacing w:lineRule="auto" w:line="480"/>
    </w:pPr>
    <w:rPr/>
  </w:style>
  <w:style w:type="paragraph" w:styleId="Bulletsquare" w:customStyle="1">
    <w:name w:val="bullet-square"/>
    <w:basedOn w:val="Normal"/>
    <w:qFormat/>
    <w:pPr/>
    <w:rPr/>
  </w:style>
  <w:style w:type="paragraph" w:styleId="Bulletcircle" w:customStyle="1">
    <w:name w:val="bullet-circle"/>
    <w:basedOn w:val="Normal"/>
    <w:qFormat/>
    <w:pPr/>
    <w:rPr/>
  </w:style>
  <w:style w:type="paragraph" w:styleId="Bulletdisc" w:customStyle="1">
    <w:name w:val="bullet-disc"/>
    <w:basedOn w:val="Normal"/>
    <w:qFormat/>
    <w:pPr/>
    <w:rPr/>
  </w:style>
  <w:style w:type="paragraph" w:styleId="Bold" w:customStyle="1">
    <w:name w:val="bold"/>
    <w:basedOn w:val="Normal"/>
    <w:qFormat/>
    <w:pPr/>
    <w:rPr>
      <w:b/>
      <w:bCs/>
    </w:rPr>
  </w:style>
  <w:style w:type="paragraph" w:styleId="Italic" w:customStyle="1">
    <w:name w:val="italic"/>
    <w:basedOn w:val="Normal"/>
    <w:qFormat/>
    <w:pPr/>
    <w:rPr>
      <w:i/>
      <w:iCs/>
    </w:rPr>
  </w:style>
  <w:style w:type="paragraph" w:styleId="Bolditalic" w:customStyle="1">
    <w:name w:val="bold-italic"/>
    <w:basedOn w:val="Normal"/>
    <w:qFormat/>
    <w:pPr/>
    <w:rPr>
      <w:b/>
      <w:bCs/>
      <w:i/>
      <w:iCs/>
    </w:rPr>
  </w:style>
  <w:style w:type="paragraph" w:styleId="Right" w:customStyle="1">
    <w:name w:val="right"/>
    <w:basedOn w:val="Normal"/>
    <w:qFormat/>
    <w:pPr>
      <w:jc w:val="right"/>
    </w:pPr>
    <w:rPr/>
  </w:style>
  <w:style w:type="paragraph" w:styleId="Left" w:customStyle="1">
    <w:name w:val="left"/>
    <w:basedOn w:val="Normal"/>
    <w:qFormat/>
    <w:pPr/>
    <w:rPr/>
  </w:style>
  <w:style w:type="paragraph" w:styleId="Center" w:customStyle="1">
    <w:name w:val="center"/>
    <w:basedOn w:val="Normal"/>
    <w:qFormat/>
    <w:pPr>
      <w:jc w:val="center"/>
    </w:pPr>
    <w:rPr/>
  </w:style>
  <w:style w:type="paragraph" w:styleId="Borderbottomnone" w:customStyle="1">
    <w:name w:val="border-bottom-none"/>
    <w:basedOn w:val="Normal"/>
    <w:qFormat/>
    <w:pPr/>
    <w:rPr/>
  </w:style>
  <w:style w:type="paragraph" w:styleId="Borderbottomthin" w:customStyle="1">
    <w:name w:val="border-bottom-thin"/>
    <w:basedOn w:val="Normal"/>
    <w:qFormat/>
    <w:pPr>
      <w:pBdr>
        <w:bottom w:val="single" w:sz="6" w:space="0" w:color="00000A"/>
      </w:pBdr>
    </w:pPr>
    <w:rPr/>
  </w:style>
  <w:style w:type="paragraph" w:styleId="Borderbottomthick" w:customStyle="1">
    <w:name w:val="border-bottom-thick"/>
    <w:basedOn w:val="Normal"/>
    <w:qFormat/>
    <w:pPr>
      <w:pBdr>
        <w:bottom w:val="single" w:sz="8" w:space="0" w:color="00000A"/>
      </w:pBdr>
    </w:pPr>
    <w:rPr/>
  </w:style>
  <w:style w:type="paragraph" w:styleId="Borderbottomdashed" w:customStyle="1">
    <w:name w:val="border-bottom-dashed"/>
    <w:basedOn w:val="Normal"/>
    <w:qFormat/>
    <w:pPr>
      <w:pBdr>
        <w:bottom w:val="dashed" w:sz="6" w:space="0" w:color="00000A"/>
      </w:pBdr>
    </w:pPr>
    <w:rPr/>
  </w:style>
  <w:style w:type="paragraph" w:styleId="Borderbottomdotted" w:customStyle="1">
    <w:name w:val="border-bottom-dotted"/>
    <w:basedOn w:val="Normal"/>
    <w:qFormat/>
    <w:pPr>
      <w:pBdr>
        <w:bottom w:val="dotted" w:sz="6" w:space="0" w:color="00000A"/>
      </w:pBdr>
    </w:pPr>
    <w:rPr/>
  </w:style>
  <w:style w:type="paragraph" w:styleId="Bordercolornone" w:customStyle="1">
    <w:name w:val="border-color-none"/>
    <w:basedOn w:val="Normal"/>
    <w:qFormat/>
    <w:pPr/>
    <w:rPr/>
  </w:style>
  <w:style w:type="paragraph" w:styleId="Bordercolorblack" w:customStyle="1">
    <w:name w:val="border-color-black"/>
    <w:basedOn w:val="Normal"/>
    <w:qFormat/>
    <w:pPr/>
    <w:rPr/>
  </w:style>
  <w:style w:type="paragraph" w:styleId="Bordercolorgray" w:customStyle="1">
    <w:name w:val="border-color-gray"/>
    <w:basedOn w:val="Normal"/>
    <w:qFormat/>
    <w:pPr/>
    <w:rPr/>
  </w:style>
  <w:style w:type="paragraph" w:styleId="Bordercolorltgray" w:customStyle="1">
    <w:name w:val="border-color-ltgray"/>
    <w:basedOn w:val="Normal"/>
    <w:qFormat/>
    <w:pPr/>
    <w:rPr/>
  </w:style>
  <w:style w:type="paragraph" w:styleId="Bordercolordkgray" w:customStyle="1">
    <w:name w:val="border-color-dkgray"/>
    <w:basedOn w:val="Normal"/>
    <w:qFormat/>
    <w:pPr/>
    <w:rPr/>
  </w:style>
  <w:style w:type="paragraph" w:styleId="Resumesectionlast" w:customStyle="1">
    <w:name w:val="resume_section_last"/>
    <w:basedOn w:val="Normal"/>
    <w:qFormat/>
    <w:pPr/>
    <w:rPr/>
  </w:style>
  <w:style w:type="paragraph" w:styleId="Resumesubsectionlast" w:customStyle="1">
    <w:name w:val="resume_subsection_last"/>
    <w:basedOn w:val="Normal"/>
    <w:qFormat/>
    <w:pPr/>
    <w:rPr/>
  </w:style>
  <w:style w:type="paragraph" w:styleId="Resumegpa" w:customStyle="1">
    <w:name w:val="resume_gpa"/>
    <w:basedOn w:val="Normal"/>
    <w:qFormat/>
    <w:pPr/>
    <w:rPr>
      <w:b/>
      <w:bCs/>
      <w:i/>
      <w:iCs/>
    </w:rPr>
  </w:style>
  <w:style w:type="paragraph" w:styleId="Resumepersonalinfo" w:customStyle="1">
    <w:name w:val="resume_personalinfo"/>
    <w:basedOn w:val="Normal"/>
    <w:qFormat/>
    <w:pPr/>
    <w:rPr/>
  </w:style>
  <w:style w:type="paragraph" w:styleId="Resumesection" w:customStyle="1">
    <w:name w:val="resume_section"/>
    <w:basedOn w:val="Normal"/>
    <w:qFormat/>
    <w:pPr/>
    <w:rPr/>
  </w:style>
  <w:style w:type="paragraph" w:styleId="Resumesectionfirst" w:customStyle="1">
    <w:name w:val="resume_section_first"/>
    <w:basedOn w:val="Normal"/>
    <w:qFormat/>
    <w:pPr/>
    <w:rPr/>
  </w:style>
  <w:style w:type="paragraph" w:styleId="Resumequadrants" w:customStyle="1">
    <w:name w:val="resume_quadrants"/>
    <w:basedOn w:val="Normal"/>
    <w:qFormat/>
    <w:pPr/>
    <w:rPr/>
  </w:style>
  <w:style w:type="paragraph" w:styleId="Resumequad1" w:customStyle="1">
    <w:name w:val="resume_quad1"/>
    <w:basedOn w:val="Normal"/>
    <w:qFormat/>
    <w:pPr/>
    <w:rPr/>
  </w:style>
  <w:style w:type="paragraph" w:styleId="Resumequad3" w:customStyle="1">
    <w:name w:val="resume_quad3"/>
    <w:basedOn w:val="Normal"/>
    <w:qFormat/>
    <w:pPr/>
    <w:rPr/>
  </w:style>
  <w:style w:type="paragraph" w:styleId="Resumequad2" w:customStyle="1">
    <w:name w:val="resume_quad2"/>
    <w:basedOn w:val="Normal"/>
    <w:qFormat/>
    <w:pPr>
      <w:jc w:val="right"/>
    </w:pPr>
    <w:rPr/>
  </w:style>
  <w:style w:type="paragraph" w:styleId="Resumequad4" w:customStyle="1">
    <w:name w:val="resume_quad4"/>
    <w:basedOn w:val="Normal"/>
    <w:qFormat/>
    <w:pPr>
      <w:jc w:val="right"/>
    </w:pPr>
    <w:rPr/>
  </w:style>
  <w:style w:type="paragraph" w:styleId="Resumerole" w:customStyle="1">
    <w:name w:val="resume_role"/>
    <w:basedOn w:val="Normal"/>
    <w:qFormat/>
    <w:pPr/>
    <w:rPr>
      <w:i/>
      <w:iCs/>
    </w:rPr>
  </w:style>
  <w:style w:type="paragraph" w:styleId="Resumesubdiv" w:customStyle="1">
    <w:name w:val="resume_subdiv"/>
    <w:basedOn w:val="Normal"/>
    <w:qFormat/>
    <w:pPr>
      <w:spacing w:before="120" w:after="72"/>
    </w:pPr>
    <w:rPr/>
  </w:style>
  <w:style w:type="paragraph" w:styleId="ListParagraph">
    <w:name w:val="List Paragraph"/>
    <w:basedOn w:val="Normal"/>
    <w:uiPriority w:val="34"/>
    <w:qFormat/>
    <w:rsid w:val="00837edd"/>
    <w:pPr>
      <w:spacing w:before="120" w:after="12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520e2b"/>
    <w:pPr>
      <w:spacing w:before="120" w:after="1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LibreOffice/5.1.6.2$Linux_X86_64 LibreOffice_project/10m0$Build-2</Application>
  <Pages>1</Pages>
  <Words>318</Words>
  <Characters>1982</Characters>
  <CharactersWithSpaces>2266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2017-01-27T05:58:00Z</dcterms:created>
  <dc:creator>kutay sezginel</dc:creator>
  <dc:description/>
  <dc:language>en-US</dc:language>
  <cp:lastModifiedBy/>
  <cp:lastPrinted>2017-06-02T17:01:00Z</cp:lastPrinted>
  <dcterms:modified xsi:type="dcterms:W3CDTF">2019-04-02T13:23:45Z</dcterms:modified>
  <cp:revision>16</cp:revision>
  <dc:subject/>
  <dc:title>Time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