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4F2C" w14:textId="156D2589" w:rsidR="008704FA" w:rsidRPr="008704FA" w:rsidRDefault="008704FA">
      <w:pPr>
        <w:rPr>
          <w:highlight w:val="yellow"/>
        </w:rPr>
      </w:pPr>
      <w:bookmarkStart w:id="0" w:name="_GoBack"/>
      <w:bookmarkEnd w:id="0"/>
      <w:r w:rsidRPr="008704FA">
        <w:rPr>
          <w:highlight w:val="yellow"/>
        </w:rPr>
        <w:t>[0]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>"</w:t>
      </w:r>
    </w:p>
    <w:p w14:paraId="39388ABD" w14:textId="523EDB98" w:rsidR="008704FA" w:rsidRPr="008704FA" w:rsidRDefault="008704FA">
      <w:pPr>
        <w:rPr>
          <w:highlight w:val="yellow"/>
        </w:rPr>
      </w:pPr>
      <w:r w:rsidRPr="008704FA">
        <w:rPr>
          <w:highlight w:val="yellow"/>
        </w:rPr>
        <w:t>"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>[1]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 xml:space="preserve"> </w:t>
      </w:r>
    </w:p>
    <w:p w14:paraId="36BDF7DB" w14:textId="639C8EBD" w:rsidR="008704FA" w:rsidRPr="008704FA" w:rsidRDefault="008704FA">
      <w:pPr>
        <w:rPr>
          <w:highlight w:val="yellow"/>
        </w:rPr>
      </w:pPr>
      <w:r w:rsidRPr="008704FA">
        <w:rPr>
          <w:highlight w:val="yellow"/>
        </w:rPr>
        <w:t>[2]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 xml:space="preserve">", </w:t>
      </w:r>
    </w:p>
    <w:p w14:paraId="420DB177" w14:textId="75883F07" w:rsidR="008704FA" w:rsidRDefault="008B32F2">
      <w:pPr>
        <w:rPr>
          <w:highlight w:val="yellow"/>
        </w:rPr>
      </w:pPr>
      <w:r>
        <w:rPr>
          <w:highlight w:val="yellow"/>
          <w:lang w:val="en-US"/>
        </w:rPr>
        <w:t xml:space="preserve"> </w:t>
      </w:r>
      <w:r w:rsidR="008704FA" w:rsidRPr="008704FA">
        <w:rPr>
          <w:highlight w:val="yellow"/>
        </w:rPr>
        <w:t xml:space="preserve">[3]", </w:t>
      </w:r>
    </w:p>
    <w:p w14:paraId="7EFF2AAB" w14:textId="5DEE304D" w:rsidR="008704FA" w:rsidRPr="008704FA" w:rsidRDefault="008704FA" w:rsidP="008704FA">
      <w:pPr>
        <w:rPr>
          <w:highlight w:val="darkBlue"/>
        </w:rPr>
      </w:pPr>
      <w:r w:rsidRPr="008704FA">
        <w:rPr>
          <w:highlight w:val="darkBlue"/>
        </w:rPr>
        <w:t>"</w:t>
      </w:r>
      <w:r w:rsidR="008B32F2">
        <w:rPr>
          <w:highlight w:val="darkBlue"/>
          <w:lang w:val="en-US"/>
        </w:rPr>
        <w:t xml:space="preserve"> </w:t>
      </w:r>
      <w:r w:rsidRPr="008704FA">
        <w:rPr>
          <w:highlight w:val="darkBlue"/>
        </w:rPr>
        <w:t>[1]</w:t>
      </w:r>
      <w:r w:rsidR="008B32F2">
        <w:rPr>
          <w:highlight w:val="darkBlue"/>
          <w:lang w:val="en-US"/>
        </w:rPr>
        <w:t xml:space="preserve"> </w:t>
      </w:r>
      <w:r w:rsidRPr="008704FA">
        <w:rPr>
          <w:highlight w:val="darkBlue"/>
        </w:rPr>
        <w:t xml:space="preserve">", </w:t>
      </w:r>
    </w:p>
    <w:p w14:paraId="1E14E180" w14:textId="77777777" w:rsidR="008704FA" w:rsidRPr="008704FA" w:rsidRDefault="008704FA" w:rsidP="008704FA">
      <w:pPr>
        <w:rPr>
          <w:highlight w:val="lightGray"/>
        </w:rPr>
      </w:pPr>
      <w:r w:rsidRPr="008704FA">
        <w:rPr>
          <w:highlight w:val="lightGray"/>
        </w:rPr>
        <w:t xml:space="preserve">"[2]", </w:t>
      </w:r>
    </w:p>
    <w:p w14:paraId="221BBD40" w14:textId="77777777" w:rsidR="008704FA" w:rsidRPr="008704FA" w:rsidRDefault="008704FA" w:rsidP="008704FA">
      <w:pPr>
        <w:rPr>
          <w:highlight w:val="lightGray"/>
        </w:rPr>
      </w:pPr>
      <w:r w:rsidRPr="008704FA">
        <w:rPr>
          <w:highlight w:val="lightGray"/>
        </w:rPr>
        <w:t xml:space="preserve">"[3]", </w:t>
      </w:r>
    </w:p>
    <w:p w14:paraId="49EF20DA" w14:textId="77777777" w:rsidR="008704FA" w:rsidRPr="008704FA" w:rsidRDefault="008704FA" w:rsidP="008704FA">
      <w:r w:rsidRPr="008704FA">
        <w:t xml:space="preserve">"[0]", </w:t>
      </w:r>
    </w:p>
    <w:p w14:paraId="75CC33DE" w14:textId="77777777" w:rsidR="008704FA" w:rsidRPr="008704FA" w:rsidRDefault="008704FA" w:rsidP="008704FA">
      <w:r w:rsidRPr="008704FA">
        <w:t xml:space="preserve">"[1]", </w:t>
      </w:r>
    </w:p>
    <w:p w14:paraId="35EEC256" w14:textId="77777777" w:rsidR="008704FA" w:rsidRPr="008704FA" w:rsidRDefault="008704FA" w:rsidP="008704FA">
      <w:pPr>
        <w:rPr>
          <w:color w:val="FFFF00"/>
        </w:rPr>
      </w:pPr>
      <w:r w:rsidRPr="008704FA">
        <w:rPr>
          <w:color w:val="FFFF00"/>
        </w:rPr>
        <w:t xml:space="preserve">"[2]", </w:t>
      </w:r>
    </w:p>
    <w:p w14:paraId="23A22C4B" w14:textId="77777777" w:rsidR="008704FA" w:rsidRPr="008704FA" w:rsidRDefault="008704FA" w:rsidP="008704FA">
      <w:pPr>
        <w:rPr>
          <w:color w:val="FFFF00"/>
        </w:rPr>
      </w:pPr>
      <w:r w:rsidRPr="008704FA">
        <w:rPr>
          <w:color w:val="FFFF00"/>
        </w:rPr>
        <w:t xml:space="preserve">"[3]", </w:t>
      </w:r>
    </w:p>
    <w:p w14:paraId="1F8A04ED" w14:textId="78ED9366" w:rsidR="008704FA" w:rsidRDefault="008704FA" w:rsidP="008704FA">
      <w:pPr>
        <w:rPr>
          <w:color w:val="FFFF00"/>
        </w:rPr>
      </w:pPr>
      <w:r w:rsidRPr="008704FA">
        <w:rPr>
          <w:color w:val="FFFF00"/>
        </w:rPr>
        <w:t xml:space="preserve">"[1]", </w:t>
      </w:r>
    </w:p>
    <w:p w14:paraId="2B45C809" w14:textId="0BAF101B" w:rsidR="0019600E" w:rsidRPr="008704FA" w:rsidRDefault="0019600E" w:rsidP="0019600E">
      <w:pPr>
        <w:rPr>
          <w:highlight w:val="yellow"/>
        </w:rPr>
      </w:pPr>
      <w:r w:rsidRPr="008704FA">
        <w:rPr>
          <w:highlight w:val="yellow"/>
        </w:rPr>
        <w:t xml:space="preserve">"[1]", </w:t>
      </w:r>
    </w:p>
    <w:p w14:paraId="2F17BC9D" w14:textId="2033092E" w:rsidR="0019600E" w:rsidRPr="008704FA" w:rsidRDefault="0019600E" w:rsidP="0019600E">
      <w:pPr>
        <w:rPr>
          <w:highlight w:val="yellow"/>
        </w:rPr>
      </w:pPr>
      <w:r w:rsidRPr="008704FA">
        <w:rPr>
          <w:highlight w:val="yellow"/>
        </w:rPr>
        <w:t xml:space="preserve">"[2]", </w:t>
      </w:r>
    </w:p>
    <w:p w14:paraId="4D3CA9AA" w14:textId="489F6B9F" w:rsidR="0019600E" w:rsidRPr="00BF69CD" w:rsidRDefault="0019600E" w:rsidP="008704FA">
      <w:pPr>
        <w:rPr>
          <w:highlight w:val="yellow"/>
        </w:rPr>
      </w:pPr>
      <w:r w:rsidRPr="008704FA">
        <w:rPr>
          <w:highlight w:val="yellow"/>
        </w:rPr>
        <w:t xml:space="preserve">"[3]", </w:t>
      </w:r>
    </w:p>
    <w:p w14:paraId="0CEBBD1C" w14:textId="77777777" w:rsidR="008704FA" w:rsidRPr="008704FA" w:rsidRDefault="008704FA" w:rsidP="008704FA">
      <w:r w:rsidRPr="008704FA">
        <w:t xml:space="preserve">"[2]", </w:t>
      </w:r>
    </w:p>
    <w:p w14:paraId="66F27854" w14:textId="2B99EC25" w:rsidR="008704FA" w:rsidRPr="008704FA" w:rsidRDefault="008704FA">
      <w:r w:rsidRPr="008704FA">
        <w:t xml:space="preserve">"[3]", </w:t>
      </w:r>
    </w:p>
    <w:p w14:paraId="099C3BB9" w14:textId="77777777" w:rsidR="008704FA" w:rsidRPr="008704FA" w:rsidRDefault="008704FA">
      <w:pPr>
        <w:rPr>
          <w:highlight w:val="yellow"/>
        </w:rPr>
      </w:pPr>
      <w:r w:rsidRPr="008704FA">
        <w:rPr>
          <w:highlight w:val="yellow"/>
        </w:rPr>
        <w:t>"[4]",</w:t>
      </w:r>
    </w:p>
    <w:p w14:paraId="631237C5" w14:textId="225DF567" w:rsidR="00F10DB3" w:rsidRDefault="008704FA">
      <w:r w:rsidRPr="008704FA">
        <w:rPr>
          <w:highlight w:val="yellow"/>
        </w:rPr>
        <w:t xml:space="preserve"> "</w:t>
      </w:r>
      <w:proofErr w:type="spellStart"/>
      <w:r w:rsidRPr="008704FA">
        <w:rPr>
          <w:highlight w:val="yellow"/>
        </w:rPr>
        <w:t>bad_url</w:t>
      </w:r>
      <w:proofErr w:type="spellEnd"/>
      <w:r w:rsidRPr="008704FA">
        <w:rPr>
          <w:highlight w:val="yellow"/>
        </w:rPr>
        <w:t>"</w:t>
      </w:r>
    </w:p>
    <w:p>
      <w:pPr>
        <w:jc w:val="both"/>
      </w:pPr>
      <w:r>
        <w:rPr>
          <w:rFonts w:ascii="Times New Roman" w:hAnsi="Times New Roman"/>
          <w:sz w:val="28"/>
        </w:rPr>
        <w:t>1. Asangani IA. NRF-1, and AP-1 regulate the promoter of the human calpain small subunit 1 (CAPNS1) gene. / Asangani IA, Rasheed SA, Leupold JH, Post S, Allgayer H. // Gene – 2008. – T. 410 — № 1 – C.197-206.</w:t>
      </w:r>
    </w:p>
    <w:p>
      <w:pPr>
        <w:jc w:val="both"/>
      </w:pPr>
      <w:r>
        <w:rPr>
          <w:rFonts w:ascii="Times New Roman" w:hAnsi="Times New Roman"/>
          <w:sz w:val="28"/>
        </w:rPr>
        <w:t>2. GUROFF G. A NEUTRAL, CALCIUM-ACTIVATED PROTEINASE FROM THE SOLUBLE FRACTION OF RAT BRAIN. / GUROFF G. // The Journal of biological chemistry – 1964. – T. 239 – C.149-55.</w:t>
      </w:r>
    </w:p>
    <w:p>
      <w:pPr>
        <w:jc w:val="both"/>
      </w:pPr>
      <w:r>
        <w:rPr>
          <w:rFonts w:ascii="Times New Roman" w:hAnsi="Times New Roman"/>
          <w:sz w:val="28"/>
        </w:rPr>
        <w:t>3. Huston RB. Activation of skeletal muscle phosphorylase kinase by Ca2+. II. Identification of the kinase activating factor as a proteolytic enzyme. / Huston RB, Krebs EG. // Biochemistry – 1968. – T. 7 — № 6 – C.2116-22.</w:t>
      </w:r>
    </w:p>
    <w:p>
      <w:pPr>
        <w:jc w:val="both"/>
      </w:pPr>
      <w:r>
        <w:rPr>
          <w:rFonts w:ascii="Times New Roman" w:hAnsi="Times New Roman"/>
          <w:sz w:val="28"/>
        </w:rPr>
        <w:t>4. Murachi T. Intracellular Ca2+-dependent protease (calpain) and its high-molecular-weight endogenous inhibitor (calpastatin). / Murachi T, Tanaka K, Hatanaka M, Murakami T. // Advances in enzyme regulation – 1980. – T. 19 – C.407-24.</w:t>
      </w:r>
    </w:p>
    <w:p>
      <w:pPr>
        <w:jc w:val="both"/>
      </w:pPr>
      <w:r>
        <w:rPr>
          <w:rFonts w:ascii="Times New Roman" w:hAnsi="Times New Roman"/>
          <w:sz w:val="28"/>
        </w:rPr>
        <w:t>5. Wheelock MJ. Evidence for two structurally different forms of skeletal muscle Ca2+-activated protease. / Wheelock MJ. // The Journal of biological chemistry – 1982. – T. 257 — № 21 – C.12471-4.</w:t>
      </w:r>
    </w:p>
    <w:sectPr w:rsidR="00F1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B3"/>
    <w:rsid w:val="0019600E"/>
    <w:rsid w:val="008704FA"/>
    <w:rsid w:val="008B32F2"/>
    <w:rsid w:val="009E1C65"/>
    <w:rsid w:val="00BF69CD"/>
    <w:rsid w:val="00F1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836C"/>
  <w15:chartTrackingRefBased/>
  <w15:docId w15:val="{A3C33A56-DD77-456E-886A-109DCCAB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Трактиров Дмитрий Сергеевич</dc:creator>
  <cp:keywords/>
  <dc:description/>
  <cp:lastModifiedBy>Трактиров Дмитрий Сергеевич</cp:lastModifiedBy>
  <cp:revision>6</cp:revision>
  <dcterms:created xsi:type="dcterms:W3CDTF">2020-04-02T15:40:00Z</dcterms:created>
  <dcterms:modified xsi:type="dcterms:W3CDTF">2020-04-02T15:53:00Z</dcterms:modified>
</cp:coreProperties>
</file>