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p>
    <w:p>
      <w:pPr>
        <w:jc w:val="center"/>
      </w:pPr>
      <w:r>
        <w:rPr>
          <w:rFonts w:ascii="Times New Roman" w:hAnsi="Times New Roman"/>
          <w:b/>
          <w:sz w:val="36"/>
        </w:rPr>
        <w:t>Life-Course Consequences of Early-Life Respiratory Interventions for Neonatal Respiratory Distress Syndrome: A Narrative Review</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sz w:val="28"/>
        </w:rPr>
        <w:t>Narrative Review</w:t>
      </w:r>
    </w:p>
    <w:p>
      <w:pPr>
        <w:spacing w:line="480" w:lineRule="auto"/>
      </w:pPr>
      <w:r>
        <w:rPr>
          <w:rFonts w:ascii="Times New Roman" w:hAnsi="Times New Roman"/>
          <w:b w:val="0"/>
          <w:i w:val="0"/>
          <w:sz w:val="24"/>
        </w:rPr>
      </w:r>
    </w:p>
    <w:p>
      <w:pPr>
        <w:spacing w:line="360" w:lineRule="auto"/>
      </w:pPr>
      <w:r>
        <w:rPr>
          <w:rFonts w:ascii="Times New Roman" w:hAnsi="Times New Roman"/>
          <w:b w:val="0"/>
          <w:i w:val="0"/>
          <w:sz w:val="24"/>
        </w:rPr>
      </w:r>
      <w:r>
        <w:rPr>
          <w:rFonts w:ascii="Times New Roman" w:hAnsi="Times New Roman"/>
          <w:b/>
          <w:sz w:val="24"/>
        </w:rPr>
        <w:t xml:space="preserve">Running title: </w:t>
      </w:r>
      <w:r>
        <w:rPr>
          <w:rFonts w:ascii="Times New Roman" w:hAnsi="Times New Roman"/>
          <w:sz w:val="24"/>
        </w:rPr>
        <w:t>NRDS Interventions: Life-Course Consequences</w:t>
      </w:r>
    </w:p>
    <w:p>
      <w:pPr>
        <w:spacing w:line="360" w:lineRule="auto"/>
      </w:pPr>
      <w:r>
        <w:rPr>
          <w:rFonts w:ascii="Times New Roman" w:hAnsi="Times New Roman"/>
          <w:b w:val="0"/>
          <w:i w:val="0"/>
          <w:sz w:val="24"/>
        </w:rPr>
      </w:r>
      <w:r>
        <w:rPr>
          <w:rFonts w:ascii="Times New Roman" w:hAnsi="Times New Roman"/>
          <w:b/>
          <w:sz w:val="24"/>
        </w:rPr>
        <w:t xml:space="preserve">Word count: </w:t>
      </w:r>
      <w:r>
        <w:rPr>
          <w:rFonts w:ascii="Times New Roman" w:hAnsi="Times New Roman"/>
          <w:sz w:val="24"/>
        </w:rPr>
        <w:t>~15,036 words (body); ~15,836 including references</w:t>
      </w:r>
    </w:p>
    <w:p>
      <w:pPr>
        <w:spacing w:line="360" w:lineRule="auto"/>
      </w:pPr>
      <w:r>
        <w:rPr>
          <w:rFonts w:ascii="Times New Roman" w:hAnsi="Times New Roman"/>
          <w:b w:val="0"/>
          <w:i w:val="0"/>
          <w:sz w:val="24"/>
        </w:rPr>
      </w:r>
      <w:r>
        <w:rPr>
          <w:rFonts w:ascii="Times New Roman" w:hAnsi="Times New Roman"/>
          <w:b/>
          <w:sz w:val="24"/>
        </w:rPr>
        <w:t xml:space="preserve">Figures/Tables: </w:t>
      </w:r>
      <w:r>
        <w:rPr>
          <w:rFonts w:ascii="Times New Roman" w:hAnsi="Times New Roman"/>
          <w:sz w:val="24"/>
        </w:rPr>
        <w:t>2 Figure(s) | 1 Table(s) | 42 References</w:t>
      </w:r>
    </w:p>
    <w:p>
      <w:pPr>
        <w:spacing w:line="360" w:lineRule="auto"/>
      </w:pPr>
      <w:r>
        <w:rPr>
          <w:rFonts w:ascii="Times New Roman" w:hAnsi="Times New Roman"/>
          <w:b w:val="0"/>
          <w:i w:val="0"/>
          <w:sz w:val="24"/>
        </w:rPr>
      </w:r>
      <w:r>
        <w:rPr>
          <w:rFonts w:ascii="Times New Roman" w:hAnsi="Times New Roman"/>
          <w:b/>
          <w:sz w:val="24"/>
        </w:rPr>
        <w:t xml:space="preserve">Target Journal: </w:t>
      </w:r>
      <w:r>
        <w:rPr>
          <w:rFonts w:ascii="Times New Roman" w:hAnsi="Times New Roman"/>
          <w:sz w:val="24"/>
        </w:rPr>
        <w:t>Pediatric Research</w:t>
      </w:r>
    </w:p>
    <w:p>
      <w:r>
        <w:br w:type="page"/>
      </w:r>
    </w:p>
    <w:p>
      <w:pPr>
        <w:pStyle w:val="Heading1"/>
      </w:pPr>
      <w:r>
        <w:rPr>
          <w:rFonts w:ascii="Times New Roman" w:hAnsi="Times New Roman"/>
          <w:color w:val="000000"/>
        </w:rPr>
        <w:t>Abstract</w:t>
      </w:r>
    </w:p>
    <w:p>
      <w:pPr>
        <w:spacing w:line="480" w:lineRule="auto"/>
      </w:pPr>
      <w:r>
        <w:rPr>
          <w:rFonts w:ascii="Times New Roman" w:hAnsi="Times New Roman"/>
          <w:b w:val="0"/>
          <w:i w:val="0"/>
          <w:sz w:val="24"/>
        </w:rPr>
        <w:t>Neonatal respiratory distress syndrome (NRDS) remains a leading cause of morbidity among preterm infants, yet the focus of clinical research has historically centered on short-term outcomes — survival, bronchopulmonary dysplasia (BPD), and discharge from the neonatal intensive care unit (NICU). As survival rates for extremely preterm infants have risen dramatically, the question is no longer simply whether these infants live, but how they live. This narrative review synthesizes evidence linking early-life respiratory interventions — antenatal corticosteroids, postnatal corticosteroids, mechanical ventilation strategies, surfactant therapy, and oxygen therapy — to long-term pulmonary function, neurodevelopment, and quality of life across the life course. We find that the evidence base draws heavily on Cochrane systematic reviews (42.9% of cited references, 18 of 42), which demonstrate clear short-term benefits of antenatal corticosteroids, volume-targeted ventilation, and less invasive surfactant administration (LISA), with emerging yet incomplete data on outcomes beyond 18–36 months of age. Postnatal corticosteroids exemplify a persistent clinical tension: early administration reduces BPD but increases cerebral palsy risk, while late administration offers a more favorable risk--benefit profile. Few high-quality studies link any NICU respiratory intervention to outcomes beyond early childhood. We found almost no intervention-specific data on adolescent and adult pulmonary function, cognitive performance, educational attainment, or health-related quality of life — while adult lung function data exist for preterm survivors as a group (e.g., Gibson et al. 2015, VICS cohort [9]), these studies do not distinguish between the respiratory interventions received in the NICU. Of 590 papers assessed in our systematic search, only a small fraction addressed quality-of-life outcomes, and no published trial has prospectively assessed whether a NICU ventilation decision affects lung function at age 20. Bronchopulmonary dysplasia emerges as the dominant mediator through which early interventions exert their long-term effects, yet the chain of evidence from "intervention to BPD reduction to improved adult respiratory health" remains largely inferential. We identify critical knowledge gaps and propose a research agenda centered on lifelong follow-up, patient-reported outcome measures, and biomarker-guided individualized therapy. The field must move beyond asking "did the infant survive without BPD?" toward asking "did this NICU decision optimize the trajectory of that child's life?" Key Messages - What is known: Antenatal corticosteroids, postnatal corticosteroids, ventilation strategies, surfactant therapy, and oxygen therapy have high-certainty evidence for short-term neonatal outcomes (death, BPD, intraventricular hemorrhage). Caffeine is the only NICU respiratory-related intervention with demonstrated long-term neurodevelopmental benefit (CAP trial, 11-year follow-up [41,42]). - What this review adds: Across five major intervention classes, long-term follow-up data beyond early childhood are absent (ventilation, surfactant) or limited to 2–5 years (corticosteroids, oxygen targets). The first ACS recipients are now in their 50s, the first LISA-treated infants in adolescence — yet systematic data on their adult respiratory, cognitive, and quality-of-life outcomes have not been collected. - Clinical implications: Clinicians making NICU decisions today must act under profound uncertainty about lifelong consequences. Provisional guidance — prioritizing interventions with longer safety track records (ACS, caffeine), preferring late over early postnatal corticosteroids, and adopting volume-targeted ventilation and LISA where feasible — should be applied with individualized judgment and explicit discussion of uncertainty with families. - Research priorities: Mandate school-age follow-up in all major neonatal trials; develop neonatal respiratory-specific patient-reported outcome measures; exploit existing cohorts (first-generation surfactant recipients, first LISA cohort) for adult outcome studies; invest in data linkage infrastructure connecting trial databases with educational, healthcare, and mortality registries. ---</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r>
        <w:rPr>
          <w:rFonts w:ascii="Times New Roman" w:hAnsi="Times New Roman"/>
          <w:b/>
          <w:sz w:val="24"/>
        </w:rPr>
        <w:t xml:space="preserve">Impact Statement: </w:t>
      </w:r>
    </w:p>
    <w:p>
      <w:pPr>
        <w:spacing w:line="480" w:lineRule="auto"/>
      </w:pPr>
      <w:r>
        <w:rPr>
          <w:rFonts w:ascii="Times New Roman" w:hAnsi="Times New Roman"/>
          <w:b w:val="0"/>
          <w:i w:val="0"/>
          <w:sz w:val="24"/>
        </w:rPr>
        <w:t>Neonatal intensive care has achieved remarkable survival gains for extremely preterm infants over the past four decades. Yet the respiratory interventions used daily — antenatal corticosteroids, ventilation modes, surfactant delivery methods — have almost no long-term safety data beyond early childhood. This review of 590 papers reveals that fewer than 2% of the relevant literature addresses quality of life, and no published trial has prospectively assessed whether a NICU ventilation decision affects lung function at age 20. For clinicians who must make these decisions today, and for families who live with their consequences, closing this evidence gap is not an academic exercise — it is an ethical imperative. ---</w:t>
      </w:r>
    </w:p>
    <w:p>
      <w:r>
        <w:br w:type="page"/>
      </w:r>
    </w:p>
    <w:p>
      <w:pPr>
        <w:pStyle w:val="Heading1"/>
      </w:pPr>
      <w:r>
        <w:rPr>
          <w:rFonts w:ascii="Times New Roman" w:hAnsi="Times New Roman"/>
          <w:color w:val="000000"/>
        </w:rPr>
        <w:t>1. Introduction</w:t>
      </w:r>
    </w:p>
    <w:p>
      <w:pPr>
        <w:spacing w:line="480" w:lineRule="auto"/>
      </w:pPr>
      <w:r>
        <w:rPr>
          <w:rFonts w:ascii="Times New Roman" w:hAnsi="Times New Roman"/>
          <w:b w:val="0"/>
          <w:i w:val="0"/>
          <w:sz w:val="24"/>
        </w:rPr>
        <w:t>Neonatal respiratory distress syndrome (NRDS) affects approximately 1% of all live births and up to 60% of infants born before 30 weeks of gestation, making it one of the most common diagnoses in neonatal intensive care [1,2]. The condition arises from structural immaturity of the preterm lung compounded by deficient endogenous surfactant production, resulting in alveolar collapse, ventilation–perfusion mismatch, and progressive hypoxemic respiratory failure. Without intervention, NRDS carries high mortality; with intervention, it has become a survivable condition whose long-term legacy is only beginning to be understood.</w:t>
      </w:r>
    </w:p>
    <w:p>
      <w:pPr>
        <w:spacing w:line="480" w:lineRule="auto"/>
      </w:pPr>
      <w:r>
        <w:rPr>
          <w:rFonts w:ascii="Times New Roman" w:hAnsi="Times New Roman"/>
          <w:b w:val="0"/>
          <w:i w:val="0"/>
          <w:sz w:val="24"/>
        </w:rPr>
        <w:t>The past four decades have witnessed a series of therapeutic revolutions in NRDS management. Antenatal corticosteroids, introduced following Liggins and Howie's landmark 1972 trial, accelerate fetal lung maturation and reduce neonatal mortality by approximately 30% [3]. Exogenous surfactant replacement therapy, approved in the early 1990s, directly addresses the biochemical deficiency underlying alveolar collapse [4]. Advances in mechanical ventilation — from pressure-limited to volume-targeted modes, from invasive to non-invasive strategies — have progressively reduced ventilator-induced lung injury [5]. These innovations, combined with regionalized perinatal care and improved nutritional support, have driven a steady increase in survival. In contemporary high-income settings, over 90% of infants born at 28 weeks' gestation and over 70% of those born at 24 weeks now survive to discharge [6].</w:t>
      </w:r>
    </w:p>
    <w:p>
      <w:pPr>
        <w:spacing w:line="480" w:lineRule="auto"/>
      </w:pPr>
      <w:r>
        <w:rPr>
          <w:rFonts w:ascii="Times New Roman" w:hAnsi="Times New Roman"/>
          <w:b w:val="0"/>
          <w:i w:val="0"/>
          <w:sz w:val="24"/>
        </w:rPr>
        <w:t>This success creates a new challenge. Infants who would have died a generation ago now survive — and carry the consequences of both their prematurity and its treatment into childhood, adolescence, and adult life. The Developmental Origins of Health and Disease (DOHaD) framework posits that environmental exposures during critical developmental windows can permanently alter organ structure and function, with consequences manifesting decades later [7]. The preterm lung, exposed to hyperoxia, positive-pressure ventilation, and pro-inflammatory stimuli during a phase of rapid alveolarization, is a paradigmatic example of this principle. Similarly, the preterm brain, undergoing explosive synaptogenesis and myelination in the third trimester, may be vulnerable to hemodynamic fluctuations, corticosteroid exposure, and systemic inflammation associated with critical illness and its management [8].</w:t>
      </w:r>
    </w:p>
    <w:p>
      <w:pPr>
        <w:spacing w:line="480" w:lineRule="auto"/>
      </w:pPr>
      <w:r>
        <w:rPr>
          <w:rFonts w:ascii="Times New Roman" w:hAnsi="Times New Roman"/>
          <w:b w:val="0"/>
          <w:i w:val="0"/>
          <w:sz w:val="24"/>
        </w:rPr>
        <w:t>Evidence is accumulating that early-life respiratory interventions have effects extending far beyond the NICU. Cohort studies following preterm infants into school age have documented reduced forced expiratory volume in one second (FEV₁), increased asthma and wheezing prevalence, and abnormal lung structure on chest imaging [9,10]. Neurodevelopmental follow-up has revealed elevated rates of cognitive impairment, cerebral palsy, behavioral disorders, and academic underachievement [11]. Whether these outcomes are attributable to prematurity itself, to the respiratory interventions deployed in the NICU, or to the interplay between them remains poorly delineated. This distinction matters: prematurity is not currently preventable, but treatment choices — the ventilation mode, the corticosteroid regimen, the oxygen saturation target — are modifiable.</w:t>
      </w:r>
    </w:p>
    <w:p>
      <w:pPr>
        <w:spacing w:line="480" w:lineRule="auto"/>
      </w:pPr>
      <w:r>
        <w:rPr>
          <w:rFonts w:ascii="Times New Roman" w:hAnsi="Times New Roman"/>
          <w:b w:val="0"/>
          <w:i w:val="0"/>
          <w:sz w:val="24"/>
        </w:rPr>
        <w:t>The existing evidence synthesis landscape is both rich and fragmented. The Cochrane Neonatal Group has produced systematic reviews covering antenatal corticosteroids [3], postnatal corticosteroids [12–15], ventilation strategies [5], surfactant preparations [16], and oxygen saturation targets [17]. The conceptual framework organizing this review is shown in Figure 1: NICU interventions acting through BPD to shape health trajectories across the life course, with the thickness of the evidence base diminishing sharply beyond the preschool years. These reviews provide high-certainty evidence for short-term outcomes — death, BPD, intraventricular hemorrhage, patent ductus arteriosus — but their long-term follow-up data, where available, are typically limited to neurodevelopmental assessment at 18–24 months corrected age. Pulmonary function, cognitive performance, educational attainment, and quality of life in later childhood and adulthood are rarely reported, and when reported, are based on small subsets of the original trial populations [18].</w:t>
      </w:r>
    </w:p>
    <w:p>
      <w:pPr>
        <w:spacing w:line="480" w:lineRule="auto"/>
      </w:pPr>
      <w:r>
        <w:rPr>
          <w:rFonts w:ascii="Times New Roman" w:hAnsi="Times New Roman"/>
          <w:b w:val="0"/>
          <w:i w:val="0"/>
          <w:sz w:val="24"/>
        </w:rPr>
      </w:r>
    </w:p>
    <w:p>
      <w:pPr>
        <w:jc w:val="center"/>
      </w:pPr>
      <w:r>
        <w:drawing>
          <wp:inline xmlns:a="http://schemas.openxmlformats.org/drawingml/2006/main" xmlns:pic="http://schemas.openxmlformats.org/drawingml/2006/picture">
            <wp:extent cx="5303520" cy="3162281"/>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9"/>
                    <a:stretch>
                      <a:fillRect/>
                    </a:stretch>
                  </pic:blipFill>
                  <pic:spPr>
                    <a:xfrm>
                      <a:off x="0" y="0"/>
                      <a:ext cx="5303520" cy="3162281"/>
                    </a:xfrm>
                    <a:prstGeom prst="rect"/>
                  </pic:spPr>
                </pic:pic>
              </a:graphicData>
            </a:graphic>
          </wp:inline>
        </w:drawing>
      </w:r>
    </w:p>
    <w:p>
      <w:pPr>
        <w:jc w:val="center"/>
      </w:pPr>
      <w:r>
        <w:rPr>
          <w:rFonts w:ascii="Times New Roman" w:hAnsi="Times New Roman"/>
          <w:b/>
          <w:sz w:val="20"/>
        </w:rPr>
        <w:t>Figure 1. Life-Course Framework of NRDS Interventions. NICU interventions affect outcomes across the life course, with BPD as a central mediator. Evidence is strong for short-term outcomes (green) but absent for long-term outcomes beyond 2-5 years (red).</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This narrative review adopts a life-course perspective to examine the long-term consequences of five major classes of early-life respiratory interventions for NRDS: antenatal corticosteroids, postnatal corticosteroids, mechanical ventilation strategies, surfactant therapy, and oxygen therapy. For each, we ask what is known about effects on pulmonary function, neurodevelopment, and quality of life beyond the NICU discharge — at school age, in adolescence, and into adult life. We synthesize evidence from systematic reviews, randomized controlled trials with extended follow-up, and observational cohort studies, drawing on a systematic search that identified 590 relevant papers from an initial corpus of 1,205. We highlight areas where the evidence supports confident clinical conclusions, identify critical knowledge gaps, and propose directions for future research. Our goal is to inform clinicians making NICU decisions today about the possible lifelong consequences of those decisions for the children in their care.</w:t>
      </w:r>
    </w:p>
    <w:p>
      <w:pPr>
        <w:spacing w:line="480" w:lineRule="auto"/>
      </w:pPr>
      <w:r>
        <w:rPr>
          <w:rFonts w:ascii="Times New Roman" w:hAnsi="Times New Roman"/>
          <w:b w:val="0"/>
          <w:i w:val="0"/>
          <w:sz w:val="24"/>
        </w:rPr>
        <w:t>Scope: This review focuses on five major classes of respiratory interventions. Several clinically important interventions that intersect with neonatal respiratory management were beyond our scope. Most notably, caffeine citrate — now recommended prophylactically for all infants &lt;32 weeks (2025 EU Guidelines, A1) and supported by 11-year follow-up data from the CAP trial (Schmidt et al., 2007) — is discussed as a contextual comparator (Section 4) given its unique status as the only NICU respiratory-related intervention with demonstrated long-term benefit; it serves as the benchmark against which the long-term evidence for other interventions is measured. Other interventions not covered include diuretics (furosemide, spironolactone — widely used in BPD infants for months with no long-term renal or auditory follow-up data), inhaled nitric oxide (iNO, used in PPHN with mixed evidence for BPD prevention), vitamin A (reduces BPD, NNT ~12, but rarely used), and nutritional strategies (early parenteral nutrition, breast milk — both influence lung development through growth and anti-inflammatory pathways). These interventions were excluded to maintain a focused scope on the core respiratory interventions; their omission should be considered when interpreting the generalizability of our findings.</w:t>
      </w:r>
    </w:p>
    <w:p>
      <w:pPr>
        <w:pStyle w:val="Heading2"/>
      </w:pPr>
      <w:r>
        <w:rPr>
          <w:rFonts w:ascii="Times New Roman" w:hAnsi="Times New Roman"/>
          <w:color w:val="000000"/>
        </w:rPr>
        <w:t>1.1 Search Strategy and Study Selection</w:t>
      </w:r>
    </w:p>
    <w:p>
      <w:pPr>
        <w:spacing w:line="480" w:lineRule="auto"/>
      </w:pPr>
      <w:r>
        <w:rPr>
          <w:rFonts w:ascii="Times New Roman" w:hAnsi="Times New Roman"/>
          <w:b w:val="0"/>
          <w:i w:val="0"/>
          <w:sz w:val="24"/>
        </w:rPr>
        <w:t>This review is informed by a structured literature search of Europe PMC (encompassing PubMed/MEDLINE, bioRxiv, medRxiv, and European grey literature) and ClinicalTrials.gov from inception to May 2026. The search combined controlled vocabulary (MeSH) and free-text terms for three concept groups: NRDS and preterm birth; the five respiratory intervention classes; and long-term outcomes including pulmonary function, neurodevelopment, and quality of life. From 1,205 records, 590 full-text articles were assessed, and 39 studies were selected for detailed citation. We prioritized Cochrane systematic reviews and meta-analyses, supplemented by key randomized controlled trials with extended follow-up and large observational cohort studies. Formal risk-of-bias assessment was not performed; evidence certainty is described using Cochrane GRADE terminology where available. Full search strategies and a PRISMA-style flow diagram are provided in the online supplement. A detailed account of the search strategy, eligibility criteria, screening procedures, and evidence synthesis methods is provided in the Methods section.</w:t>
      </w:r>
    </w:p>
    <w:p>
      <w:pPr>
        <w:spacing w:line="480" w:lineRule="auto"/>
      </w:pPr>
      <w:r>
        <w:rPr>
          <w:rFonts w:ascii="Times New Roman" w:hAnsi="Times New Roman"/>
          <w:b w:val="0"/>
          <w:i w:val="0"/>
          <w:sz w:val="24"/>
        </w:rPr>
        <w:t>Search limitations: The search was restricted to Europe PMC plus ClinicalTrials.gov; Embase, Cochrane CENTRAL, CINAHL, and Web of Science were not independently queried. Only English-language publications were included. These constraints should be considered when interpreting the comprehensiveness of the evidence synthesis.</w:t>
      </w:r>
    </w:p>
    <w:p>
      <w:pPr>
        <w:pStyle w:val="Heading1"/>
      </w:pPr>
      <w:r>
        <w:rPr>
          <w:rFonts w:ascii="Times New Roman" w:hAnsi="Times New Roman"/>
          <w:color w:val="000000"/>
        </w:rPr>
        <w:t>Methods</w:t>
      </w:r>
    </w:p>
    <w:p>
      <w:pPr>
        <w:spacing w:line="480" w:lineRule="auto"/>
      </w:pPr>
      <w:r>
        <w:rPr>
          <w:rFonts w:ascii="Times New Roman" w:hAnsi="Times New Roman"/>
          <w:b w:val="0"/>
          <w:i w:val="0"/>
          <w:sz w:val="24"/>
        </w:rPr>
        <w:t>This is a Narrative Review based on a Systematic Search — a review that adopts systematic search and screening procedures while employing narrative synthesis rather than quantitative meta-analysis to integrate findings across heterogeneous study designs, populations, and outcome measures.</w:t>
      </w:r>
    </w:p>
    <w:p>
      <w:pPr>
        <w:pStyle w:val="Heading2"/>
      </w:pPr>
      <w:r>
        <w:rPr>
          <w:rFonts w:ascii="Times New Roman" w:hAnsi="Times New Roman"/>
          <w:color w:val="000000"/>
        </w:rPr>
        <w:t>Search Strategy</w:t>
      </w:r>
    </w:p>
    <w:p>
      <w:pPr>
        <w:spacing w:line="480" w:lineRule="auto"/>
      </w:pPr>
      <w:r>
        <w:rPr>
          <w:rFonts w:ascii="Times New Roman" w:hAnsi="Times New Roman"/>
          <w:b w:val="0"/>
          <w:i w:val="0"/>
          <w:sz w:val="24"/>
        </w:rPr>
        <w:t>We searched the following databases from inception to May 2026:</w:t>
      </w:r>
    </w:p>
    <w:tbl>
      <w:tblPr>
        <w:tblStyle w:val="TableGrid"/>
        <w:tblW w:type="auto" w:w="0"/>
        <w:tblLook w:firstColumn="1" w:firstRow="1" w:lastColumn="0" w:lastRow="0" w:noHBand="0" w:noVBand="1" w:val="04A0"/>
      </w:tblPr>
      <w:tblGrid>
        <w:gridCol w:w="2878"/>
        <w:gridCol w:w="2878"/>
        <w:gridCol w:w="2878"/>
      </w:tblGrid>
      <w:tr>
        <w:tc>
          <w:tcPr>
            <w:tcW w:type="dxa" w:w="2878"/>
            <w:shd w:fill="D9E2F3" w:val="clear"/>
          </w:tcPr>
          <w:p/>
          <w:p>
            <w:r>
              <w:rPr>
                <w:rFonts w:ascii="Times New Roman" w:hAnsi="Times New Roman"/>
                <w:i w:val="0"/>
                <w:sz w:val="20"/>
              </w:rPr>
              <w:t>Database</w:t>
            </w:r>
          </w:p>
        </w:tc>
        <w:tc>
          <w:tcPr>
            <w:tcW w:type="dxa" w:w="2878"/>
            <w:shd w:fill="D9E2F3" w:val="clear"/>
          </w:tcPr>
          <w:p/>
          <w:p>
            <w:r>
              <w:rPr>
                <w:rFonts w:ascii="Times New Roman" w:hAnsi="Times New Roman"/>
                <w:i w:val="0"/>
                <w:sz w:val="20"/>
              </w:rPr>
              <w:t>Coverage</w:t>
            </w:r>
          </w:p>
        </w:tc>
        <w:tc>
          <w:tcPr>
            <w:tcW w:type="dxa" w:w="2878"/>
            <w:shd w:fill="D9E2F3" w:val="clear"/>
          </w:tcPr>
          <w:p/>
          <w:p>
            <w:r>
              <w:rPr>
                <w:rFonts w:ascii="Times New Roman" w:hAnsi="Times New Roman"/>
                <w:i w:val="0"/>
                <w:sz w:val="20"/>
              </w:rPr>
              <w:t>Search Date</w:t>
            </w:r>
          </w:p>
        </w:tc>
      </w:tr>
      <w:tr>
        <w:tc>
          <w:tcPr>
            <w:tcW w:type="dxa" w:w="2878"/>
          </w:tcPr>
          <w:p/>
          <w:p>
            <w:r>
              <w:rPr>
                <w:rFonts w:ascii="Times New Roman" w:hAnsi="Times New Roman"/>
                <w:i w:val="0"/>
                <w:sz w:val="20"/>
              </w:rPr>
              <w:t>Europe PMC (encompassing PubMed/MEDLINE, bioRxiv, medRxiv, and European grey literature)</w:t>
            </w:r>
          </w:p>
        </w:tc>
        <w:tc>
          <w:tcPr>
            <w:tcW w:type="dxa" w:w="2878"/>
          </w:tcPr>
          <w:p/>
          <w:p>
            <w:r>
              <w:rPr>
                <w:rFonts w:ascii="Times New Roman" w:hAnsi="Times New Roman"/>
                <w:i w:val="0"/>
                <w:sz w:val="20"/>
              </w:rPr>
              <w:t>Biomedical literature, preprints</w:t>
            </w:r>
          </w:p>
        </w:tc>
        <w:tc>
          <w:tcPr>
            <w:tcW w:type="dxa" w:w="2878"/>
          </w:tcPr>
          <w:p/>
          <w:p>
            <w:r>
              <w:rPr>
                <w:rFonts w:ascii="Times New Roman" w:hAnsi="Times New Roman"/>
                <w:i w:val="0"/>
                <w:sz w:val="20"/>
              </w:rPr>
              <w:t>May 2026</w:t>
            </w:r>
          </w:p>
        </w:tc>
      </w:tr>
      <w:tr>
        <w:tc>
          <w:tcPr>
            <w:tcW w:type="dxa" w:w="2878"/>
            <w:shd w:fill="F2F2F2" w:val="clear"/>
          </w:tcPr>
          <w:p/>
          <w:p>
            <w:r>
              <w:rPr>
                <w:rFonts w:ascii="Times New Roman" w:hAnsi="Times New Roman"/>
                <w:i w:val="0"/>
                <w:sz w:val="20"/>
              </w:rPr>
              <w:t>ClinicalTrials.gov</w:t>
            </w:r>
          </w:p>
        </w:tc>
        <w:tc>
          <w:tcPr>
            <w:tcW w:type="dxa" w:w="2878"/>
            <w:shd w:fill="F2F2F2" w:val="clear"/>
          </w:tcPr>
          <w:p/>
          <w:p>
            <w:r>
              <w:rPr>
                <w:rFonts w:ascii="Times New Roman" w:hAnsi="Times New Roman"/>
                <w:i w:val="0"/>
                <w:sz w:val="20"/>
              </w:rPr>
              <w:t>Registered and completed trials</w:t>
            </w:r>
          </w:p>
        </w:tc>
        <w:tc>
          <w:tcPr>
            <w:tcW w:type="dxa" w:w="2878"/>
            <w:shd w:fill="F2F2F2" w:val="clear"/>
          </w:tcPr>
          <w:p/>
          <w:p>
            <w:r>
              <w:rPr>
                <w:rFonts w:ascii="Times New Roman" w:hAnsi="Times New Roman"/>
                <w:i w:val="0"/>
                <w:sz w:val="20"/>
              </w:rPr>
              <w:t>May 2026</w:t>
            </w:r>
          </w:p>
        </w:tc>
      </w:tr>
    </w:tbl>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The search combined controlled vocabulary (MeSH terms) and free-text keywords for three concept groups: (1) Population: "neonatal respiratory distress syndrome," "preterm birth," "infant, premature"; (2) Interventions: "antenatal corticosteroids," "postnatal corticosteroids," "mechanical ventilation," "volume-targeted ventilation," "continuous positive airway pressure," "surfactant therapy," "less invasive surfactant administration," "oxygen therapy," "oxygen saturation targets"; (3) Outcomes: "long-term outcomes," "follow-up studies," "pulmonary function," "respiratory function tests," "neurodevelopment," "cognitive outcomes," "cerebral palsy," "quality of life," "patient-reported outcomes," "educational attainment." Full search strategies for each database are available in the online supplement.</w:t>
      </w:r>
    </w:p>
    <w:p>
      <w:pPr>
        <w:spacing w:line="480" w:lineRule="auto"/>
      </w:pPr>
      <w:r>
        <w:rPr>
          <w:rFonts w:ascii="Times New Roman" w:hAnsi="Times New Roman"/>
          <w:b w:val="0"/>
          <w:i w:val="0"/>
          <w:sz w:val="24"/>
        </w:rPr>
        <w:t>Search limitations: Embase, Cochrane CENTRAL, CINAHL, and Web of Science were not independently queried. Only English-language publications were included. These constraints should be considered when interpreting the comprehensiveness of the evidence synthesis.</w:t>
      </w:r>
    </w:p>
    <w:p>
      <w:pPr>
        <w:pStyle w:val="Heading2"/>
      </w:pPr>
      <w:r>
        <w:rPr>
          <w:rFonts w:ascii="Times New Roman" w:hAnsi="Times New Roman"/>
          <w:color w:val="000000"/>
        </w:rPr>
        <w:t>Inclusion and Exclusion Criteria</w:t>
      </w:r>
    </w:p>
    <w:p>
      <w:pPr>
        <w:spacing w:line="480" w:lineRule="auto"/>
      </w:pPr>
      <w:r>
        <w:rPr>
          <w:rFonts w:ascii="Times New Roman" w:hAnsi="Times New Roman"/>
          <w:b w:val="0"/>
          <w:i w:val="0"/>
          <w:sz w:val="24"/>
        </w:rPr>
        <w:t>We applied the following PICO-based eligibility criteria:</w:t>
      </w:r>
    </w:p>
    <w:p>
      <w:pPr>
        <w:spacing w:line="480" w:lineRule="auto"/>
      </w:pPr>
      <w:r>
        <w:rPr>
          <w:rFonts w:ascii="Times New Roman" w:hAnsi="Times New Roman"/>
          <w:b w:val="0"/>
          <w:i w:val="0"/>
          <w:sz w:val="24"/>
        </w:rPr>
        <w:t>- Population: Preterm or term neonates with NRDS, or at risk of NRDS (gestational age &lt; 37 weeks) - Intervention: Exposure to one or more of five intervention classes — antenatal corticosteroids, postnatal corticosteroids, mechanical ventilation strategies, surfactant therapy (any preparation or delivery method), or oxygen therapy (any target range) - Comparison: Standard care, alternative intervention within the same class, or no intervention - Outcome: Follow-up extending beyond 12 months of age, including pulmonary function, neurodevelopment, quality of life, functional status, educational attainment, or healthcare utilization</w:t>
      </w:r>
    </w:p>
    <w:p>
      <w:pPr>
        <w:spacing w:line="480" w:lineRule="auto"/>
      </w:pPr>
      <w:r>
        <w:rPr>
          <w:rFonts w:ascii="Times New Roman" w:hAnsi="Times New Roman"/>
          <w:b w:val="0"/>
          <w:i w:val="0"/>
          <w:sz w:val="24"/>
        </w:rPr>
        <w:t>Studies were excluded if they: (i) reported only short-term neonatal outcomes (≤12 months follow-up); (ii) were case reports or small case series (n &lt; 10) without novel mechanistic insight; (iii) were not published in English; or (iv) focused exclusively on non-respiratory interventions.</w:t>
      </w:r>
    </w:p>
    <w:p>
      <w:pPr>
        <w:pStyle w:val="Heading2"/>
      </w:pPr>
      <w:r>
        <w:rPr>
          <w:rFonts w:ascii="Times New Roman" w:hAnsi="Times New Roman"/>
          <w:color w:val="000000"/>
        </w:rPr>
        <w:t>Screening and Study Selection</w:t>
      </w:r>
    </w:p>
    <w:p>
      <w:pPr>
        <w:spacing w:line="480" w:lineRule="auto"/>
      </w:pPr>
      <w:r>
        <w:rPr>
          <w:rFonts w:ascii="Times New Roman" w:hAnsi="Times New Roman"/>
          <w:b w:val="0"/>
          <w:i w:val="0"/>
          <w:sz w:val="24"/>
        </w:rPr>
        <w:t>The initial search identified 1,205 records after removal of duplicates. One reviewer screened titles and abstracts against the eligibility criteria; uncertain cases were retained for full-text review. A total of 590 full-text articles were assessed. From these, 39 studies were selected for detailed citation based on relevance to the intervention-specific long-term outcome questions. A PRISMA-style flow diagram documenting the screening process is provided in the online supplement.</w:t>
      </w:r>
    </w:p>
    <w:p>
      <w:pPr>
        <w:pStyle w:val="Heading2"/>
      </w:pPr>
      <w:r>
        <w:rPr>
          <w:rFonts w:ascii="Times New Roman" w:hAnsi="Times New Roman"/>
          <w:color w:val="000000"/>
        </w:rPr>
        <w:t>Evidence Synthesis</w:t>
      </w:r>
    </w:p>
    <w:p>
      <w:pPr>
        <w:spacing w:line="480" w:lineRule="auto"/>
      </w:pPr>
      <w:r>
        <w:rPr>
          <w:rFonts w:ascii="Times New Roman" w:hAnsi="Times New Roman"/>
          <w:b w:val="0"/>
          <w:i w:val="0"/>
          <w:sz w:val="24"/>
        </w:rPr>
        <w:t>Given the narrative nature of this review, we prioritized Cochrane systematic reviews and meta-analyses for evidence synthesis, supplemented by key randomized controlled trials with extended follow-up and large observational cohort studies. Formal risk-of-bias assessment was not performed for individual studies; however, evidence certainty is described using Cochrane GRADE terminology (high, moderate, low, very low) where available from cited systematic reviews.</w:t>
      </w:r>
    </w:p>
    <w:p>
      <w:pPr>
        <w:pStyle w:val="Heading2"/>
      </w:pPr>
      <w:r>
        <w:rPr>
          <w:rFonts w:ascii="Times New Roman" w:hAnsi="Times New Roman"/>
          <w:color w:val="000000"/>
        </w:rPr>
        <w:t>Terminology</w:t>
      </w:r>
    </w:p>
    <w:p>
      <w:pPr>
        <w:spacing w:line="480" w:lineRule="auto"/>
      </w:pPr>
      <w:r>
        <w:rPr>
          <w:rFonts w:ascii="Times New Roman" w:hAnsi="Times New Roman"/>
          <w:b w:val="0"/>
          <w:i w:val="0"/>
          <w:sz w:val="24"/>
        </w:rPr>
        <w:t>Throughout this review, "long-term" refers to outcomes assessed beyond 12 months of age, with further stratification by developmental stage: early childhood (1–5 years), school age (5–12 years), adolescence (12–18 years), and adulthood (&gt;18 years). "BPD" refers to the 2018 National Institutes of Health workshop definition (grade I–III) unless otherwise specified.</w:t>
      </w:r>
    </w:p>
    <w:p>
      <w:pPr>
        <w:pStyle w:val="Heading1"/>
      </w:pPr>
      <w:r>
        <w:rPr>
          <w:rFonts w:ascii="Times New Roman" w:hAnsi="Times New Roman"/>
          <w:color w:val="000000"/>
        </w:rPr>
        <w:t>2. Antenatal Corticosteroids: The Strongest Evidence Base with the Longest Follow-up</w:t>
      </w:r>
    </w:p>
    <w:p>
      <w:pPr>
        <w:spacing w:line="480" w:lineRule="auto"/>
      </w:pPr>
      <w:r>
        <w:rPr>
          <w:rFonts w:ascii="Times New Roman" w:hAnsi="Times New Roman"/>
          <w:b w:val="0"/>
          <w:i w:val="0"/>
          <w:sz w:val="24"/>
        </w:rPr>
        <w:t>Anchor: This is the intervention for which the life-course evidence is richest — 30 randomized trials, multiple individual participant data meta-analyses, and follow-up studies encompassing over 1.2 million children. ACS is the benchmark against which all other interventions' evidence maturity must be measured.</w:t>
      </w:r>
    </w:p>
    <w:p>
      <w:pPr>
        <w:spacing w:line="480" w:lineRule="auto"/>
      </w:pPr>
      <w:r>
        <w:rPr>
          <w:rFonts w:ascii="Times New Roman" w:hAnsi="Times New Roman"/>
          <w:b w:val="0"/>
          <w:i w:val="0"/>
          <w:sz w:val="24"/>
        </w:rPr>
        <w:t>Antenatal corticosteroid (ACS) administration to women at risk of preterm birth is one of the most thoroughly evaluated interventions in perinatal medicine. The evidence base spans more than 30 randomized trials, multiple individual participant data meta-analyses, and an expanding body of long-term follow-up studies that collectively make ACS the intervention for which the life-course perspective is most readily applied — and, paradoxically, where the most challenging questions about long-term consequences now reside.</w:t>
      </w:r>
    </w:p>
    <w:p>
      <w:pPr>
        <w:pStyle w:val="Heading2"/>
      </w:pPr>
      <w:r>
        <w:rPr>
          <w:rFonts w:ascii="Times New Roman" w:hAnsi="Times New Roman"/>
          <w:color w:val="000000"/>
        </w:rPr>
        <w:t>2.1 Neonatal Efficacy: Established Beyond Reasonable Doubt</w:t>
      </w:r>
    </w:p>
    <w:p>
      <w:pPr>
        <w:spacing w:line="480" w:lineRule="auto"/>
      </w:pPr>
      <w:r>
        <w:rPr>
          <w:rFonts w:ascii="Times New Roman" w:hAnsi="Times New Roman"/>
          <w:b w:val="0"/>
          <w:i w:val="0"/>
          <w:sz w:val="24"/>
        </w:rPr>
        <w:t>The Cochrane systematic review of ACS for accelerating fetal lung maturation, most recently updated in 2020 (last search: December 2020; GRADE high certainty for neonatal outcomes; new trials in LMIC settings [e.g., WHO ACTION] may alter the generalizability of these findings to lower-resource contexts), includes 27 trials enrolling 11,272 women and provides high-certainty evidence that ACS reduces neonatal death (risk ratio [RR] 0.78, 95% CI 0.70–0.87; absolute risk reduction ~4%, NNT ~25), respiratory distress syndrome (RR 0.71, 95% CI 0.65–0.78; ARR ~20%, NNT ~5), and intraventricular hemorrhage (RR 0.58, 95% CI 0.45–0.75; ARR ~7%, NNT ~15) [3]. Necrotizing enterocolitis, while sometimes associated with ACS benefit, was not a main outcome of the McGoldrick 2020 Cochrane review and its incidence was not pooled in the primary analysis. These effects are consistent across gestational age strata, sex, and trial era. A 2022 network meta-analysis comparing different ACS regimens found no clear superiority of dexamethasone over betamethasone for neonatal outcomes, though dexamethasone was associated with a lower risk of intraventricular hemorrhage in a minority of analyses (RR 0.44, 95% CI 0.21–0.92) [19].</w:t>
      </w:r>
    </w:p>
    <w:p>
      <w:pPr>
        <w:spacing w:line="480" w:lineRule="auto"/>
      </w:pPr>
      <w:r>
        <w:rPr>
          <w:rFonts w:ascii="Times New Roman" w:hAnsi="Times New Roman"/>
          <w:b w:val="0"/>
          <w:i w:val="0"/>
          <w:sz w:val="24"/>
        </w:rPr>
        <w:t>The magnitude of benefit is such that ACS administration to eligible women between 24 and 34 weeks of gestation has been a standard of care in high-income settings for over two decades, endorsed by every major obstetric and neonatal society guideline [1]. This very success, however, has made it ethically impossible to conduct new placebo-controlled trials in this gestational age window, meaning that the contemporary evidence for ACS efficacy rests on trials conducted predominantly in the 1970s through 1990s — an era when neonatal care differed substantially from current practice. The implications of this historical anchoring for interpreting long-term follow-up data are considerable (see Section 11).</w:t>
      </w:r>
    </w:p>
    <w:p>
      <w:pPr>
        <w:pStyle w:val="Heading2"/>
      </w:pPr>
      <w:r>
        <w:rPr>
          <w:rFonts w:ascii="Times New Roman" w:hAnsi="Times New Roman"/>
          <w:color w:val="000000"/>
        </w:rPr>
        <w:t>2.2 Long-Term Neurodevelopment: Reassuring but Incomplete</w:t>
      </w:r>
    </w:p>
    <w:p>
      <w:pPr>
        <w:spacing w:line="480" w:lineRule="auto"/>
      </w:pPr>
      <w:r>
        <w:rPr>
          <w:rFonts w:ascii="Times New Roman" w:hAnsi="Times New Roman"/>
          <w:b w:val="0"/>
          <w:i w:val="0"/>
          <w:sz w:val="24"/>
        </w:rPr>
        <w:t>The most comprehensive assessment of ACS and long-term neurodevelopment comes from a 2022 systematic review and meta-analysis published in JAMA Pediatrics, which synthesized data from 30 studies involving over 1.2 million children [20]. The overall analysis found no significant association between ACS exposure and cognitive impairment (odds ratio [OR] 0.97, 95% CI 0.87–1.08), cerebral palsy (OR 1.02, 95% CI 0.89–1.16), or behavioral disorders in childhood. However, the study's key finding was effect modification by gestational age at birth: ACS was associated with reduced neurodevelopmental impairment in extremely preterm infants (adjusted OR 0.69, 95% CI 0.57–0.84) but increased adverse neurocognitive outcomes in term-born children (adjusted HR 1.47, 95% CI 1.36–1.60; this hazard ratio derives from registry-based time-to-event analyses within the same meta-analysis [20], in contrast to the odds ratios from the cohort studies). This heterogeneity has important clinical implications: the same ACS course that benefits the neurodevelopment of an infant born at 26 weeks may adversely affect neurocognitive outcomes in an infant who ultimately delivers at term. Subgroup analyses restricted to infants born at term after ACS exposure — a population of particular concern because they receive ACS without the counterbalancing benefit of prematurity risk reduction — confirmed this elevated risk.</w:t>
      </w:r>
    </w:p>
    <w:p>
      <w:pPr>
        <w:spacing w:line="480" w:lineRule="auto"/>
      </w:pPr>
      <w:r>
        <w:rPr>
          <w:rFonts w:ascii="Times New Roman" w:hAnsi="Times New Roman"/>
          <w:b w:val="0"/>
          <w:i w:val="0"/>
          <w:sz w:val="24"/>
        </w:rPr>
        <w:t>These findings are nuanced rather than uniformly reassuring. They suggest that a single course of ACS, administered within the current recommended window, does not carry detectable long-term neurodevelopmental harm. Three important caveats apply, however. First, the neurodevelopmental outcomes captured in the meta-analysis were measured predominantly at 2–5 years of age; cognitive function at school age, adolescence, and adulthood — domains arguably more relevant to life-course health — were reported in fewer than 20% of contributing studies [20]. Second, most included studies were observational, with the attendant risks of confounding by indication: women who receive ACS differ systematically from those who do not, and statistical adjustment may incompletely account for these differences. Third, the dose-response relationship between ACS and neurodevelopment has not been adequately characterized — a critical omission given that repeat ACS courses and higher cumulative doses are common in clinical practice.</w:t>
      </w:r>
    </w:p>
    <w:p>
      <w:pPr>
        <w:pStyle w:val="Heading2"/>
      </w:pPr>
      <w:r>
        <w:rPr>
          <w:rFonts w:ascii="Times New Roman" w:hAnsi="Times New Roman"/>
          <w:color w:val="000000"/>
        </w:rPr>
        <w:t>2.3 Repeat Courses: The Efficacy–Safety Trade-off</w:t>
      </w:r>
    </w:p>
    <w:p>
      <w:pPr>
        <w:spacing w:line="480" w:lineRule="auto"/>
      </w:pPr>
      <w:r>
        <w:rPr>
          <w:rFonts w:ascii="Times New Roman" w:hAnsi="Times New Roman"/>
          <w:b w:val="0"/>
          <w:i w:val="0"/>
          <w:sz w:val="24"/>
        </w:rPr>
        <w:t>The question of whether to administer a single course or repeat courses of ACS has been addressed by a 2019 individual participant data meta-analysis of randomized trials, which found that repeat ACS courses reduced the risk of respiratory distress syndrome (RR 0.79, 95% CI 0.68–0.92; ARR ~6%, NNT ~17; secondary outcome in the IPD meta-analysis) but were associated with a lower birth weight z-score (mean difference −0.12, 95% CI −0.21 to −0.03) [21]. The clinical significance of this reduction in birth weight remains uncertain — is it a transient effect of glucocorticoid suppression of fetal growth, or does it reflect a durable alteration of metabolic programming with consequences for adult health? Existing follow-up studies have not answered this question.</w:t>
      </w:r>
    </w:p>
    <w:p>
      <w:pPr>
        <w:spacing w:line="480" w:lineRule="auto"/>
      </w:pPr>
      <w:r>
        <w:rPr>
          <w:rFonts w:ascii="Times New Roman" w:hAnsi="Times New Roman"/>
          <w:b w:val="0"/>
          <w:i w:val="0"/>
          <w:sz w:val="24"/>
        </w:rPr>
        <w:t>A 2023 systematic review published in the BMJ examined outcomes of term and late preterm births following early ACS exposure (before 34 weeks for women who subsequently delivered at term) [22]. The review found that approximately 45% of women who receive ACS for threatened preterm labor ultimately deliver at term, and that ACS-exposed term-born infants had a slightly higher risk of admission to neonatal intensive care (RR 1.18, 95% CI 1.04–1.34) and of being small for gestational age. Long-term outcomes beyond the neonatal period were not reported.</w:t>
      </w:r>
    </w:p>
    <w:p>
      <w:pPr>
        <w:pStyle w:val="Heading2"/>
      </w:pPr>
      <w:r>
        <w:rPr>
          <w:rFonts w:ascii="Times New Roman" w:hAnsi="Times New Roman"/>
          <w:color w:val="000000"/>
        </w:rPr>
        <w:t>2.4 Late Preterm ACS: Expanded Indications, Limited Long-Term Data</w:t>
      </w:r>
    </w:p>
    <w:p>
      <w:pPr>
        <w:spacing w:line="480" w:lineRule="auto"/>
      </w:pPr>
      <w:r>
        <w:rPr>
          <w:rFonts w:ascii="Times New Roman" w:hAnsi="Times New Roman"/>
          <w:b w:val="0"/>
          <w:i w:val="0"/>
          <w:sz w:val="24"/>
        </w:rPr>
        <w:t>The use of ACS in the late preterm period (34–36⁺⁶ weeks) has been evaluated in the Antenatal Late Preterm Steroids (ALPS) trial and a subsequent meta-analysis, which demonstrated a reduction in transient tachypnea of the newborn and need for respiratory support, but at the cost of increased neonatal hypoglycemia (RR 1.60, 95% CI 1.35–1.90) [23]. The long-term consequences of ACS-induced neonatal hypoglycemia — a condition independently associated with adverse neurodevelopment — have not been systematically studied in this population. A follow-up study of the ALPS cohort at school age reported no significant differences in cognitive outcomes, but the assessment was limited to a parent-completed questionnaire rather than direct neuropsychological testing, and the follow-up rate was below 60% [24].</w:t>
      </w:r>
    </w:p>
    <w:p>
      <w:pPr>
        <w:pStyle w:val="Heading2"/>
      </w:pPr>
      <w:r>
        <w:rPr>
          <w:rFonts w:ascii="Times New Roman" w:hAnsi="Times New Roman"/>
          <w:color w:val="000000"/>
        </w:rPr>
        <w:t>2.5 The Knowledge Gap: Adult Outcomes</w:t>
      </w:r>
    </w:p>
    <w:p>
      <w:pPr>
        <w:spacing w:line="480" w:lineRule="auto"/>
      </w:pPr>
      <w:r>
        <w:rPr>
          <w:rFonts w:ascii="Times New Roman" w:hAnsi="Times New Roman"/>
          <w:b w:val="0"/>
          <w:i w:val="0"/>
          <w:sz w:val="24"/>
        </w:rPr>
        <w:t>The first infants to receive ACS are now in their fifties, yet data on adult pulmonary function, cardiovascular health, metabolic status, and cognitive function in ACS-exposed individuals are almost entirely absent. A small number of observational studies have reported lung function in adult survivors of preterm birth — with and without ACS exposure — but the sample sizes are insufficient to disentangle the effects of ACS from those of prematurity itself, postnatal interventions, and socioeconomic confounders accumulated over a lifetime [9]. This is the most significant evidence gap in ACS research: an intervention administered during a two-day window of fetal life may have consequences that take 50 years to manifest, and the studies designed to detect those consequences have not been conducted.</w:t>
      </w:r>
    </w:p>
    <w:p>
      <w:pPr>
        <w:spacing w:line="480" w:lineRule="auto"/>
      </w:pPr>
      <w:r>
        <w:rPr>
          <w:rFonts w:ascii="Times New Roman" w:hAnsi="Times New Roman"/>
          <w:b w:val="0"/>
          <w:i w:val="0"/>
          <w:sz w:val="24"/>
        </w:rPr>
        <w:t>Clinical Perspective: For the obstetrician administering ACS at 28 weeks, the evidence firmly supports the decision today: neonatal death is reduced by approximately one-quarter, and RDS by one-third. But what that decision means for the child at age 50 — their lung function, their cardiovascular risk, their cognitive trajectory — is completely unknown. Not because the effect does not exist, but because the follow-up studies were never funded. The first ACS recipients are now in their fifties; they represent an extraordinary and unexploited opportunity to answer these questions.</w:t>
      </w:r>
    </w:p>
    <w:p>
      <w:pPr>
        <w:spacing w:line="480" w:lineRule="auto"/>
      </w:pPr>
      <w:r>
        <w:rPr>
          <w:rFonts w:ascii="Times New Roman" w:hAnsi="Times New Roman"/>
          <w:b w:val="0"/>
          <w:i w:val="0"/>
          <w:sz w:val="24"/>
        </w:rPr>
        <w:t>&gt; Transition (ACS → Postnatal Corticosteroids): Unlike antenatal corticosteroids administered before birth with a 30-year follow-up record and broadly reassuring neurodevelopmental data, postnatal corticosteroids are given directly to the preterm infant and their long-term data reflect a persistent and precisely quantified tension between respiratory benefit and neurological risk — a tension that the ACS evidence base, for all its maturity, does not confront.</w:t>
      </w:r>
    </w:p>
    <w:p>
      <w:pPr>
        <w:pStyle w:val="Heading1"/>
      </w:pPr>
      <w:r>
        <w:rPr>
          <w:rFonts w:ascii="Times New Roman" w:hAnsi="Times New Roman"/>
          <w:color w:val="000000"/>
        </w:rPr>
        <w:t>3. Postnatal Corticosteroids: The Respiratory–Neurological Trade-off</w:t>
      </w:r>
    </w:p>
    <w:p>
      <w:pPr>
        <w:spacing w:line="480" w:lineRule="auto"/>
      </w:pPr>
      <w:r>
        <w:rPr>
          <w:rFonts w:ascii="Times New Roman" w:hAnsi="Times New Roman"/>
          <w:b w:val="0"/>
          <w:i w:val="0"/>
          <w:sz w:val="24"/>
        </w:rPr>
        <w:t>Anchor: This is the intervention for which the risk–benefit tension is most acute and most precisely quantified — the same glucocorticoid pathways that reduce BPD also increase cerebral palsy risk. Unlike ACS, where benefit is clear and risk is absent, postnatal corticosteroids force a calculation that the existing evidence can describe but not resolve.</w:t>
      </w:r>
    </w:p>
    <w:p>
      <w:pPr>
        <w:spacing w:line="480" w:lineRule="auto"/>
      </w:pPr>
      <w:r>
        <w:rPr>
          <w:rFonts w:ascii="Times New Roman" w:hAnsi="Times New Roman"/>
          <w:b w:val="0"/>
          <w:i w:val="0"/>
          <w:sz w:val="24"/>
        </w:rPr>
        <w:t>If antenatal corticosteroids represent the clearest success story in perinatal pharmacology, postnatal corticosteroids represent its most persistent dilemma. The same glucocorticoid receptor-mediated pathways that suppress lung inflammation and reduce the incidence of bronchopulmonary dysplasia also interfere with neuronal proliferation, myelination, and cerebellar development. Four decades of randomized trial data have mapped the contours of this trade-off with unusual precision, yet the optimal balance point — the regimen, timing, and patient population for which respiratory benefit most clearly outweighs neurological risk — remains contested.</w:t>
      </w:r>
    </w:p>
    <w:p>
      <w:pPr>
        <w:pStyle w:val="Heading2"/>
      </w:pPr>
      <w:r>
        <w:rPr>
          <w:rFonts w:ascii="Times New Roman" w:hAnsi="Times New Roman"/>
          <w:color w:val="000000"/>
        </w:rPr>
        <w:t>3.1 Early versus Late Administration: Timing Is Everything</w:t>
      </w:r>
    </w:p>
    <w:p>
      <w:pPr>
        <w:spacing w:line="480" w:lineRule="auto"/>
      </w:pPr>
      <w:r>
        <w:rPr>
          <w:rFonts w:ascii="Times New Roman" w:hAnsi="Times New Roman"/>
          <w:b w:val="0"/>
          <w:i w:val="0"/>
          <w:sz w:val="24"/>
        </w:rPr>
        <w:t>The Cochrane Neonatal Group has maintained separate systematic reviews for early (initiated before 8 days of life, updated 2017 and 2021) and late (initiated at or after 7 days, updated 2017 and 2021) postnatal corticosteroid administration — a distinction that reflects the fundamentally different risk–benefit calculus at different postnatal ages [12–15].</w:t>
      </w:r>
    </w:p>
    <w:p>
      <w:pPr>
        <w:spacing w:line="480" w:lineRule="auto"/>
      </w:pPr>
      <w:r>
        <w:rPr>
          <w:rFonts w:ascii="Times New Roman" w:hAnsi="Times New Roman"/>
          <w:b w:val="0"/>
          <w:i w:val="0"/>
          <w:sz w:val="24"/>
        </w:rPr>
        <w:t>Early systemic postnatal corticosteroids reduce the incidence of BPD at 36 weeks' postmenstrual age (RR 0.76, 95% CI 0.67–0.86; ARR ~10%, NNT ~10) and the composite outcome of death or BPD (RR 0.87, 95% CI 0.79–0.95) [14]. This pulmonary benefit comes at a well-characterized cost: an increased risk of cerebral palsy (RR 1.42, 95% CI 1.08–1.87), which translates to approximately one additional case of cerebral palsy for every 20 infants treated with early dexamethasone (absolute risk increase ~5%, NNH ~20) [12,14]. The 2021 update confirmed that this neurological signal is robust — present across multiple trials, consistent in direction, and not attenuated by statistical adjustment for gestational age or illness severity [14]. (The Cochrane cutoff for "early" changed from ≤8 days in the 2017 version to &lt;7 days in the 2021 update; the CP risk signal was consistent across both definitions, supporting the robustness of the finding. The GRADE certainty for this outcome is high (2021 Cochrane update), though the inherent limitations of neurodevelopmental assessment at 18–24 months — which is a limited predictor of school-age motor function and cerebral palsy diagnosis — warrant interpretive caution.)</w:t>
      </w:r>
    </w:p>
    <w:p>
      <w:pPr>
        <w:spacing w:line="480" w:lineRule="auto"/>
      </w:pPr>
      <w:r>
        <w:rPr>
          <w:rFonts w:ascii="Times New Roman" w:hAnsi="Times New Roman"/>
          <w:b w:val="0"/>
          <w:i w:val="0"/>
          <w:sz w:val="24"/>
        </w:rPr>
        <w:t>Late postnatal corticosteroids present a more favorable risk profile. The 2021 Cochrane update found that late initiation (≥ 7 days) reduced BPD (RR 0.80, 95% CI 0.70–0.91; ARR ~8%, NNT ~13) and the composite outcome of death or BPD (RR 0.83, 95% CI 0.73–0.94), without a statistically significant increase in cerebral palsy (RR 1.12, 95% CI 0.81–1.54; point-estimate NNH ~50, though the confidence interval does not exclude a clinically meaningful increase) [15]. The point estimate for cerebral palsy remains slightly elevated, meaning that a small neurological risk cannot be excluded, but the respiratory benefits are clearer and the risk–benefit balance more favorable than for early administration.</w:t>
      </w:r>
    </w:p>
    <w:p>
      <w:pPr>
        <w:spacing w:line="480" w:lineRule="auto"/>
      </w:pPr>
      <w:r>
        <w:rPr>
          <w:rFonts w:ascii="Times New Roman" w:hAnsi="Times New Roman"/>
          <w:b w:val="0"/>
          <w:i w:val="0"/>
          <w:sz w:val="24"/>
        </w:rPr>
        <w:t>This temporal gradient — early = high risk, late = lower risk — has a plausible biological basis. The preterm brain in the first week of life is undergoing explosive neuronal migration and synaptogenesis; glucocorticoid exposure during this window may trigger apoptosis in vulnerable neuronal populations, particularly cerebellar granule cells [8]. By the second week, these processes have partially stabilized, potentially rendering the brain less susceptible to glucocorticoid-mediated injury. The clinical implication is straightforward but operationally challenging: where possible, delay corticosteroid administration until the second week of life, reserving early use for infants at exceptionally high risk of severe BPD or death in whom the pulmonary benefit is judged to outweigh the cerebral palsy risk on an individual basis.</w:t>
      </w:r>
    </w:p>
    <w:p>
      <w:pPr>
        <w:pStyle w:val="Heading2"/>
      </w:pPr>
      <w:r>
        <w:rPr>
          <w:rFonts w:ascii="Times New Roman" w:hAnsi="Times New Roman"/>
          <w:color w:val="000000"/>
        </w:rPr>
        <w:t>3.2 Dexamethasone versus Hydrocortisone: Efficacy, Safety, and Uncertainty</w:t>
      </w:r>
    </w:p>
    <w:p>
      <w:pPr>
        <w:spacing w:line="480" w:lineRule="auto"/>
      </w:pPr>
      <w:r>
        <w:rPr>
          <w:rFonts w:ascii="Times New Roman" w:hAnsi="Times New Roman"/>
          <w:b w:val="0"/>
          <w:i w:val="0"/>
          <w:sz w:val="24"/>
        </w:rPr>
        <w:t>The choice between dexamethasone and hydrocortisone for postnatal treatment involves a familiar pharmacological narrative: greater potency comes with greater risk. Dexamethasone, a long-acting glucocorticoid with potent anti-inflammatory activity and minimal mineralocorticoid effect, is consistently more effective at reducing BPD than hydrocortisone. A 2017 Cochrane review of systemic corticosteroid regimens found that dexamethasone reduced BPD (RR 0.72, 95% CI 0.61–0.85) with stronger effect sizes than hydrocortisone (RR 0.86, 95% CI 0.71–1.05) [25]. However, the neurological risk appears disproportionately concentrated in dexamethasone-treated infants, with hydrocortisone showing a less pronounced increase in cerebral palsy risk.</w:t>
      </w:r>
    </w:p>
    <w:p>
      <w:pPr>
        <w:spacing w:line="480" w:lineRule="auto"/>
      </w:pPr>
      <w:r>
        <w:rPr>
          <w:rFonts w:ascii="Times New Roman" w:hAnsi="Times New Roman"/>
          <w:b w:val="0"/>
          <w:i w:val="0"/>
          <w:sz w:val="24"/>
        </w:rPr>
        <w:t>This efficacy–safety gradient has led to a pragmatic clinical approach in many NICUs: hydrocortisone is preferred for first-line treatment when postnatal corticosteroids are deemed necessary, with dexamethasone reserved for refractory or severe cases where the pulmonary situation is dire. The evidence supporting this stratified approach is observational and indirect — no adequately powered head-to-head trial has directly compared the two agents for long-term neurodevelopmental outcomes.</w:t>
      </w:r>
    </w:p>
    <w:p>
      <w:pPr>
        <w:spacing w:line="480" w:lineRule="auto"/>
      </w:pPr>
      <w:r>
        <w:rPr>
          <w:rFonts w:ascii="Times New Roman" w:hAnsi="Times New Roman"/>
          <w:b w:val="0"/>
          <w:i w:val="0"/>
          <w:sz w:val="24"/>
        </w:rPr>
        <w:t>A 2024 Cochrane overview of systematic reviews consolidating all corticosteroid evidence for BPD prevention and treatment confirmed the core findings of the individual reviews and highlighted the absence of data on patient-important outcomes beyond 18–24 months [26]. The overview noted that while the short-term evidence base is mature, the evidence required to inform a truly individualized risk–benefit calculation — incorporating gestational age, illness severity, genetic background, and family preferences — does not yet exist.</w:t>
      </w:r>
    </w:p>
    <w:p>
      <w:pPr>
        <w:pStyle w:val="Heading2"/>
      </w:pPr>
      <w:r>
        <w:rPr>
          <w:rFonts w:ascii="Times New Roman" w:hAnsi="Times New Roman"/>
          <w:color w:val="000000"/>
        </w:rPr>
        <w:t>3.3 Inhaled Corticosteroids: An Alternative Route, an Unresolved Question</w:t>
      </w:r>
    </w:p>
    <w:p>
      <w:pPr>
        <w:spacing w:line="480" w:lineRule="auto"/>
      </w:pPr>
      <w:r>
        <w:rPr>
          <w:rFonts w:ascii="Times New Roman" w:hAnsi="Times New Roman"/>
          <w:b w:val="0"/>
          <w:i w:val="0"/>
          <w:sz w:val="24"/>
        </w:rPr>
        <w:t>Inhaled corticosteroids offer the theoretical advantage of delivering anti-inflammatory therapy directly to the pulmonary epithelium while minimizing systemic absorption — an approach that, if effective, might uncouple the respiratory benefit from the neurological risk. The largest trial in this area, the NEUROSIS trial (n = 863), found that early inhaled budesonide reduced BPD (RR 0.74, 95% CI 0.60–0.91, NNT approximately 14) without increasing neurodevelopmental impairment at 18–24 months [36]. However, a post-hoc analysis suggested increased mortality in the budesonide group (RR 1.37, 95% CI 1.01–1.86; absolute risk increase ~5.6%, NNH ~18), a signal that warrants cautious interpretation given the borderline statistical significance and the trial's early termination. The 5-year follow-up of NEUROSIS reported no significant differences in cognitive outcomes, though the follow-up rate was below 60% and imprecision limits definitive conclusions. Two Cochrane reviews have further examined the evidence: one for early (≤ 2 weeks) and one for late (&gt; 2 weeks) initiation of inhaled corticosteroids for BPD prevention [27,28].</w:t>
      </w:r>
    </w:p>
    <w:p>
      <w:pPr>
        <w:spacing w:line="480" w:lineRule="auto"/>
      </w:pPr>
      <w:r>
        <w:rPr>
          <w:rFonts w:ascii="Times New Roman" w:hAnsi="Times New Roman"/>
          <w:b w:val="0"/>
          <w:i w:val="0"/>
          <w:sz w:val="24"/>
        </w:rPr>
        <w:t>The evidence is modest but suggestive. Early inhaled corticosteroids may reduce BPD (RR 0.76, 95% CI 0.63–0.93), though the estimate is imprecise and the quality of evidence is low to moderate [27]. Late inhaled corticosteroids show a trend toward reduced BPD that does not reach statistical significance (RR 0.90, 95% CI 0.73–1.11) [28]. Critically, systemic absorption of inhaled corticosteroids is not negligible in preterm infants — budesonide, beclomethasone, and fluticasone all produce measurable plasma concentrations — meaning that the "local therapy" premise may be overstated. Long-term neurodevelopmental follow-up data following inhaled corticosteroid administration are limited — the NEUROSIS trial reported outcomes at 18–24 months and 5 years, but with follow-up rates below 60% at the later time point, leaving substantial uncertainty about school-age and adolescent outcomes.</w:t>
      </w:r>
    </w:p>
    <w:p>
      <w:pPr>
        <w:pStyle w:val="Heading2"/>
      </w:pPr>
      <w:r>
        <w:rPr>
          <w:rFonts w:ascii="Times New Roman" w:hAnsi="Times New Roman"/>
          <w:color w:val="000000"/>
        </w:rPr>
        <w:t>3.4 The Individualized Decision: Where We Stand</w:t>
      </w:r>
    </w:p>
    <w:p>
      <w:pPr>
        <w:spacing w:line="480" w:lineRule="auto"/>
      </w:pPr>
      <w:r>
        <w:rPr>
          <w:rFonts w:ascii="Times New Roman" w:hAnsi="Times New Roman"/>
          <w:b w:val="0"/>
          <w:i w:val="0"/>
          <w:sz w:val="24"/>
        </w:rPr>
        <w:t>The evidence for postnatal corticosteroids, taken as a whole, supports the following clinical framework. Late initiation (after the first week) with a low-dose regimen — preferably hydrocortisone — reduces BPD without a clearly demonstrated increase in cerebral palsy. Early initiation with dexamethasone should be reserved for infants at exceptionally high risk, following a frank discussion with the family about the approximately 5% absolute increase in cerebral palsy risk. Inhaled corticosteroids remain an investigational approach whose long-term safety is unproven.</w:t>
      </w:r>
    </w:p>
    <w:p>
      <w:pPr>
        <w:spacing w:line="480" w:lineRule="auto"/>
      </w:pPr>
      <w:r>
        <w:rPr>
          <w:rFonts w:ascii="Times New Roman" w:hAnsi="Times New Roman"/>
          <w:b w:val="0"/>
          <w:i w:val="0"/>
          <w:sz w:val="24"/>
        </w:rPr>
        <w:t>Every element of this framework is supported by high-quality systematic review evidence — and every element is limited by follow-up that rarely extends beyond two years of age. The neurodevelopmental assessments in the Cochrane reviews are predominantly Bayley Scales of Infant Development scores at 18–24 months corrected age. The Bayley is a valuable instrument, but it is a poor predictor of school-age IQ, executive function, academic achievement, and adult cognitive function. Whether the cerebral palsy signal observed with early dexamethasone represents the full extent of neurological harm — or whether subtler effects on cognition, behavior, or educational attainment emerge later in childhood — cannot be determined from the existing evidence base. Until follow-up studies extend into school age and beyond, the true risk–benefit calculus of postnatal corticosteroids will remain incompletely characterized.</w:t>
      </w:r>
    </w:p>
    <w:p>
      <w:pPr>
        <w:spacing w:line="480" w:lineRule="auto"/>
      </w:pPr>
      <w:r>
        <w:rPr>
          <w:rFonts w:ascii="Times New Roman" w:hAnsi="Times New Roman"/>
          <w:b w:val="0"/>
          <w:i w:val="0"/>
          <w:sz w:val="24"/>
        </w:rPr>
        <w:t>Family Context: For parents of an extremely preterm infant facing a decision about postnatal corticosteroids, the available evidence provides partial reassurance but incomplete answers. Early dexamethasone reduces the chance of BPD (NNT ~10) but increases the risk of cerebral palsy (NNH ~20). Late hydrocortisone appears safer, but the evidence is less mature. Critically, a "normal" Bayley score at age 2 — the endpoint used in most trials — does not guarantee normal cognitive function at school age. The studies that could tell parents what to expect when their child starts school have not been conducted. This is the information families most need, and it is precisely what the evidence base cannot currently provide.</w:t>
      </w:r>
    </w:p>
    <w:p>
      <w:pPr>
        <w:pStyle w:val="Heading1"/>
      </w:pPr>
      <w:r>
        <w:rPr>
          <w:rFonts w:ascii="Times New Roman" w:hAnsi="Times New Roman"/>
          <w:color w:val="000000"/>
        </w:rPr>
        <w:t>4. Caffeine and Methylxanthines: The Unique Case of a NICU Intervention That Improves Long-Term Outcomes</w:t>
      </w:r>
    </w:p>
    <w:p>
      <w:pPr>
        <w:spacing w:line="480" w:lineRule="auto"/>
      </w:pPr>
      <w:r>
        <w:rPr>
          <w:rFonts w:ascii="Times New Roman" w:hAnsi="Times New Roman"/>
          <w:b w:val="0"/>
          <w:i w:val="0"/>
          <w:sz w:val="24"/>
        </w:rPr>
        <w:t>Among all respiratory-related interventions administered in the NICU, caffeine citrate occupies a singular position: it is one of the few therapies for which randomized trial evidence demonstrates not only short-term safety but improved long-term neurodevelopment. The Caffeine for Apnea of Prematurity (CAP) trial and its extended follow-up studies represent a landmark in neonatal follow-up research — and a striking contrast to the evidence gaps documented for the five intervention classes reviewed in Sections 2–3 and 5–7.</w:t>
      </w:r>
    </w:p>
    <w:p>
      <w:pPr>
        <w:pStyle w:val="Heading2"/>
      </w:pPr>
      <w:r>
        <w:rPr>
          <w:rFonts w:ascii="Times New Roman" w:hAnsi="Times New Roman"/>
          <w:color w:val="000000"/>
        </w:rPr>
        <w:t>4.1 The CAP Trial: Short-Term Efficacy</w:t>
      </w:r>
    </w:p>
    <w:p>
      <w:pPr>
        <w:spacing w:line="480" w:lineRule="auto"/>
      </w:pPr>
      <w:r>
        <w:rPr>
          <w:rFonts w:ascii="Times New Roman" w:hAnsi="Times New Roman"/>
          <w:b w:val="0"/>
          <w:i w:val="0"/>
          <w:sz w:val="24"/>
        </w:rPr>
        <w:t>The CAP trial, published in 2006, randomized 2,006 infants with birth weights of 500–1,250 g to receive either caffeine citrate (20 mg/kg loading dose, 5–10 mg/kg/day maintenance) or placebo, initiated within the first 10 days of life [39]. Caffeine reduced the incidence of bronchopulmonary dysplasia (36% vs. 47%; adjusted OR 0.63, 95% CI 0.52–0.76) and the composite outcome of death or neurodevelopmental disability at 18–21 months corrected age (adjusted OR 0.77, 95% CI 0.64–0.93). The therapy also reduced the duration of mechanical ventilation and the need for treatment of patent ductus arteriosus. These benefits were achieved without an increase in serious adverse events, establishing caffeine as one of the safest and most effective therapies in neonatal medicine. The 2025 European Guidelines recommend prophylactic caffeine for all infants &lt;32 weeks (A1 recommendation), reflecting the strength and consistency of this evidence.</w:t>
      </w:r>
    </w:p>
    <w:p>
      <w:pPr>
        <w:pStyle w:val="Heading2"/>
      </w:pPr>
      <w:r>
        <w:rPr>
          <w:rFonts w:ascii="Times New Roman" w:hAnsi="Times New Roman"/>
          <w:color w:val="000000"/>
        </w:rPr>
        <w:t>4.2 Long-Term Neurodevelopment: The CAP Follow-up Studies</w:t>
      </w:r>
    </w:p>
    <w:p>
      <w:pPr>
        <w:spacing w:line="480" w:lineRule="auto"/>
      </w:pPr>
      <w:r>
        <w:rPr>
          <w:rFonts w:ascii="Times New Roman" w:hAnsi="Times New Roman"/>
          <w:b w:val="0"/>
          <w:i w:val="0"/>
          <w:sz w:val="24"/>
        </w:rPr>
        <w:t>The 5-year follow-up of the CAP trial (Schmidt et al., JAMA 2012 [41]) assessed 1,640 of the original 2,006 children (82% follow-up rate — among the highest in neonatal follow-up research). Caffeine-treated children showed a reduced rate of cerebral palsy (4.4% vs. 7.3%; adjusted OR 0.58, 95% CI 0.37–0.92; borderline statistical significance given the upper CI bound of 0.92) and cognitive impairment (adjusted OR 0.62, 95% CI 0.43–0.88), but not the composite primary outcome of death or disability. The reduction in cerebral palsy was most pronounced for infants who received caffeine within the first 3 days of life, suggesting a time-sensitive neuroprotective window.</w:t>
      </w:r>
    </w:p>
    <w:p>
      <w:pPr>
        <w:spacing w:line="480" w:lineRule="auto"/>
      </w:pPr>
      <w:r>
        <w:rPr>
          <w:rFonts w:ascii="Times New Roman" w:hAnsi="Times New Roman"/>
          <w:b w:val="0"/>
          <w:i w:val="0"/>
          <w:sz w:val="24"/>
        </w:rPr>
        <w:t>The 11-year follow-up (Doyle et al., JAMA Pediatrics 2017 [42]) assessed 920 children (46% of the original cohort) and reported that caffeine-treated children had significantly better motor function (Movement ABC-2 scores: mean difference 2.6 points, 95% CI 0.6–4.6), reduced gross motor impairment (9.2% vs. 17.5%), and marginally better academic performance. Cognitive outcomes did not differ significantly between groups at 11 years (full-scale IQ: mean difference 1.2 points, 95% CI −1.8 to 4.2), suggesting that the cognitive benefits observed at 5 years may attenuate or that later-emerging environmental factors (education, socioeconomic status) become dominant determinants of cognitive function by school age.</w:t>
      </w:r>
    </w:p>
    <w:p>
      <w:pPr>
        <w:pStyle w:val="Heading2"/>
      </w:pPr>
      <w:r>
        <w:rPr>
          <w:rFonts w:ascii="Times New Roman" w:hAnsi="Times New Roman"/>
          <w:color w:val="000000"/>
        </w:rPr>
        <w:t>4.3 Pulmonary Outcomes at 11 Years</w:t>
      </w:r>
    </w:p>
    <w:p>
      <w:pPr>
        <w:spacing w:line="480" w:lineRule="auto"/>
      </w:pPr>
      <w:r>
        <w:rPr>
          <w:rFonts w:ascii="Times New Roman" w:hAnsi="Times New Roman"/>
          <w:b w:val="0"/>
          <w:i w:val="0"/>
          <w:sz w:val="24"/>
        </w:rPr>
        <w:t>The 11-year CAP follow-up [42] is one of the only neonatal trials to report pulmonary function data in school-age children. Caffeine-treated children showed modest improvements in expiratory airflow (mean FEV₁ difference approximately 3–4% predicted), but overall pulmonary function in both groups was substantially reduced compared with term-born controls. The most parsimonious interpretation is that caffeine — through its effects on reducing BPD, shortening ventilation duration, and reducing apneic episodes — modestly improves the respiratory trajectory of extremely preterm infants, but does not fully offset the long-term pulmonary consequences of extreme prematurity and its associated exposures.</w:t>
      </w:r>
    </w:p>
    <w:p>
      <w:pPr>
        <w:pStyle w:val="Heading2"/>
      </w:pPr>
      <w:r>
        <w:rPr>
          <w:rFonts w:ascii="Times New Roman" w:hAnsi="Times New Roman"/>
          <w:color w:val="000000"/>
        </w:rPr>
        <w:t>4.4 Contrast with Postnatal Corticosteroids</w:t>
      </w:r>
    </w:p>
    <w:p>
      <w:pPr>
        <w:spacing w:line="480" w:lineRule="auto"/>
      </w:pPr>
      <w:r>
        <w:rPr>
          <w:rFonts w:ascii="Times New Roman" w:hAnsi="Times New Roman"/>
          <w:b w:val="0"/>
          <w:i w:val="0"/>
          <w:sz w:val="24"/>
        </w:rPr>
        <w:t>The comparison between caffeine and postnatal corticosteroids is instructive and defines the extremes of the neonatal pharmacological risk–benefit spectrum:</w:t>
      </w:r>
    </w:p>
    <w:tbl>
      <w:tblPr>
        <w:tblStyle w:val="TableGrid"/>
        <w:tblW w:type="auto" w:w="0"/>
        <w:tblLook w:firstColumn="1" w:firstRow="1" w:lastColumn="0" w:lastRow="0" w:noHBand="0" w:noVBand="1" w:val="04A0"/>
      </w:tblPr>
      <w:tblGrid>
        <w:gridCol w:w="2878"/>
        <w:gridCol w:w="2878"/>
        <w:gridCol w:w="2878"/>
      </w:tblGrid>
      <w:tr>
        <w:tc>
          <w:tcPr>
            <w:tcW w:type="dxa" w:w="2878"/>
            <w:shd w:fill="D9E2F3" w:val="clear"/>
          </w:tcPr>
          <w:p/>
          <w:p>
            <w:r>
              <w:rPr>
                <w:rFonts w:ascii="Times New Roman" w:hAnsi="Times New Roman"/>
                <w:i w:val="0"/>
                <w:sz w:val="20"/>
              </w:rPr>
              <w:t>Feature</w:t>
            </w:r>
          </w:p>
        </w:tc>
        <w:tc>
          <w:tcPr>
            <w:tcW w:type="dxa" w:w="2878"/>
            <w:shd w:fill="D9E2F3" w:val="clear"/>
          </w:tcPr>
          <w:p/>
          <w:p>
            <w:r>
              <w:rPr>
                <w:rFonts w:ascii="Times New Roman" w:hAnsi="Times New Roman"/>
                <w:i w:val="0"/>
                <w:sz w:val="20"/>
              </w:rPr>
              <w:t>Caffeine (CAP)</w:t>
            </w:r>
          </w:p>
        </w:tc>
        <w:tc>
          <w:tcPr>
            <w:tcW w:type="dxa" w:w="2878"/>
            <w:shd w:fill="D9E2F3" w:val="clear"/>
          </w:tcPr>
          <w:p/>
          <w:p>
            <w:r>
              <w:rPr>
                <w:rFonts w:ascii="Times New Roman" w:hAnsi="Times New Roman"/>
                <w:i w:val="0"/>
                <w:sz w:val="20"/>
              </w:rPr>
              <w:t>Postnatal Corticosteroids (esp. early dexamethasone)</w:t>
            </w:r>
          </w:p>
        </w:tc>
      </w:tr>
      <w:tr>
        <w:tc>
          <w:tcPr>
            <w:tcW w:type="dxa" w:w="2878"/>
          </w:tcPr>
          <w:p/>
          <w:p>
            <w:r>
              <w:rPr>
                <w:rFonts w:ascii="Times New Roman" w:hAnsi="Times New Roman"/>
                <w:b/>
                <w:sz w:val="20"/>
              </w:rPr>
              <w:t>Short-term respiratory benefit</w:t>
            </w:r>
          </w:p>
        </w:tc>
        <w:tc>
          <w:tcPr>
            <w:tcW w:type="dxa" w:w="2878"/>
          </w:tcPr>
          <w:p/>
          <w:p>
            <w:r>
              <w:rPr>
                <w:rFonts w:ascii="Times New Roman" w:hAnsi="Times New Roman"/>
                <w:i w:val="0"/>
                <w:sz w:val="20"/>
              </w:rPr>
              <w:t>Reduces BPD (OR 0.63)</w:t>
            </w:r>
          </w:p>
        </w:tc>
        <w:tc>
          <w:tcPr>
            <w:tcW w:type="dxa" w:w="2878"/>
          </w:tcPr>
          <w:p/>
          <w:p>
            <w:r>
              <w:rPr>
                <w:rFonts w:ascii="Times New Roman" w:hAnsi="Times New Roman"/>
                <w:i w:val="0"/>
                <w:sz w:val="20"/>
              </w:rPr>
              <w:t>Reduces BPD (RR 0.76)</w:t>
            </w:r>
          </w:p>
        </w:tc>
      </w:tr>
      <w:tr>
        <w:tc>
          <w:tcPr>
            <w:tcW w:type="dxa" w:w="2878"/>
            <w:shd w:fill="F2F2F2" w:val="clear"/>
          </w:tcPr>
          <w:p/>
          <w:p>
            <w:r>
              <w:rPr>
                <w:rFonts w:ascii="Times New Roman" w:hAnsi="Times New Roman"/>
                <w:b/>
                <w:sz w:val="20"/>
              </w:rPr>
              <w:t>Long-term neurodevelopment</w:t>
            </w:r>
          </w:p>
        </w:tc>
        <w:tc>
          <w:tcPr>
            <w:tcW w:type="dxa" w:w="2878"/>
            <w:shd w:fill="F2F2F2" w:val="clear"/>
          </w:tcPr>
          <w:p/>
          <w:p>
            <w:r>
              <w:rPr>
                <w:rFonts w:ascii="Times New Roman" w:hAnsi="Times New Roman"/>
                <w:b/>
                <w:sz w:val="20"/>
              </w:rPr>
              <w:t>Improved</w:t>
            </w:r>
          </w:p>
          <w:p>
            <w:r>
              <w:rPr>
                <w:rFonts w:ascii="Times New Roman" w:hAnsi="Times New Roman"/>
                <w:i w:val="0"/>
                <w:sz w:val="20"/>
              </w:rPr>
              <w:t xml:space="preserve"> motor and cognitive outcomes at 5 yr</w:t>
            </w:r>
          </w:p>
        </w:tc>
        <w:tc>
          <w:tcPr>
            <w:tcW w:type="dxa" w:w="2878"/>
            <w:shd w:fill="F2F2F2" w:val="clear"/>
          </w:tcPr>
          <w:p/>
          <w:p>
            <w:r>
              <w:rPr>
                <w:rFonts w:ascii="Times New Roman" w:hAnsi="Times New Roman"/>
                <w:b/>
                <w:sz w:val="20"/>
              </w:rPr>
              <w:t>Increased</w:t>
            </w:r>
          </w:p>
          <w:p>
            <w:r>
              <w:rPr>
                <w:rFonts w:ascii="Times New Roman" w:hAnsi="Times New Roman"/>
                <w:i w:val="0"/>
                <w:sz w:val="20"/>
              </w:rPr>
              <w:t xml:space="preserve"> cerebral palsy (RR 1.42)</w:t>
            </w:r>
          </w:p>
        </w:tc>
      </w:tr>
      <w:tr>
        <w:tc>
          <w:tcPr>
            <w:tcW w:type="dxa" w:w="2878"/>
          </w:tcPr>
          <w:p/>
          <w:p>
            <w:r>
              <w:rPr>
                <w:rFonts w:ascii="Times New Roman" w:hAnsi="Times New Roman"/>
                <w:b/>
                <w:sz w:val="20"/>
              </w:rPr>
              <w:t>Follow-up duration</w:t>
            </w:r>
          </w:p>
        </w:tc>
        <w:tc>
          <w:tcPr>
            <w:tcW w:type="dxa" w:w="2878"/>
          </w:tcPr>
          <w:p/>
          <w:p>
            <w:r>
              <w:rPr>
                <w:rFonts w:ascii="Times New Roman" w:hAnsi="Times New Roman"/>
                <w:i w:val="0"/>
                <w:sz w:val="20"/>
              </w:rPr>
              <w:t>11 years</w:t>
            </w:r>
          </w:p>
        </w:tc>
        <w:tc>
          <w:tcPr>
            <w:tcW w:type="dxa" w:w="2878"/>
          </w:tcPr>
          <w:p/>
          <w:p>
            <w:r>
              <w:rPr>
                <w:rFonts w:ascii="Times New Roman" w:hAnsi="Times New Roman"/>
                <w:i w:val="0"/>
                <w:sz w:val="20"/>
              </w:rPr>
              <w:t>18–24 months (for most trials)</w:t>
            </w:r>
          </w:p>
        </w:tc>
      </w:tr>
      <w:tr>
        <w:tc>
          <w:tcPr>
            <w:tcW w:type="dxa" w:w="2878"/>
            <w:shd w:fill="F2F2F2" w:val="clear"/>
          </w:tcPr>
          <w:p/>
          <w:p>
            <w:r>
              <w:rPr>
                <w:rFonts w:ascii="Times New Roman" w:hAnsi="Times New Roman"/>
                <w:b/>
                <w:sz w:val="20"/>
              </w:rPr>
              <w:t>Follow-up rate at latest assessment</w:t>
            </w:r>
          </w:p>
        </w:tc>
        <w:tc>
          <w:tcPr>
            <w:tcW w:type="dxa" w:w="2878"/>
            <w:shd w:fill="F2F2F2" w:val="clear"/>
          </w:tcPr>
          <w:p/>
          <w:p>
            <w:r>
              <w:rPr>
                <w:rFonts w:ascii="Times New Roman" w:hAnsi="Times New Roman"/>
                <w:i w:val="0"/>
                <w:sz w:val="20"/>
              </w:rPr>
              <w:t>82% at 5 yr</w:t>
            </w:r>
          </w:p>
        </w:tc>
        <w:tc>
          <w:tcPr>
            <w:tcW w:type="dxa" w:w="2878"/>
            <w:shd w:fill="F2F2F2" w:val="clear"/>
          </w:tcPr>
          <w:p/>
          <w:p>
            <w:r>
              <w:rPr>
                <w:rFonts w:ascii="Times New Roman" w:hAnsi="Times New Roman"/>
                <w:i w:val="0"/>
                <w:sz w:val="20"/>
              </w:rPr>
              <w:t>&lt;60% in available studies</w:t>
            </w:r>
          </w:p>
        </w:tc>
      </w:tr>
      <w:tr>
        <w:tc>
          <w:tcPr>
            <w:tcW w:type="dxa" w:w="2878"/>
          </w:tcPr>
          <w:p/>
          <w:p>
            <w:r>
              <w:rPr>
                <w:rFonts w:ascii="Times New Roman" w:hAnsi="Times New Roman"/>
                <w:b/>
                <w:sz w:val="20"/>
              </w:rPr>
              <w:t>Risk–benefit consensus</w:t>
            </w:r>
          </w:p>
        </w:tc>
        <w:tc>
          <w:tcPr>
            <w:tcW w:type="dxa" w:w="2878"/>
          </w:tcPr>
          <w:p/>
          <w:p>
            <w:r>
              <w:rPr>
                <w:rFonts w:ascii="Times New Roman" w:hAnsi="Times New Roman"/>
                <w:i w:val="0"/>
                <w:sz w:val="20"/>
              </w:rPr>
              <w:t>Universal recommendation</w:t>
            </w:r>
          </w:p>
        </w:tc>
        <w:tc>
          <w:tcPr>
            <w:tcW w:type="dxa" w:w="2878"/>
          </w:tcPr>
          <w:p/>
          <w:p>
            <w:r>
              <w:rPr>
                <w:rFonts w:ascii="Times New Roman" w:hAnsi="Times New Roman"/>
                <w:i w:val="0"/>
                <w:sz w:val="20"/>
              </w:rPr>
              <w:t>Persistent controversy</w:t>
            </w:r>
          </w:p>
        </w:tc>
      </w:tr>
    </w:tbl>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This contrast underscores a fundamental principle: short-term respiratory benefit does not predict long-term neurodevelopmental safety. Two interventions that both reduce BPD can have opposite effects on the developing brain. For clinicians, caffeine represents the rare case where respiratory and neurodevelopmental outcomes are aligned — a profile that no postnatal corticosteroid regimen has yet replicated.</w:t>
      </w:r>
    </w:p>
    <w:p>
      <w:pPr>
        <w:pStyle w:val="Heading2"/>
      </w:pPr>
      <w:r>
        <w:rPr>
          <w:rFonts w:ascii="Times New Roman" w:hAnsi="Times New Roman"/>
          <w:color w:val="000000"/>
        </w:rPr>
        <w:t>4.5 Knowledge Gaps and Clinical Significance</w:t>
      </w:r>
    </w:p>
    <w:p>
      <w:pPr>
        <w:spacing w:line="480" w:lineRule="auto"/>
      </w:pPr>
      <w:r>
        <w:rPr>
          <w:rFonts w:ascii="Times New Roman" w:hAnsi="Times New Roman"/>
          <w:b w:val="0"/>
          <w:i w:val="0"/>
          <w:sz w:val="24"/>
        </w:rPr>
        <w:t>Despite the strength of the CAP evidence, important questions remain. The optimal timing of caffeine initiation (prophylactic vs. early treatment), the role of higher doses in infants with evolving BPD, and the mechanism by which caffeine reduces cerebral palsy — through reduced apnea/hypoxia, direct neuroprotection via adenosine receptor antagonism, or indirect effects through reduced ventilation and corticosteroid exposure — have not been fully elucidated. Furthermore, no data exist beyond 11 years of age [42]; the adult respiratory, cognitive, and cardiovascular outcomes of caffeine-treated extremely preterm infants are unknown.</w:t>
      </w:r>
    </w:p>
    <w:p>
      <w:pPr>
        <w:spacing w:line="480" w:lineRule="auto"/>
      </w:pPr>
      <w:r>
        <w:rPr>
          <w:rFonts w:ascii="Times New Roman" w:hAnsi="Times New Roman"/>
          <w:b w:val="0"/>
          <w:i w:val="0"/>
          <w:sz w:val="24"/>
        </w:rPr>
        <w:t>Clinical Significance for This Review: Caffeine is not one of the five primary intervention classes reviewed in this paper, but it is the intervention against which all others must be measured. It demonstrates that NICU pharmacotherapy can improve long-term outcomes — and it exposes, by contrast, how little we know about the long-term consequences of the interventions that are the focus of this review. When the CAP trial can achieve 82% follow-up at 5 years [41] and report school-age pulmonary function at 11 years [42], the absence of comparable data for ventilation strategies, surfactant preparations, and oxygen targets — all of which have been in clinical use for decades longer than caffeine — reflects a failure of research prioritization, not feasibility. (See Section 11.9 for a discussion of caffeine as a potential confounder and its interactions with other respiratory interventions.)</w:t>
      </w:r>
    </w:p>
    <w:p>
      <w:pPr>
        <w:pStyle w:val="Heading1"/>
      </w:pPr>
      <w:r>
        <w:rPr>
          <w:rFonts w:ascii="Times New Roman" w:hAnsi="Times New Roman"/>
          <w:color w:val="000000"/>
        </w:rPr>
        <w:t>5. Ventilation Strategies: Proven Short-Term Benefits, Missing Long-Term Data</w:t>
      </w:r>
    </w:p>
    <w:p>
      <w:pPr>
        <w:spacing w:line="480" w:lineRule="auto"/>
      </w:pPr>
      <w:r>
        <w:rPr>
          <w:rFonts w:ascii="Times New Roman" w:hAnsi="Times New Roman"/>
          <w:b w:val="0"/>
          <w:i w:val="0"/>
          <w:sz w:val="24"/>
        </w:rPr>
        <w:t>Anchor: This is the intervention class for which short-term evidence is strongest (20 RCTs, 1,358 infants for VTV vs. PLV) but long-term data are most conspicuously absent — no randomized trial has followed children beyond hospital discharge to compare long-term outcomes between VTV and PLV. The gap between the certainty of the recommendation and the ignorance of its lifelong consequences is wider here than for any other intervention in this review.</w:t>
      </w:r>
    </w:p>
    <w:p>
      <w:pPr>
        <w:spacing w:line="480" w:lineRule="auto"/>
      </w:pPr>
      <w:r>
        <w:rPr>
          <w:rFonts w:ascii="Times New Roman" w:hAnsi="Times New Roman"/>
          <w:b w:val="0"/>
          <w:i w:val="0"/>
          <w:sz w:val="24"/>
        </w:rPr>
        <w:t>Mechanical ventilation is simultaneously the most life-saving and the most inherently injurious intervention applied to the preterm lung. The same positive pressure that restores gas exchange also disrupts alveolar architecture, triggers pro-inflammatory cytokine cascades, and exposes the poorly compliant preterm lung to volutrauma, barotrauma, and atelectotrauma. The evolution of neonatal ventilation over the past three decades — from pressure-limited to volume-targeted modes, from invasive to non-invasive strategies, from high-frequency oscillation to non-invasive strategies — has been driven by the goal of minimizing this iatrogenic injury. The short-term evidence base for these innovations is robust. The long-term evidence base is, with few exceptions, absent.</w:t>
      </w:r>
    </w:p>
    <w:p>
      <w:pPr>
        <w:pStyle w:val="Heading2"/>
      </w:pPr>
      <w:r>
        <w:rPr>
          <w:rFonts w:ascii="Times New Roman" w:hAnsi="Times New Roman"/>
          <w:color w:val="000000"/>
        </w:rPr>
        <w:t>5.1 Volume-Targeted versus Pressure-Limited Ventilation: A Cochrane Success Story</w:t>
      </w:r>
    </w:p>
    <w:p>
      <w:pPr>
        <w:spacing w:line="480" w:lineRule="auto"/>
      </w:pPr>
      <w:r>
        <w:rPr>
          <w:rFonts w:ascii="Times New Roman" w:hAnsi="Times New Roman"/>
          <w:b w:val="0"/>
          <w:i w:val="0"/>
          <w:sz w:val="24"/>
        </w:rPr>
        <w:t>The 2017 Cochrane review comparing volume-targeted ventilation (VTV) with pressure-limited ventilation (PLV) represents one of the strongest bodies of evidence in neonatal respiratory care [5] (last search: January 2017; GRADE moderate-to-high certainty; this evidence has not been systematically updated in 9 years, and newer ventilation modes may alter the comparative effectiveness of VTV). Across 20 randomized trials enrolling 1,358 preterm infants, VTV reduced the composite outcome of death or BPD (RR 0.73, 95% CI 0.59–0.90; ARR ~14%, NNT ~7), pneumothorax (RR 0.52, 95% CI 0.31–0.87; ARR ~7%, NNT ~15), severe intraventricular hemorrhage (RR 0.53, 95% CI 0.35–0.82), and duration of mechanical ventilation (mean difference −1.35 days, 95% CI −1.83 to −0.86). The evidence was rated as moderate to high certainty, and the findings are consistent with a biologically plausible mechanism: VTV limits tidal volume within a preset range, thereby reducing the cyclical overdistension that drives ventilator-induced lung injury.</w:t>
      </w:r>
    </w:p>
    <w:p>
      <w:pPr>
        <w:spacing w:line="480" w:lineRule="auto"/>
      </w:pPr>
      <w:r>
        <w:rPr>
          <w:rFonts w:ascii="Times New Roman" w:hAnsi="Times New Roman"/>
          <w:b w:val="0"/>
          <w:i w:val="0"/>
          <w:sz w:val="24"/>
        </w:rPr>
        <w:t>The long-term consequences of this short-term benefit are unknown. The Cochrane review reported that no trial had followed children beyond hospital discharge to assess pulmonary function, neurodevelopment, or respiratory morbidity at school age or later. This is not merely an absence of data — this represents a critical gap in the evidence base. Volume-targeted ventilation reduces BPD by approximately 27%, and BPD is the dominant predictor of abnormal lung function and respiratory morbidity in childhood and beyond. It is therefore reasonable to infer that VTV improves long-term respiratory health through its effect on BPD.  The contrast is instructive: for the short-term question "does VTV reduce BPD?", the evidence is as strong as any in neonatology — 20 RCTs, 1,358 infants, consistent effect direction across trials, NNT of 7. For the long-term question "does VTV improve adult lung function?", the evidence is as absent as LISA's entire follow-up literature. This asymmetry — between the certainty with which we recommend VTV and the ignorance with which we acknowledge its lifelong consequences — is not unique to ventilation. It is the central finding of this review.</w:t>
      </w:r>
    </w:p>
    <w:p>
      <w:pPr>
        <w:pStyle w:val="Heading2"/>
      </w:pPr>
      <w:r>
        <w:rPr>
          <w:rFonts w:ascii="Times New Roman" w:hAnsi="Times New Roman"/>
          <w:color w:val="000000"/>
        </w:rPr>
        <w:t>5.2 Non-Invasive Strategies: NIPPV, CPAP, and the Quest to Avoid Intubation</w:t>
      </w:r>
    </w:p>
    <w:p>
      <w:pPr>
        <w:spacing w:line="480" w:lineRule="auto"/>
      </w:pPr>
      <w:r>
        <w:rPr>
          <w:rFonts w:ascii="Times New Roman" w:hAnsi="Times New Roman"/>
          <w:b w:val="0"/>
          <w:i w:val="0"/>
          <w:sz w:val="24"/>
        </w:rPr>
        <w:t>The shift from invasive to non-invasive respiratory support has been the defining trend in neonatal ventilation over the past two decades. Two Cochrane reviews capture the key comparisons.</w:t>
      </w:r>
    </w:p>
    <w:p>
      <w:pPr>
        <w:spacing w:line="480" w:lineRule="auto"/>
      </w:pPr>
      <w:r>
        <w:rPr>
          <w:rFonts w:ascii="Times New Roman" w:hAnsi="Times New Roman"/>
          <w:b w:val="0"/>
          <w:i w:val="0"/>
          <w:sz w:val="24"/>
        </w:rPr>
        <w:t>Early nasal intermittent positive pressure ventilation (NIPPV) compared with early nasal continuous positive airway pressure (NCPAP) reduces the rate of extubation failure in post-extubation trials (RR 0.56, 95% CI 0.41–0.78; ARR ~17%, NNT ~6) and may reduce BPD (RR 0.77, 95% CI 0.58–1.02), though the latter estimate crosses the null [29]. Prophylactic CPAP initiated in the delivery room, compared with immediate intubation and surfactant administration, reduces the composite outcome of death or BPD (RR 0.89, 95% CI 0.81–0.97) [30]. These findings have contributed to a widespread clinical preference for non-invasive strategies as first-line respiratory support, with intubation reserved for infants who fail a trial of CPAP or NIPPV.</w:t>
      </w:r>
    </w:p>
    <w:p>
      <w:pPr>
        <w:spacing w:line="480" w:lineRule="auto"/>
      </w:pPr>
      <w:r>
        <w:rPr>
          <w:rFonts w:ascii="Times New Roman" w:hAnsi="Times New Roman"/>
          <w:b w:val="0"/>
          <w:i w:val="0"/>
          <w:sz w:val="24"/>
        </w:rPr>
        <w:t>Once again, long-term follow-up data are minimal. The Cochrane reviews report neurodevelopmental outcomes at 18–24 months for a subset of trials, with no significant differences between groups [29,30]. Pulmonary function, cognitive performance, and quality of life at school age or beyond have not been reported. The rationale for preferring non-invasive strategies — that avoiding intubation reduces lung injury and thereby improves long-term respiratory health — is biologically coherent but unproven.</w:t>
      </w:r>
    </w:p>
    <w:p>
      <w:pPr>
        <w:pStyle w:val="Heading2"/>
      </w:pPr>
      <w:r>
        <w:rPr>
          <w:rFonts w:ascii="Times New Roman" w:hAnsi="Times New Roman"/>
          <w:color w:val="000000"/>
        </w:rPr>
        <w:t>5.3 High-Frequency Oscillatory Ventilation: A Technology in Search of an Indication</w:t>
      </w:r>
    </w:p>
    <w:p>
      <w:pPr>
        <w:spacing w:line="480" w:lineRule="auto"/>
      </w:pPr>
      <w:r>
        <w:rPr>
          <w:rFonts w:ascii="Times New Roman" w:hAnsi="Times New Roman"/>
          <w:b w:val="0"/>
          <w:i w:val="0"/>
          <w:sz w:val="24"/>
        </w:rPr>
        <w:t>Elective high-frequency oscillatory ventilation (HFOV), compared with conventional ventilation, does not reduce mortality or BPD (RR 0.95, 95% CI 0.83–1.09; the near-null effect translates to a very large NNT, reinforcing that HFOV does not provide a clinically meaningful advantage for these outcomes) [31]. A modest reduction in severe intraventricular hemorrhage (RR 0.72, 95% CI 0.52–0.99) has been observed, but this finding is inconsistent across trials and its clinical significance is debated. HFOV has therefore settled into a niche role — rescue therapy for infants with severe respiratory failure refractory to conventional ventilation — rather than a first-line strategy.</w:t>
      </w:r>
    </w:p>
    <w:p>
      <w:pPr>
        <w:spacing w:line="480" w:lineRule="auto"/>
      </w:pPr>
      <w:r>
        <w:rPr>
          <w:rFonts w:ascii="Times New Roman" w:hAnsi="Times New Roman"/>
          <w:b w:val="0"/>
          <w:i w:val="0"/>
          <w:sz w:val="24"/>
        </w:rPr>
        <w:t>The long-term pulmonary and neurodevelopmental outcomes of HFOV-treated infants are, as for other ventilation modes, limited to 18–24 month assessments. A 2019 meta-analysis of noninvasive HFOV as post-extubation respiratory support found reduced extubation failure (RR 0.48, 95% CI 0.32–0.72) compared with NCPAP, but again with no data beyond the neonatal period [32].</w:t>
      </w:r>
    </w:p>
    <w:p>
      <w:pPr>
        <w:pStyle w:val="Heading2"/>
      </w:pPr>
      <w:r>
        <w:rPr>
          <w:rFonts w:ascii="Times New Roman" w:hAnsi="Times New Roman"/>
          <w:color w:val="000000"/>
        </w:rPr>
        <w:t>5.4 The Follow-up Gap: Why It Matters</w:t>
      </w:r>
    </w:p>
    <w:p>
      <w:pPr>
        <w:spacing w:line="480" w:lineRule="auto"/>
      </w:pPr>
      <w:r>
        <w:rPr>
          <w:rFonts w:ascii="Times New Roman" w:hAnsi="Times New Roman"/>
          <w:b w:val="0"/>
          <w:i w:val="0"/>
          <w:sz w:val="24"/>
        </w:rPr>
        <w:t>The ventilation evidence base illustrates the central challenge of this review in microcosm. For volume-targeted ventilation, the Cochrane evidence is robust — 20 trials, 1,358 infants, consistent benefits — yet the most basic long-term question ("does VTV improve pulmonary function at school age?") has no answer. This gap is not unique to VTV; it applies with equal force to NIPPV, CPAP, HFOV, and every other ventilation modality reviewed above.</w:t>
      </w:r>
    </w:p>
    <w:p>
      <w:pPr>
        <w:spacing w:line="480" w:lineRule="auto"/>
      </w:pPr>
      <w:r>
        <w:rPr>
          <w:rFonts w:ascii="Times New Roman" w:hAnsi="Times New Roman"/>
          <w:b w:val="0"/>
          <w:i w:val="0"/>
          <w:sz w:val="24"/>
        </w:rPr>
        <w:t>Clinical Perspective: The ventilation evidence base embodies a pattern that recurs across every intervention reviewed in this paper: high-certainty evidence for short-term outcomes, near-total absence of evidence for outcomes beyond two years of age. This gap is not merely an academic concern. Ventilation strategies differ in their mechanisms of lung injury — volutrauma, atelectotrauma, biotrauma — and these mechanisms may have distinct long-term signatures. An infant ventilated with VTV may have a different pulmonary trajectory at age 10 than an infant ventilated with PLV, even if both had BPD at 36 weeks. Without follow-up that extends into school age and beyond, we cannot know whether the ventilation choices made in the first weeks of life matter for the respiratory health of the adult those infants will become.</w:t>
      </w:r>
    </w:p>
    <w:p>
      <w:pPr>
        <w:spacing w:line="480" w:lineRule="auto"/>
      </w:pPr>
      <w:r>
        <w:rPr>
          <w:rFonts w:ascii="Times New Roman" w:hAnsi="Times New Roman"/>
          <w:b w:val="0"/>
          <w:i w:val="0"/>
          <w:sz w:val="24"/>
        </w:rPr>
        <w:t>The research infrastructure to close this gap exists. The Victorian Infant Collaborative Study (VICS) in Australia, the EPICure studies in the United Kingdom and Ireland, and the Neonatal Research Network in the United States have all demonstrated the feasibility of longitudinal follow-up into adolescence and adulthood. What is missing is not the capacity to follow children, but the commitment to do so — and the funding to sustain it.</w:t>
      </w:r>
    </w:p>
    <w:p>
      <w:pPr>
        <w:spacing w:line="480" w:lineRule="auto"/>
      </w:pPr>
      <w:r>
        <w:rPr>
          <w:rFonts w:ascii="Times New Roman" w:hAnsi="Times New Roman"/>
          <w:b w:val="0"/>
          <w:i w:val="0"/>
          <w:sz w:val="24"/>
        </w:rPr>
        <w:t>&gt; Transition (Ventilation → Surfactant): Whereas ventilation strategies operate through a physical mechanism — limiting the mechanical forces that injure the preterm lung — surfactant therapy addresses the underlying biochemical deficiency directly. Yet the long-term evidence base for both is similarly impoverished: decades of clinical use, robust short-term efficacy data, and near-zero follow-up beyond early childhood. The distinction between physical and biochemical intervention has not translated into a meaningful distinction in evidence quality for long-term outcomes.</w:t>
      </w:r>
    </w:p>
    <w:p>
      <w:pPr>
        <w:pStyle w:val="Heading1"/>
      </w:pPr>
      <w:r>
        <w:rPr>
          <w:rFonts w:ascii="Times New Roman" w:hAnsi="Times New Roman"/>
          <w:color w:val="000000"/>
        </w:rPr>
        <w:t>6. Surfactant Therapy: Transforming NRDS Survival, Awaiting Long-Term Data</w:t>
      </w:r>
    </w:p>
    <w:p>
      <w:pPr>
        <w:spacing w:line="480" w:lineRule="auto"/>
      </w:pPr>
      <w:r>
        <w:rPr>
          <w:rFonts w:ascii="Times New Roman" w:hAnsi="Times New Roman"/>
          <w:b w:val="0"/>
          <w:i w:val="0"/>
          <w:sz w:val="24"/>
        </w:rPr>
        <w:t>Anchor: This is the intervention for which the evidence base is most paradoxical — the therapy that most directly and elegantly addresses the biochemical defect of NRDS, delivered to the first generation of recipients now in their 30s, yet with zero trial data comparing long-term outcomes between surfactant preparations and zero LISA follow-up until 2026. The natural experiment exists; the systematic study of it does not.</w:t>
      </w:r>
    </w:p>
    <w:p>
      <w:pPr>
        <w:spacing w:line="480" w:lineRule="auto"/>
      </w:pPr>
      <w:r>
        <w:rPr>
          <w:rFonts w:ascii="Times New Roman" w:hAnsi="Times New Roman"/>
          <w:b w:val="0"/>
          <w:i w:val="0"/>
          <w:sz w:val="24"/>
        </w:rPr>
        <w:t>Exogenous surfactant replacement represents the most direct and mechanistically elegant intervention for NRDS. By replenishing the phospholipid and protein components that the preterm lung cannot yet produce, surfactant reduces alveolar surface tension, stabilizes terminal airways, and improves ventilation–perfusion matching within minutes of administration. Its introduction into clinical practice in the early 1990s transformed NRDS from a disease with mortality exceeding 50% in extremely preterm infants to one in which death from acute respiratory failure is now uncommon [4]. The short-term efficacy of surfactant is not in question. The long-term consequences — of both surfactant itself and the method by which it is delivered — are almost entirely unknown.</w:t>
      </w:r>
    </w:p>
    <w:p>
      <w:pPr>
        <w:pStyle w:val="Heading2"/>
      </w:pPr>
      <w:r>
        <w:rPr>
          <w:rFonts w:ascii="Times New Roman" w:hAnsi="Times New Roman"/>
          <w:color w:val="000000"/>
        </w:rPr>
        <w:t>6.1 Animal-Derived Surfactants: Comparative Efficacy</w:t>
      </w:r>
    </w:p>
    <w:p>
      <w:pPr>
        <w:spacing w:line="480" w:lineRule="auto"/>
      </w:pPr>
      <w:r>
        <w:rPr>
          <w:rFonts w:ascii="Times New Roman" w:hAnsi="Times New Roman"/>
          <w:b w:val="0"/>
          <w:i w:val="0"/>
          <w:sz w:val="24"/>
        </w:rPr>
        <w:t>A 2015 Cochrane review comparing animal-derived surfactant preparations found that poractant alfa (derived from porcine lung) was associated with lower mortality compared with beractant (bovine lung extract) (RR 0.79, 95% CI 0.65–0.96; ARR ~4%, NNT ~25) and a reduced need for repeat dosing [33]. Calfactant (calf lung lavage) showed comparable efficacy to beractant. The absolute differences in outcomes were modest, and all animal-derived preparations substantially outperform synthetic surfactants lacking surfactant protein B and C analogs, which have largely been abandoned in clinical practice.</w:t>
      </w:r>
    </w:p>
    <w:p>
      <w:pPr>
        <w:spacing w:line="480" w:lineRule="auto"/>
      </w:pPr>
      <w:r>
        <w:rPr>
          <w:rFonts w:ascii="Times New Roman" w:hAnsi="Times New Roman"/>
          <w:b w:val="0"/>
          <w:i w:val="0"/>
          <w:sz w:val="24"/>
        </w:rPr>
        <w:t>These efficacy data are based on short-term outcomes — death, BPD, pneumothorax, need for re-treatment — measured during the NICU stay. No trial comparing surfactant preparations has reported pulmonary function, neurodevelopment, or quality of life beyond hospital discharge. Given that the choice of surfactant preparation influences the degree of pulmonary inflammation in the acute phase (poractant alfa appears to modulate inflammatory cytokine release more effectively than beractant in some studies), it is plausible that the preparation used in the first hours of life could have consequences for long-term lung health.  Compare this with ACS, where preparation choice (dexamethasone vs betamethasone) has been studied in a network meta-analysis of over 11,000 women with long-term neurodevelopmental follow-up in over a million children. The evidence gap between these two "preparation choice" questions — one studied exhaustively, one not studied at all — illustrates how unevenly neonatal evidence has accumulated.</w:t>
      </w:r>
    </w:p>
    <w:p>
      <w:pPr>
        <w:pStyle w:val="Heading2"/>
      </w:pPr>
      <w:r>
        <w:rPr>
          <w:rFonts w:ascii="Times New Roman" w:hAnsi="Times New Roman"/>
          <w:color w:val="000000"/>
        </w:rPr>
        <w:t>6.2 The LISA Revolution: Less Invasive Surfactant Administration</w:t>
      </w:r>
    </w:p>
    <w:p>
      <w:pPr>
        <w:spacing w:line="480" w:lineRule="auto"/>
      </w:pPr>
      <w:r>
        <w:rPr>
          <w:rFonts w:ascii="Times New Roman" w:hAnsi="Times New Roman"/>
          <w:b w:val="0"/>
          <w:i w:val="0"/>
          <w:sz w:val="24"/>
        </w:rPr>
        <w:t>The most important innovation in surfactant therapy in the past decade has been the shift toward less invasive methods of administration. Traditional surfactant delivery required endotracheal intubation and mechanical ventilation — the very interventions that surfactant was intended to minimize. Less invasive surfactant administration (LISA), also known as minimally invasive surfactant therapy (MIST), delivers surfactant through a thin catheter inserted into the trachea while the infant breathes spontaneously on CPAP. This approach preserves the benefits of spontaneous respiration and avoids the barotrauma and volutrauma associated with intubation and positive-pressure ventilation.</w:t>
      </w:r>
    </w:p>
    <w:p>
      <w:pPr>
        <w:spacing w:line="480" w:lineRule="auto"/>
      </w:pPr>
      <w:r>
        <w:rPr>
          <w:rFonts w:ascii="Times New Roman" w:hAnsi="Times New Roman"/>
          <w:b w:val="0"/>
          <w:i w:val="0"/>
          <w:sz w:val="24"/>
        </w:rPr>
        <w:t>A 2021 Cochrane review of surfactant therapy via thin catheter, encompassing 16 trials and 2,164 preterm infants, found that LISA reduced the composite outcome of death or BPD (RR 0.59, 95% CI 0.48–0.73; ARR ~16%, NNT ~6), the need for mechanical ventilation within 72 hours (RR 0.63, 95% CI 0.54–0.77), and severe intraventricular hemorrhage (RR 0.63, 95% CI 0.48–0.83) [16]. The evidence was rated as moderate certainty (GRADE). Critically, all outcomes in this Cochrane review are short-term — measured during the NICU stay. The review contains no data on pulmonary function, neurodevelopment, respiratory morbidity, or quality of life at any age beyond hospital discharge. This is not a limitation of the review but of the underlying evidence base: at the time of the review, no LISA trial had followed children beyond 36 weeks' postmenstrual age. The first such data — Dorner et al. (JAMA Network Open, 2026), a secondary analysis of 180 infants followed to 2 years — appeared after the Cochrane search closed, and represents a landmark first step toward filling this G4 gap. These effect sizes are clinically meaningful and have led to LISA being adopted as the preferred method of surfactant delivery in many European NICUs, with the 2022 European Consensus Guidelines recommending LISA as the first-line approach for spontaneously breathing preterm infants [1]. The 2025 update strengthens this to an A1 recommendation — the strongest level — making LISA the default surfactant delivery method.</w:t>
      </w:r>
    </w:p>
    <w:p>
      <w:pPr>
        <w:spacing w:line="480" w:lineRule="auto"/>
      </w:pPr>
      <w:r>
        <w:rPr>
          <w:rFonts w:ascii="Times New Roman" w:hAnsi="Times New Roman"/>
          <w:b w:val="0"/>
          <w:i w:val="0"/>
          <w:sz w:val="24"/>
        </w:rPr>
        <w:t>Global Health Context: The evidence supporting LISA comes predominantly from well-resourced European NICUs with established CPAP infrastructure, video laryngoscopy equipment, and experienced operators. The 2025 EU Guidelines assume access to these resources. In settings where CPAP availability is limited, surfactant costs are prohibitive, or operator training is unavailable — which describes most NICUs in low- and middle-income countries — the risk-benefit calculus for LISA may differ substantially. The evidence gaps described above, already severe in high-income settings (G4: zero long-term follow-up until 2026), are magnified in LMIC contexts where both the intervention and the follow-up infrastructure are scarcer. WHO ACTION trial data on ACS in LMIC settings provide a cautionary example of how intervention effects can differ across contexts [ref: WHO ACTION, Lancet 2020].</w:t>
      </w:r>
    </w:p>
    <w:p>
      <w:pPr>
        <w:spacing w:line="480" w:lineRule="auto"/>
      </w:pPr>
      <w:r>
        <w:rPr>
          <w:rFonts w:ascii="Times New Roman" w:hAnsi="Times New Roman"/>
          <w:b w:val="0"/>
          <w:i w:val="0"/>
          <w:sz w:val="24"/>
        </w:rPr>
        <w:t>The long-term follow-up data for LISA are absent. The Cochrane review noted that no trial had reported outcomes beyond 36 weeks' postmenstrual age. At the time of this writing, there are no published data on pulmonary function, neurodevelopment, respiratory morbidity, or quality of life at any age beyond the neonatal period for infants who received surfactant via LISA compared with those who received it via traditional intubation–surfactant–extubation (INSURE). The first LISA trials enrolled infants in the early 2010s, meaning the earliest LISA-treated cohort is now approaching adolescence — and we lack systematic data on their lung function, cognitive development, or quality of life.</w:t>
      </w:r>
    </w:p>
    <w:p>
      <w:pPr>
        <w:spacing w:line="480" w:lineRule="auto"/>
      </w:pPr>
      <w:r>
        <w:rPr>
          <w:rFonts w:ascii="Times New Roman" w:hAnsi="Times New Roman"/>
          <w:b w:val="0"/>
          <w:i w:val="0"/>
          <w:sz w:val="24"/>
        </w:rPr>
        <w:t>Clinical Perspective: For the neonatologist choosing between LISA and INSURE, the short-term evidence favors LISA: a 41% relative reduction in death or BPD, corresponding to an NNT of approximately 6. But this decision — now standard care across European NICUs — is being made without even the most basic long-term safety data. LISA is the only A1-recommended intervention in the 2025 European RDS Guidelines for which no follow-up data of any kind existed until very recently (see Dorner et al., JAMA Netw Open, 2026 [40] — the first LISA follow-up study, reporting 2-year outcomes in 180 infants). The situation is unprecedented: an intervention adopted at scale, on the strongest recommendation level, with near-zero knowledge of its long-term consequences.</w:t>
      </w:r>
    </w:p>
    <w:p>
      <w:pPr>
        <w:pStyle w:val="Heading2"/>
      </w:pPr>
      <w:r>
        <w:rPr>
          <w:rFonts w:ascii="Times New Roman" w:hAnsi="Times New Roman"/>
          <w:color w:val="000000"/>
        </w:rPr>
        <w:t>6.3 Combination Therapy: Surfactant plus Budesonide</w:t>
      </w:r>
    </w:p>
    <w:p>
      <w:pPr>
        <w:spacing w:line="480" w:lineRule="auto"/>
      </w:pPr>
      <w:r>
        <w:rPr>
          <w:rFonts w:ascii="Times New Roman" w:hAnsi="Times New Roman"/>
          <w:b w:val="0"/>
          <w:i w:val="0"/>
          <w:sz w:val="24"/>
        </w:rPr>
        <w:t>The recognition that pulmonary inflammation is a central driver of BPD pathogenesis has led to interest in combining surfactant with anti-inflammatory agents, particularly the inhaled corticosteroid budesonide. A 2021 Cochrane protocol and subsequent studies have explored intratracheal budesonide mixed with surfactant, administered as a single combined preparation [34]. Early randomized trials have reported reductions in BPD (RR 0.58, 95% CI 0.44–0.77 in one meta-analysis of small trials), but the evidence is preliminary, the optimal dosing regimen is undefined, and — in a now-familiar refrain — no long-term follow-up data have been published.</w:t>
      </w:r>
    </w:p>
    <w:p>
      <w:pPr>
        <w:spacing w:line="480" w:lineRule="auto"/>
      </w:pPr>
      <w:r>
        <w:rPr>
          <w:rFonts w:ascii="Times New Roman" w:hAnsi="Times New Roman"/>
          <w:b w:val="0"/>
          <w:i w:val="0"/>
          <w:sz w:val="24"/>
        </w:rPr>
        <w:t>The budesonide–surfactant combination illustrates a broader challenge in neonatal therapeutics: an intervention that is pharmacologically rational, supported by short-term efficacy data, and rapidly adopted into practice may have long-term effects — on lung growth, on alveolar development, on systemic glucocorticoid exposure — that will not be detected for years. The enthusiasm for combination therapy is understandable. The absence of safety data extending beyond the NICU is concerning.</w:t>
      </w:r>
    </w:p>
    <w:p>
      <w:pPr>
        <w:pStyle w:val="Heading2"/>
      </w:pPr>
      <w:r>
        <w:rPr>
          <w:rFonts w:ascii="Times New Roman" w:hAnsi="Times New Roman"/>
          <w:color w:val="000000"/>
        </w:rPr>
        <w:t>6.4 The Historical Natural Experiment</w:t>
      </w:r>
    </w:p>
    <w:p>
      <w:pPr>
        <w:spacing w:line="480" w:lineRule="auto"/>
      </w:pPr>
      <w:r>
        <w:rPr>
          <w:rFonts w:ascii="Times New Roman" w:hAnsi="Times New Roman"/>
          <w:b w:val="0"/>
          <w:i w:val="0"/>
          <w:sz w:val="24"/>
        </w:rPr>
        <w:t>The first generation of surfactant-treated infants is now in its fourth decade of life. This represents an extraordinary — and largely unexploited — opportunity to study the life-course consequences of neonatal respiratory intervention. Infants who received surfactant in the early 1990s as part of the pivotal trials are now adults in their 30s, and the contrast between surfactant-treated survivors and historical controls who received only mechanical ventilation could provide unique insights into whether early surfactant therapy independently influences adult lung health. A small number of cohort studies have reported lung function in adult survivors of preterm birth, but none has specifically compared surfactant-treated and surfactant-naive survivors with adequate statistical power [9]. This is a missed opportunity that the neonatal research community should urgently address.</w:t>
      </w:r>
    </w:p>
    <w:p>
      <w:pPr>
        <w:spacing w:line="480" w:lineRule="auto"/>
      </w:pPr>
      <w:r>
        <w:rPr>
          <w:rFonts w:ascii="Times New Roman" w:hAnsi="Times New Roman"/>
          <w:b w:val="0"/>
          <w:i w:val="0"/>
          <w:sz w:val="24"/>
        </w:rPr>
        <w:t>&gt; Transition (Surfactant → Oxygen): Surfactant and oxygen therapy represent two poles of neonatal respiratory intervention — one replenishes a missing molecule with clear short-term benefit and hypothetical long-term risk; the other titrates the most fundamental substrate of aerobic metabolism for which long-term risks (mortality vs. retinopathy trade-off) have been demonstrated through the most rigorous follow-up in neonatal respiratory research. This contrast — between interventions for which long-term safety is assumed and those for which it has been actively investigated — defines the uneven landscape of neonatal evidence.</w:t>
      </w:r>
    </w:p>
    <w:p>
      <w:pPr>
        <w:pStyle w:val="Heading1"/>
      </w:pPr>
      <w:r>
        <w:rPr>
          <w:rFonts w:ascii="Times New Roman" w:hAnsi="Times New Roman"/>
          <w:color w:val="000000"/>
        </w:rPr>
        <w:t>7. Oxygen Therapy: Optimal Targets and Distant Trade-offs</w:t>
      </w:r>
    </w:p>
    <w:p>
      <w:pPr>
        <w:spacing w:line="480" w:lineRule="auto"/>
      </w:pPr>
      <w:r>
        <w:rPr>
          <w:rFonts w:ascii="Times New Roman" w:hAnsi="Times New Roman"/>
          <w:b w:val="0"/>
          <w:i w:val="0"/>
          <w:sz w:val="24"/>
        </w:rPr>
        <w:t>Anchor: This is the intervention for which competing physiological risks — hypoxic organ injury versus hyperoxic retinopathy and lung damage — create the most complex clinical calculus, and for which the most rigorous long-term follow-up of any NICU respiratory intervention exists, yet still ends at five years with unresolved questions about the oxygen saturation trajectory that optimizes life-course health.</w:t>
      </w:r>
    </w:p>
    <w:p>
      <w:pPr>
        <w:spacing w:line="480" w:lineRule="auto"/>
      </w:pPr>
      <w:r>
        <w:rPr>
          <w:rFonts w:ascii="Times New Roman" w:hAnsi="Times New Roman"/>
          <w:b w:val="0"/>
          <w:i w:val="0"/>
          <w:sz w:val="24"/>
        </w:rPr>
        <w:t>Oxygen is the most commonly administered drug in the NICU, and until the early 2000s, its dosing was guided more by tradition than by evidence. The recognition that both insufficient and excessive oxygen exposure cause harm — hypoxic organ injury on one side, retinopathy of prematurity (ROP) and oxidative lung damage on the other — prompted a series of large, international randomized trials comparing lower and higher oxygen saturation target ranges in preterm infants. The short-term results of these trials have reshaped clinical practice. Their long-term follow-up has raised questions that remain unanswered.</w:t>
      </w:r>
    </w:p>
    <w:p>
      <w:pPr>
        <w:pStyle w:val="Heading2"/>
      </w:pPr>
      <w:r>
        <w:rPr>
          <w:rFonts w:ascii="Times New Roman" w:hAnsi="Times New Roman"/>
          <w:color w:val="000000"/>
        </w:rPr>
        <w:t>7.1 The Oxygen Saturation Target Trials</w:t>
      </w:r>
    </w:p>
    <w:p>
      <w:pPr>
        <w:spacing w:line="480" w:lineRule="auto"/>
      </w:pPr>
      <w:r>
        <w:rPr>
          <w:rFonts w:ascii="Times New Roman" w:hAnsi="Times New Roman"/>
          <w:b w:val="0"/>
          <w:i w:val="0"/>
          <w:sz w:val="24"/>
        </w:rPr>
        <w:t>The five major trials — SUPPORT (United States), BOOST-II (Australia, New Zealand, United Kingdom), COT (Canada), and two smaller European studies — collectively enrolled over 5,000 extremely preterm infants and compared lower (85-89%) with higher (91-95%) oxygen saturation targets. A 2018 NeOProM individual participant data meta-analysis of these five trials (n = 4,965) confirmed that the lower target range reduced severe ROP (RR 0.72, 95% CI 0.55–0.94; ARR ~4%, NNT ~25) but increased mortality before discharge (RR 1.17, 95% CI 1.03–1.32; absolute risk increase ~2.5%, NNH ~40) and necrotizing enterocolitis (RR 1.25, 95% CI 1.02–1.52; ARI ~1.5%, NNH ~67) [17,37]. The NeOProM analysis found no significant interaction between oxygen target and gestational age, sex, or trial.</w:t>
      </w:r>
    </w:p>
    <w:p>
      <w:pPr>
        <w:spacing w:line="480" w:lineRule="auto"/>
      </w:pPr>
      <w:r>
        <w:rPr>
          <w:rFonts w:ascii="Times New Roman" w:hAnsi="Times New Roman"/>
          <w:b w:val="0"/>
          <w:i w:val="0"/>
          <w:sz w:val="24"/>
        </w:rPr>
        <w:t>These findings created a genuine clinical dilemma. Lowering the oxygen saturation target protects the eyes at the expense of survival. Raising the target improves survival at the expense of vision. The neonatal community has largely converged on a target range of 90-94%, which balances these competing risks, but this recommendation is based on expert consensus rather than a trial directly comparing intermediate targets [1].</w:t>
      </w:r>
    </w:p>
    <w:p>
      <w:pPr>
        <w:pStyle w:val="Heading2"/>
      </w:pPr>
      <w:r>
        <w:rPr>
          <w:rFonts w:ascii="Times New Roman" w:hAnsi="Times New Roman"/>
          <w:color w:val="000000"/>
        </w:rPr>
        <w:t>7.2 Five-Year Follow-up: Persistent Mortality Signal</w:t>
      </w:r>
    </w:p>
    <w:p>
      <w:pPr>
        <w:spacing w:line="480" w:lineRule="auto"/>
      </w:pPr>
      <w:r>
        <w:rPr>
          <w:rFonts w:ascii="Times New Roman" w:hAnsi="Times New Roman"/>
          <w:b w:val="0"/>
          <w:i w:val="0"/>
          <w:sz w:val="24"/>
        </w:rPr>
        <w:t>The five-year follow-up data from the BOOST-II and SUPPORT trials, published between 2015 and 2020, demonstrated that the increased mortality observed in the lower-target group was not offset by later deaths in the higher-target group — the survival curves remained separated [reviewed in 17]. Neurodevelopmental outcomes at 2-5 years, assessed using the Bayley Scales, did not differ significantly between groups, though the confidence intervals were wide enough to include clinically meaningful differences.</w:t>
      </w:r>
    </w:p>
    <w:p>
      <w:pPr>
        <w:spacing w:line="480" w:lineRule="auto"/>
      </w:pPr>
      <w:r>
        <w:rPr>
          <w:rFonts w:ascii="Times New Roman" w:hAnsi="Times New Roman"/>
          <w:b w:val="0"/>
          <w:i w:val="0"/>
          <w:sz w:val="24"/>
        </w:rPr>
        <w:t>The oxygen target trials represent the most rigorous long-term follow-up of any NICU respiratory intervention — and even here, follow-up ends at five years. Pulmonary function, academic performance, and quality of life at school age and beyond have not been reported. We do not know whether the oxygen saturation maintained during the first weeks of life influences the trajectory of lung function at age 15, the risk of asthma at age 25, or the development of COPD at age 50.</w:t>
      </w:r>
    </w:p>
    <w:p>
      <w:pPr>
        <w:pStyle w:val="Heading2"/>
      </w:pPr>
      <w:r>
        <w:rPr>
          <w:rFonts w:ascii="Times New Roman" w:hAnsi="Times New Roman"/>
          <w:color w:val="000000"/>
        </w:rPr>
        <w:t>7.3 The Individualized Dosing Challenge</w:t>
      </w:r>
    </w:p>
    <w:p>
      <w:pPr>
        <w:spacing w:line="480" w:lineRule="auto"/>
      </w:pPr>
      <w:r>
        <w:rPr>
          <w:rFonts w:ascii="Times New Roman" w:hAnsi="Times New Roman"/>
          <w:b w:val="0"/>
          <w:i w:val="0"/>
          <w:sz w:val="24"/>
        </w:rPr>
        <w:t>A fundamental limitation of the oxygen target trials is their use of fixed saturation ranges applied uniformly to all infants. Preterm neonates vary widely in their oxygen requirements, their capacity for antioxidant defense, and their susceptibility to hyperoxia-induced injury — differences that are influenced by gestational age, genetic polymorphisms in antioxidant enzymes, inflammatory status, and the presence or absence of infection. A single target range applied to all infants inevitably represents a compromise that is suboptimal for many. The next frontier in neonatal oxygen therapy is individualized dosing — using biomarkers of oxidative stress, continuous monitoring of tissue oxygenation (near-infrared spectroscopy), or genetic profiling to titrate oxygen delivery to each infant's specific physiology. This approach is conceptually appealing, technically feasible, and has not been evaluated in trials with long-term follow-up.</w:t>
      </w:r>
    </w:p>
    <w:p>
      <w:pPr>
        <w:pStyle w:val="Heading1"/>
      </w:pPr>
      <w:r>
        <w:rPr>
          <w:rFonts w:ascii="Times New Roman" w:hAnsi="Times New Roman"/>
          <w:color w:val="000000"/>
        </w:rPr>
        <w:t>8. Bronchopulmonary Dysplasia as a Life-Course Mediator</w:t>
      </w:r>
    </w:p>
    <w:p>
      <w:pPr>
        <w:spacing w:line="480" w:lineRule="auto"/>
      </w:pPr>
      <w:r>
        <w:rPr>
          <w:rFonts w:ascii="Times New Roman" w:hAnsi="Times New Roman"/>
          <w:b w:val="0"/>
          <w:i w:val="0"/>
          <w:sz w:val="24"/>
        </w:rPr>
        <w:t>The definition of BPD has evolved substantially since Northway's original description in 1967. The "old BPD" of the pre-surfactant era — characterized by severe airway injury, fibrosis, and emphysema in relatively mature preterm infants exposed to high-pressure ventilation and high oxygen concentrations — has been largely replaced by the "new BPD" of the post-surfactant era: a developmental arrest of alveolarization and vascularization affecting extremely preterm infants who survive with gentler respiratory support. This epidemiological shift means that studies of long-term outcomes from different eras are not directly comparable; a 30-year-old BPD survivor from the pre-surfactant era has a fundamentally different disease phenotype than a 5-year-old BPD survivor from the contemporary NICU. The 2018 NIH workshop definition, which grades BPD severity (I–III) based on the mode and level of respiratory support required at 36 weeks' postmenstrual age, provides the most widely accepted contemporary classification [35]. Throughout this review, "BPD" refers to the NIH 2018 definition unless otherwise specified.</w:t>
      </w:r>
    </w:p>
    <w:p>
      <w:pPr>
        <w:spacing w:line="480" w:lineRule="auto"/>
      </w:pPr>
      <w:r>
        <w:rPr>
          <w:rFonts w:ascii="Times New Roman" w:hAnsi="Times New Roman"/>
          <w:b w:val="0"/>
          <w:i w:val="0"/>
          <w:sz w:val="24"/>
        </w:rPr>
        <w:t>Bronchopulmonary dysplasia occupies a unique position in the life-course narrative of NRDS. It is simultaneously an outcome — the most common chronic respiratory complication of prematurity, affecting approximately 40% of infants born before 28 weeks — and an exposure — a condition that independently shapes pulmonary and neurodevelopmental trajectories for decades after NICU discharge. Understanding BPD is essential to understanding why early respiratory interventions matter beyond the NICU, because for most interventions, the chain of causation runs through BPD: intervention affects BPD risk, and BPD status affects long-term health. To the extent that this chain holds, BPD is the mechanism through which NICU decisions reach into adult life.</w:t>
      </w:r>
    </w:p>
    <w:p>
      <w:pPr>
        <w:pStyle w:val="Heading2"/>
      </w:pPr>
      <w:r>
        <w:rPr>
          <w:rFonts w:ascii="Times New Roman" w:hAnsi="Times New Roman"/>
          <w:color w:val="000000"/>
        </w:rPr>
        <w:t>8.1 BPD as a Predictor of Childhood Respiratory Health</w:t>
      </w:r>
    </w:p>
    <w:p>
      <w:pPr>
        <w:spacing w:line="480" w:lineRule="auto"/>
      </w:pPr>
      <w:r>
        <w:rPr>
          <w:rFonts w:ascii="Times New Roman" w:hAnsi="Times New Roman"/>
          <w:b w:val="0"/>
          <w:i w:val="0"/>
          <w:sz w:val="24"/>
        </w:rPr>
        <w:t>The association between BPD and abnormal pulmonary function in childhood is one of the most robust findings in neonatal follow-up research [38]. School-age children with a history of moderate to severe BPD have FEV1 values approximately 15-20% lower than preterm children without BPD and 20-25% lower than term-born controls [9,10]. Airflow obstruction, as measured by reduced FEV1/FVC ratio, is present in 40-60% of BPD survivors by school age. Respiratory symptoms — wheeze, cough, exercise limitation — are reported in 30-50% of BPD survivors, and healthcare utilization for respiratory illness remains elevated throughout childhood [10].</w:t>
      </w:r>
    </w:p>
    <w:p>
      <w:pPr>
        <w:spacing w:line="480" w:lineRule="auto"/>
      </w:pPr>
      <w:r>
        <w:rPr>
          <w:rFonts w:ascii="Times New Roman" w:hAnsi="Times New Roman"/>
          <w:b w:val="0"/>
          <w:i w:val="0"/>
          <w:sz w:val="24"/>
        </w:rPr>
        <w:t>The severity of BPD, rather than its mere presence, determines the magnitude of long-term impairment. The 2018 National Institutes of Health workshop definition of BPD, which classifies severity based on the level of respiratory support required at 36 weeks' postmenstrual age, has been shown to correlate with pulmonary function at school age — infants with grade III BPD have substantially worse lung function than those with grade I [35]. This dose-response relationship strengthens the inference that BPD is causally related to long-term pulmonary impairment, rather than being a mere marker of overall illness severity.</w:t>
      </w:r>
    </w:p>
    <w:p>
      <w:pPr>
        <w:pStyle w:val="Heading2"/>
      </w:pPr>
      <w:r>
        <w:rPr>
          <w:rFonts w:ascii="Times New Roman" w:hAnsi="Times New Roman"/>
          <w:color w:val="000000"/>
        </w:rPr>
        <w:t>8.2 The BPD-to-COPD Hypothesis</w:t>
      </w:r>
    </w:p>
    <w:p>
      <w:pPr>
        <w:spacing w:line="480" w:lineRule="auto"/>
      </w:pPr>
      <w:r>
        <w:rPr>
          <w:rFonts w:ascii="Times New Roman" w:hAnsi="Times New Roman"/>
          <w:b w:val="0"/>
          <w:i w:val="0"/>
          <w:sz w:val="24"/>
        </w:rPr>
        <w:t>The hypothesis that BPD represents an early-life origin of chronic obstructive pulmonary disease has gained support from emerging data on adult lung function in preterm survivors. A 2015 study of adult survivors of very low birth weight, with and without BPD, reported that those with BPD had significantly lower FEV1 (mean difference approximately -15% predicted) at age 25-30 years compared with those without BPD [9]. The rate of decline in FEV1 with age, assessed in a small number of longitudinal studies, appears to be accelerated in BPD survivors compared with the general population — a pattern consistent with the hypothesis that BPD initiates a trajectory of premature lung aging.</w:t>
      </w:r>
    </w:p>
    <w:p>
      <w:pPr>
        <w:spacing w:line="480" w:lineRule="auto"/>
      </w:pPr>
      <w:r>
        <w:rPr>
          <w:rFonts w:ascii="Times New Roman" w:hAnsi="Times New Roman"/>
          <w:b w:val="0"/>
          <w:i w:val="0"/>
          <w:sz w:val="24"/>
        </w:rPr>
        <w:t>The evidence for this hypothesis remains inferential and is limited by small sample sizes, selective loss to follow-up, and the absence of data beyond the fourth decade of life. The first generation of BPD survivors, born in the 1960s and 1970s when BPD was first described, is now in middle age. Systematic study of their respiratory health — pulmonary function, exercise capacity, chest imaging, quality of life — represents one of the most urgent priorities in neonatal follow-up research.</w:t>
      </w:r>
    </w:p>
    <w:p>
      <w:pPr>
        <w:pStyle w:val="Heading2"/>
      </w:pPr>
      <w:r>
        <w:rPr>
          <w:rFonts w:ascii="Times New Roman" w:hAnsi="Times New Roman"/>
          <w:color w:val="000000"/>
        </w:rPr>
        <w:t>8.3 BPD and Neurodevelopment: The Overlapping Vulnerability</w:t>
      </w:r>
    </w:p>
    <w:p>
      <w:pPr>
        <w:spacing w:line="480" w:lineRule="auto"/>
      </w:pPr>
      <w:r>
        <w:rPr>
          <w:rFonts w:ascii="Times New Roman" w:hAnsi="Times New Roman"/>
          <w:b w:val="0"/>
          <w:i w:val="0"/>
          <w:sz w:val="24"/>
        </w:rPr>
        <w:t>The relationship between BPD and neurodevelopmental impairment complicates the interpretation of all long-term outcome data in preterm infants. BPD is associated with a two- to three-fold increased risk of cerebral palsy, cognitive impairment, and academic underachievement, even after adjustment for gestational age and other confounders [11]. Whether this association reflects a direct effect of chronic hypoxia and systemic inflammation on the developing brain, or whether BPD and neurodevelopmental impairment share common antecedents (extreme prematurity, severe illness, prolonged mechanical ventilation), is not fully resolved.</w:t>
      </w:r>
    </w:p>
    <w:p>
      <w:pPr>
        <w:spacing w:line="480" w:lineRule="auto"/>
      </w:pPr>
      <w:r>
        <w:rPr>
          <w:rFonts w:ascii="Times New Roman" w:hAnsi="Times New Roman"/>
          <w:b w:val="0"/>
          <w:i w:val="0"/>
          <w:sz w:val="24"/>
        </w:rPr>
        <w:t>For the purposes of this review, the key implication is that interventions that reduce BPD — antenatal corticosteroids, volume-targeted ventilation, LISA, late postnatal corticosteroids — might be expected to improve neurodevelopment through their effect on BPD, even in the absence of a direct neuroprotective mechanism. This pathway is complicated by the fact that the same intervention can have opposing direct and indirect effects on the developing brain: while BPD reduction should benefit neurodevelopment, the intervention itself may be directly neurotoxic. Indeed, the observational evidence is mixed: some interventions that reduce BPD (such as early dexamethasone) worsen neurodevelopment, demonstrating that the BPD-mediated pathway can be overridden by direct neurotoxicity.</w:t>
      </w:r>
    </w:p>
    <w:p>
      <w:pPr>
        <w:pStyle w:val="Heading1"/>
      </w:pPr>
      <w:r>
        <w:rPr>
          <w:rFonts w:ascii="Times New Roman" w:hAnsi="Times New Roman"/>
          <w:color w:val="000000"/>
        </w:rPr>
        <w:t>9. Neurodevelopmental Outcomes: Are They Modifiable by Respiratory Interventions?</w:t>
      </w:r>
    </w:p>
    <w:p>
      <w:pPr>
        <w:spacing w:line="480" w:lineRule="auto"/>
      </w:pPr>
      <w:r>
        <w:rPr>
          <w:rFonts w:ascii="Times New Roman" w:hAnsi="Times New Roman"/>
          <w:b w:val="0"/>
          <w:i w:val="0"/>
          <w:sz w:val="24"/>
        </w:rPr>
        <w:t>Neurodevelopmental impairment is the most feared long-term complication of extreme prematurity, and it is the outcome for which the tension between respiratory benefit and neurological risk is most acute. The question at the heart of this section is whether the respiratory interventions deployed in the NICU — the ventilation mode, the corticosteroid regimen, the oxygen target — have consequences for the developing brain that are detectable years later, and whether those consequences are large enough to influence clinical decision-making.</w:t>
      </w:r>
    </w:p>
    <w:p>
      <w:pPr>
        <w:pStyle w:val="Heading2"/>
      </w:pPr>
      <w:r>
        <w:rPr>
          <w:rFonts w:ascii="Times New Roman" w:hAnsi="Times New Roman"/>
          <w:color w:val="000000"/>
        </w:rPr>
        <w:t>9.1 The Baseline: Cognitive Outcomes of Extreme Prematurity</w:t>
      </w:r>
    </w:p>
    <w:p>
      <w:pPr>
        <w:spacing w:line="480" w:lineRule="auto"/>
      </w:pPr>
      <w:r>
        <w:rPr>
          <w:rFonts w:ascii="Times New Roman" w:hAnsi="Times New Roman"/>
          <w:b w:val="0"/>
          <w:i w:val="0"/>
          <w:sz w:val="24"/>
        </w:rPr>
        <w:t>A 2018 meta-analysis published in JAMA Pediatrics, synthesizing data from 71 studies involving over 7,000 children born extremely or very preterm, provides the benchmark against which all intervention effects must be measured [11]. At school age (mean 10 years), children born extremely preterm scored 0.86 standard deviations below term-born peers (95% CI 0.78–0.94) on standardized intelligence tests — a deficit equivalent to approximately 13 IQ points. The deficit was stable across birth cohorts from 1990 to 2010, indicating that improvements in neonatal care over this period have not translated into improved cognitive outcomes at the population level. The Caffeine for Apnea of Prematurity (CAP) trial demonstrated that a readily implementable NICU intervention — caffeine therapy — reduced the rate of death or neurodevelopmental disability at 18–21 months (adjusted OR 0.77, 95% CI 0.64–0.93) [39], suggesting that targeted pharmacotherapy can modify neurodevelopmental trajectories independent of respiratory outcomes. This finding is sobering and suggests that the factors driving cognitive impairment in extremely preterm children are either not modifiable by current NICU interventions or are being modified in opposing directions — with gains from gentler ventilation and increased survival of vulnerable infants canceling each other out at the population level.</w:t>
      </w:r>
    </w:p>
    <w:p>
      <w:pPr>
        <w:pStyle w:val="Heading2"/>
      </w:pPr>
      <w:r>
        <w:rPr>
          <w:rFonts w:ascii="Times New Roman" w:hAnsi="Times New Roman"/>
          <w:color w:val="000000"/>
        </w:rPr>
        <w:t>9.2 Intervention-Specific Effects: What Is Known</w:t>
      </w:r>
    </w:p>
    <w:p>
      <w:pPr>
        <w:spacing w:line="480" w:lineRule="auto"/>
      </w:pPr>
      <w:r>
        <w:rPr>
          <w:rFonts w:ascii="Times New Roman" w:hAnsi="Times New Roman"/>
          <w:b w:val="0"/>
          <w:i w:val="0"/>
          <w:sz w:val="24"/>
        </w:rPr>
        <w:t>The evidence for intervention-specific effects on long-term neurodevelopment is strongest for corticosteroids, weakest for ventilation, and absent for surfactant. The pattern mirrors that described in earlier sections: where randomized trials with follow-up exist, the data are typically limited to Bayley assessments at 18-24 months; where school-age or adolescent data exist, they come predominantly from observational cohort studies with their inherent susceptibility to confounding.</w:t>
      </w:r>
    </w:p>
    <w:p>
      <w:pPr>
        <w:spacing w:line="480" w:lineRule="auto"/>
      </w:pPr>
      <w:r>
        <w:rPr>
          <w:rFonts w:ascii="Times New Roman" w:hAnsi="Times New Roman"/>
          <w:b w:val="0"/>
          <w:i w:val="0"/>
          <w:sz w:val="24"/>
        </w:rPr>
        <w:t>For antenatal corticosteroids, the 2022 JAMA Pediatrics systematic review provides reassurance that a single course does not adversely affect cognitive development, with a pooled odds ratio for cognitive impairment of 0.97 (95% CI 0.87-1.08) [20]. For postnatal corticosteroids, the evidence points in the opposite direction: early dexamethasone increases cerebral palsy risk (RR 1.42), while late hydrocortisone appears safer but has not been studied with adequate long-term follow-up [12-15]. For ventilation strategies, the Cochrane reviews report Bayley scores at 18-24 months for a subset of trials, with no significant differences between volume-targeted and pressure-limited ventilation or between NIPPV and NCPAP [5,29]. For surfactant, there are no neurodevelopmental follow-up data for LISA versus INSURE [16]. For oxygen targets, the five-year follow-up of the saturation target trials showed no significant difference in cognitive outcomes, but the confidence intervals were wide and the assessments limited to parent-completed questionnaires in some trials [17].</w:t>
      </w:r>
    </w:p>
    <w:p>
      <w:pPr>
        <w:pStyle w:val="Heading2"/>
      </w:pPr>
      <w:r>
        <w:rPr>
          <w:rFonts w:ascii="Times New Roman" w:hAnsi="Times New Roman"/>
          <w:color w:val="000000"/>
        </w:rPr>
        <w:t>9.3 The Causality Problem</w:t>
      </w:r>
    </w:p>
    <w:p>
      <w:pPr>
        <w:spacing w:line="480" w:lineRule="auto"/>
      </w:pPr>
      <w:r>
        <w:rPr>
          <w:rFonts w:ascii="Times New Roman" w:hAnsi="Times New Roman"/>
          <w:b w:val="0"/>
          <w:i w:val="0"/>
          <w:sz w:val="24"/>
        </w:rPr>
        <w:t>A fundamental challenge pervading this literature is the difficulty of distinguishing the neurodevelopmental effects of respiratory interventions from the effects of the conditions that necessitate those interventions. An infant who requires prolonged mechanical ventilation is, by definition, sicker than an infant who does not. A lower Bayley score in the prolonged-ventilation group may reflect the underlying illness severity that drove the need for ventilation, the ventilation itself, or both. Randomized trials address this problem for the interventions they compare — volume-targeted versus pressure-limited ventilation, early versus late corticosteroids — but they cannot address it for the comparison that is often most relevant to clinical decision-making: intervention versus no intervention.</w:t>
      </w:r>
    </w:p>
    <w:p>
      <w:pPr>
        <w:spacing w:line="480" w:lineRule="auto"/>
      </w:pPr>
      <w:r>
        <w:rPr>
          <w:rFonts w:ascii="Times New Roman" w:hAnsi="Times New Roman"/>
          <w:b w:val="0"/>
          <w:i w:val="0"/>
          <w:sz w:val="24"/>
        </w:rPr>
        <w:t>This causality problem is not merely an academic concern. It has practical implications for counseling families. When a neonatologist recommends volume-targeted ventilation over pressure-limited ventilation, the evidence supports an improvement in short-term respiratory outcomes without detectable neurodevelopmental harm. But when a neonatologist recommends any form of mechanical ventilation over no ventilation, the neurodevelopmental consequences — independent of the underlying illness — cannot be quantified from existing data. The distinction matters because it shapes how aggressively we pursue respiratory support, how we frame risks to families, and how we design the next generation of trials.</w:t>
      </w:r>
    </w:p>
    <w:p>
      <w:pPr>
        <w:pStyle w:val="Heading1"/>
      </w:pPr>
      <w:r>
        <w:rPr>
          <w:rFonts w:ascii="Times New Roman" w:hAnsi="Times New Roman"/>
          <w:color w:val="000000"/>
        </w:rPr>
        <w:t>10. Quality of Life and Patient-Centered Outcomes: The Neglected Dimension</w:t>
      </w:r>
    </w:p>
    <w:p>
      <w:pPr>
        <w:spacing w:line="480" w:lineRule="auto"/>
      </w:pPr>
      <w:r>
        <w:rPr>
          <w:rFonts w:ascii="Times New Roman" w:hAnsi="Times New Roman"/>
          <w:b w:val="0"/>
          <w:i w:val="0"/>
          <w:sz w:val="24"/>
        </w:rPr>
        <w:t>Of 590 papers assessed in our systematic search, only 8 addressed health-related quality of life (HRQoL) or patient-centered functional outcomes in the context of neonatal respiratory interventions. This statistic — 1.4% (8 of 590) of the relevant literature — defines both the state of the field and its most urgent priority. The eight studies that did address HRQoL predominantly used generic instruments (PedsQL, Health Utilities Index, EQ-5D) rather than neonatal respiratory-specific measures, and their findings were heterogeneous: some reported HRQoL comparable to term-born peers (the "disability paradox"), while others found clinically meaningful deficits in physical functioning domains among BPD survivors. No study evaluated HRQoL as a pre-specified endpoint in a randomized trial of a respiratory intervention.</w:t>
      </w:r>
    </w:p>
    <w:p>
      <w:pPr>
        <w:pStyle w:val="Heading2"/>
      </w:pPr>
      <w:r>
        <w:rPr>
          <w:rFonts w:ascii="Times New Roman" w:hAnsi="Times New Roman"/>
          <w:color w:val="000000"/>
        </w:rPr>
        <w:t>10.1 The Disability Paradox</w:t>
      </w:r>
    </w:p>
    <w:p>
      <w:pPr>
        <w:spacing w:line="480" w:lineRule="auto"/>
      </w:pPr>
      <w:r>
        <w:rPr>
          <w:rFonts w:ascii="Times New Roman" w:hAnsi="Times New Roman"/>
          <w:b w:val="0"/>
          <w:i w:val="0"/>
          <w:sz w:val="24"/>
        </w:rPr>
        <w:t>Research on HRQoL in preterm survivors has consistently documented a phenomenon known as the disability paradox: despite objectively measurable impairments in pulmonary function, motor skills, cognitive performance, and sensory function, self-reported HRQoL in adolescent and adult survivors of extreme prematurity is often comparable to that of term-born peers. This finding has been replicated across multiple cohorts and using various HRQoL instruments. It is both reassuring — suggesting that preterm survivors adapt to their limitations — and methodologically challenging, because it raises the question of whether conventional HRQoL instruments are sensitive to the specific challenges faced by this population.</w:t>
      </w:r>
    </w:p>
    <w:p>
      <w:pPr>
        <w:spacing w:line="480" w:lineRule="auto"/>
      </w:pPr>
      <w:r>
        <w:rPr>
          <w:rFonts w:ascii="Times New Roman" w:hAnsi="Times New Roman"/>
          <w:b w:val="0"/>
          <w:i w:val="0"/>
          <w:sz w:val="24"/>
        </w:rPr>
        <w:t>A child with BPD who cannot participate in sports, who misses 20 days of school per year for respiratory illnesses, and who experiences dyspnea when climbing stairs may report a quality of life score that is statistically indistinguishable from that of a healthy peer. Whether this reflects genuine adaptation, response shift (a change in internal standards for judging quality of life), or the insensitivity of generic HRQoL instruments to respiratory-specific limitations is unclear. What is clear is that the tools we use to measure quality of life in this population were not designed for this population, and that relying on self-reported HRQoL as the sole patient-centered endpoint risks missing clinically meaningful impairments.</w:t>
      </w:r>
    </w:p>
    <w:p>
      <w:pPr>
        <w:pStyle w:val="Heading2"/>
      </w:pPr>
      <w:r>
        <w:rPr>
          <w:rFonts w:ascii="Times New Roman" w:hAnsi="Times New Roman"/>
          <w:color w:val="000000"/>
        </w:rPr>
        <w:t>10.2 Functional Outcomes: School, Work, and Independence</w:t>
      </w:r>
    </w:p>
    <w:p>
      <w:pPr>
        <w:spacing w:line="480" w:lineRule="auto"/>
      </w:pPr>
      <w:r>
        <w:rPr>
          <w:rFonts w:ascii="Times New Roman" w:hAnsi="Times New Roman"/>
          <w:b w:val="0"/>
          <w:i w:val="0"/>
          <w:sz w:val="24"/>
        </w:rPr>
        <w:t>Data on functional outcomes beyond HRQoL are sparse but concerning. School-age children with a history of BPD have higher rates of grade retention, special education placement, and school absenteeism compared with preterm children without BPD and term-born controls. Adolescent and young adult survivors of extreme prematurity have lower rates of high school graduation, employment, and independent living compared with term-born peers, though the absolute differences are modest and confounded by socioeconomic and family factors.</w:t>
      </w:r>
    </w:p>
    <w:p>
      <w:pPr>
        <w:spacing w:line="480" w:lineRule="auto"/>
      </w:pPr>
      <w:r>
        <w:rPr>
          <w:rFonts w:ascii="Times New Roman" w:hAnsi="Times New Roman"/>
          <w:b w:val="0"/>
          <w:i w:val="0"/>
          <w:sz w:val="24"/>
        </w:rPr>
        <w:t>The contribution of specific neonatal respiratory interventions to these functional outcomes is almost entirely unstudied. No randomized trial of a ventilation strategy, corticosteroid regimen, or surfactant preparation has reported educational attainment, employment status, or independent living as an outcome. The chain of inference — from NICU intervention to BPD to school absences to educational underachievement to reduced adult socioeconomic attainment — is conceptually coherent but empirically empty. Filling this chain, at least at selected links, should be a priority for the next generation of neonatal follow-up research.</w:t>
      </w:r>
    </w:p>
    <w:p>
      <w:pPr>
        <w:pStyle w:val="Heading2"/>
      </w:pPr>
      <w:r>
        <w:rPr>
          <w:rFonts w:ascii="Times New Roman" w:hAnsi="Times New Roman"/>
          <w:color w:val="000000"/>
        </w:rPr>
        <w:t>10.3 Economic Outcomes and Healthcare Utilization</w:t>
      </w:r>
    </w:p>
    <w:p>
      <w:pPr>
        <w:spacing w:line="480" w:lineRule="auto"/>
      </w:pPr>
      <w:r>
        <w:rPr>
          <w:rFonts w:ascii="Times New Roman" w:hAnsi="Times New Roman"/>
          <w:b w:val="0"/>
          <w:i w:val="0"/>
          <w:sz w:val="24"/>
        </w:rPr>
        <w:t>The economic dimension of life-course outcomes has received even less attention than quality of life. Preterm birth is known to be associated with increased healthcare costs throughout childhood, driven primarily by rehospitalization for respiratory illness, specialist visits, and allied health services. BPD is a strong independent predictor of rehospitalization and healthcare utilization in the first two years of life. Whether neonatal respiratory interventions that reduce BPD also reduce long-term healthcare costs — and whether the magnitude of cost reduction justifies the investment in the intervention — has not been evaluated in a formal cost-effectiveness analysis with a lifetime horizon.</w:t>
      </w:r>
    </w:p>
    <w:p>
      <w:pPr>
        <w:spacing w:line="480" w:lineRule="auto"/>
      </w:pPr>
      <w:r>
        <w:rPr>
          <w:rFonts w:ascii="Times New Roman" w:hAnsi="Times New Roman"/>
          <w:b w:val="0"/>
          <w:i w:val="0"/>
          <w:sz w:val="24"/>
        </w:rPr>
        <w:t>This is not merely a gap in the academic literature. It is a gap in the information available to health systems making resource allocation decisions. A health system that invests in volume-targeted ventilation equipment, LISA training programs, or oxygen saturation targeting protocols would benefit from knowing whether these investments reduce the lifetime cost of care for preterm infants. At present, that evidence does not exist.</w:t>
      </w:r>
    </w:p>
    <w:p>
      <w:pPr>
        <w:pStyle w:val="Heading1"/>
      </w:pPr>
      <w:r>
        <w:rPr>
          <w:rFonts w:ascii="Times New Roman" w:hAnsi="Times New Roman"/>
          <w:color w:val="000000"/>
        </w:rPr>
        <w:t>11. Knowledge Gaps and Future Directions</w:t>
      </w:r>
    </w:p>
    <w:p>
      <w:pPr>
        <w:spacing w:line="480" w:lineRule="auto"/>
      </w:pPr>
      <w:r>
        <w:rPr>
          <w:rFonts w:ascii="Times New Roman" w:hAnsi="Times New Roman"/>
          <w:b w:val="0"/>
          <w:i w:val="0"/>
          <w:sz w:val="24"/>
        </w:rPr>
        <w:t>The preceding sections have documented a pattern that is consistent across every class of neonatal respiratory intervention: high-certainty evidence for short-term benefit, near-total absence of evidence for outcomes beyond two to five years of age. In this section, we synthesize the cross-cutting knowledge gaps and propose a research agenda.</w:t>
      </w:r>
    </w:p>
    <w:p>
      <w:pPr>
        <w:pStyle w:val="Heading2"/>
      </w:pPr>
      <w:r>
        <w:rPr>
          <w:rFonts w:ascii="Times New Roman" w:hAnsi="Times New Roman"/>
          <w:color w:val="000000"/>
        </w:rPr>
        <w:t>11.1 The Follow-up Gap</w:t>
      </w:r>
    </w:p>
    <w:p>
      <w:pPr>
        <w:spacing w:line="480" w:lineRule="auto"/>
      </w:pPr>
      <w:r>
        <w:rPr>
          <w:rFonts w:ascii="Times New Roman" w:hAnsi="Times New Roman"/>
          <w:b w:val="0"/>
          <w:i w:val="0"/>
          <w:sz w:val="24"/>
        </w:rPr>
        <w:t>The single most important limitation of the evidence reviewed in this paper is the systematic failure to follow children beyond 18-36 months of age. This limitation is not unique to neonatal research — it reflects structural features of the clinical research enterprise, including short funding cycles, the cost and logistical complexity of long-term follow-up, and the lack of standardized outcome measures that span infancy to adulthood. But its consequences are particularly severe in neonatology, where the interventions under study are applied during a developmental window of extraordinary plasticity and where their effects may take years or decades to manifest. The evidence gap is striking when visualized: Figure 2 compares the certainty of short-term versus long-term evidence across intervention classes, revealing the near-total collapse of data beyond five years for ventilation and surfactant strategies.</w:t>
      </w:r>
    </w:p>
    <w:p>
      <w:pPr>
        <w:spacing w:line="480" w:lineRule="auto"/>
      </w:pPr>
      <w:r>
        <w:rPr>
          <w:rFonts w:ascii="Times New Roman" w:hAnsi="Times New Roman"/>
          <w:b w:val="0"/>
          <w:i w:val="0"/>
          <w:sz w:val="24"/>
        </w:rPr>
      </w:r>
    </w:p>
    <w:p>
      <w:pPr>
        <w:jc w:val="center"/>
      </w:pPr>
      <w:r>
        <w:drawing>
          <wp:inline xmlns:a="http://schemas.openxmlformats.org/drawingml/2006/main" xmlns:pic="http://schemas.openxmlformats.org/drawingml/2006/picture">
            <wp:extent cx="5303520" cy="2878211"/>
            <wp:docPr id="2" name="Picture 2"/>
            <wp:cNvGraphicFramePr>
              <a:graphicFrameLocks noChangeAspect="1"/>
            </wp:cNvGraphicFramePr>
            <a:graphic>
              <a:graphicData uri="http://schemas.openxmlformats.org/drawingml/2006/picture">
                <pic:pic>
                  <pic:nvPicPr>
                    <pic:cNvPr id="0" name="Figure2_EvidenceGap.png"/>
                    <pic:cNvPicPr/>
                  </pic:nvPicPr>
                  <pic:blipFill>
                    <a:blip r:embed="rId10"/>
                    <a:stretch>
                      <a:fillRect/>
                    </a:stretch>
                  </pic:blipFill>
                  <pic:spPr>
                    <a:xfrm>
                      <a:off x="0" y="0"/>
                      <a:ext cx="5303520" cy="2878211"/>
                    </a:xfrm>
                    <a:prstGeom prst="rect"/>
                  </pic:spPr>
                </pic:pic>
              </a:graphicData>
            </a:graphic>
          </wp:inline>
        </w:drawing>
      </w:r>
    </w:p>
    <w:p>
      <w:pPr>
        <w:jc w:val="center"/>
      </w:pPr>
      <w:r>
        <w:rPr>
          <w:rFonts w:ascii="Times New Roman" w:hAnsi="Times New Roman"/>
          <w:b/>
          <w:sz w:val="20"/>
        </w:rPr>
        <w:t>Figure 2. Evidence Certainty: Short-Term versus Long-Term Outcomes across NRDS Intervention Classes. Green bars represent high-certainty evidence for outcomes within 2 years. Red bars represent evidence for outcomes beyond 5 years. The near-total absence of long-term data for ventilation and surfactant strategies is the central finding of this review.</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Closing the follow-up gap requires a combination of approaches: embedding long-term follow-up into the design of all major neonatal randomized trials, with ring-fenced funding for assessments at school age, adolescence, and early adulthood; expanding the use of routine administrative data (educational records, healthcare utilization databases) linked to neonatal trial cohorts; and developing validated instruments for remote assessment of pulmonary function, cognitive performance, and quality of life that can be administered without in-person visits.</w:t>
      </w:r>
    </w:p>
    <w:p>
      <w:pPr>
        <w:pStyle w:val="Heading2"/>
      </w:pPr>
      <w:r>
        <w:rPr>
          <w:rFonts w:ascii="Times New Roman" w:hAnsi="Times New Roman"/>
          <w:color w:val="000000"/>
        </w:rPr>
        <w:t>11.2 The Causality Gap</w:t>
      </w:r>
    </w:p>
    <w:p>
      <w:pPr>
        <w:spacing w:line="480" w:lineRule="auto"/>
      </w:pPr>
      <w:r>
        <w:rPr>
          <w:rFonts w:ascii="Times New Roman" w:hAnsi="Times New Roman"/>
          <w:b w:val="0"/>
          <w:i w:val="0"/>
          <w:sz w:val="24"/>
        </w:rPr>
        <w:t>The difficulty of distinguishing the effects of respiratory interventions from the effects of the conditions that necessitate them — the causality problem described in Section 9.3 — pervades the literature. Randomized trials address this problem for the specific comparison they test, but they cannot address the broader question of whether an entire class of intervention (invasive ventilation, for example) causes neurodevelopmental harm independent of the illness that necessitated it. Mendelian randomization, sibling comparison designs, and instrumental variable analyses — methods that leverage natural experiments to strengthen causal inference — have been underutilized in neonatal follow-up research and represent a methodological opportunity.</w:t>
      </w:r>
    </w:p>
    <w:p>
      <w:pPr>
        <w:pStyle w:val="Heading2"/>
      </w:pPr>
      <w:r>
        <w:rPr>
          <w:rFonts w:ascii="Times New Roman" w:hAnsi="Times New Roman"/>
          <w:color w:val="000000"/>
        </w:rPr>
        <w:t>11.3 The Quality-of-Life Gap</w:t>
      </w:r>
    </w:p>
    <w:p>
      <w:pPr>
        <w:spacing w:line="480" w:lineRule="auto"/>
      </w:pPr>
      <w:r>
        <w:rPr>
          <w:rFonts w:ascii="Times New Roman" w:hAnsi="Times New Roman"/>
          <w:b w:val="0"/>
          <w:i w:val="0"/>
          <w:sz w:val="24"/>
        </w:rPr>
        <w:t>The near-total absence of patient-centered outcome data — HRQoL, functional status, educational attainment, economic independence — is the most important finding of this review and should be its most urgent call to action. The development and validation of neonatal respiratory intervention-specific patient-reported outcome measures, the inclusion of HRQoL and functional status as core outcomes in neonatal trials, and the engagement of former preterm infants and their families in research priority-setting are essential steps toward closing this gap.</w:t>
      </w:r>
    </w:p>
    <w:p>
      <w:pPr>
        <w:pStyle w:val="Heading2"/>
      </w:pPr>
      <w:r>
        <w:rPr>
          <w:rFonts w:ascii="Times New Roman" w:hAnsi="Times New Roman"/>
          <w:color w:val="000000"/>
        </w:rPr>
        <w:t>11.4 The Individualized Dosing Gap</w:t>
      </w:r>
    </w:p>
    <w:p>
      <w:pPr>
        <w:spacing w:line="480" w:lineRule="auto"/>
      </w:pPr>
      <w:r>
        <w:rPr>
          <w:rFonts w:ascii="Times New Roman" w:hAnsi="Times New Roman"/>
          <w:b w:val="0"/>
          <w:i w:val="0"/>
          <w:sz w:val="24"/>
        </w:rPr>
        <w:t>Every intervention reviewed in this paper is currently applied using population-based protocols that do not account for individual variation in pathophysiology, pharmacokinetics, or genetic susceptibility. The next frontier — biomarker-guided corticosteroid regimens, physiology-driven ventilation protocols, genetically informed oxygen saturation targets — requires a research infrastructure that links neonatal trials to biobanks, genomic data, and long-term phenotypic data. Building this infrastructure is a multi-decade undertaking, but the first steps — embedding biospecimen collection into neonatal trials and standardizing long-term outcome assessment — are feasible now.</w:t>
      </w:r>
    </w:p>
    <w:p>
      <w:pPr>
        <w:spacing w:line="480" w:lineRule="auto"/>
      </w:pPr>
      <w:r>
        <w:rPr>
          <w:rFonts w:ascii="Times New Roman" w:hAnsi="Times New Roman"/>
          <w:b w:val="0"/>
          <w:i w:val="0"/>
          <w:sz w:val="24"/>
        </w:rPr>
        <w:t>Policy Perspective: The investment case for closing these evidence gaps is compelling. The lifetime incremental cost of care for a child with severe BPD — including rehospitalizations, home oxygen, and special education — far exceeds the cost of a well-designed long-term follow-up study. Yet funding for neonatal follow-up beyond age two remains scarce. This is a policy choice with consequences measured in decades: every year that passes without systematic data collection is a year in which the natural experiment of NICU care continues without documentation. Linking existing neonatal trial databases to educational, healthcare utilization, and mortality registries would enable passive, low-cost long-term follow-up at a fraction of the cost of de novo studies.</w:t>
      </w:r>
    </w:p>
    <w:p>
      <w:pPr>
        <w:pStyle w:val="Heading2"/>
      </w:pPr>
      <w:r>
        <w:rPr>
          <w:rFonts w:ascii="Times New Roman" w:hAnsi="Times New Roman"/>
          <w:color w:val="000000"/>
        </w:rPr>
        <w:t>11.5 Research Priorities</w:t>
      </w:r>
    </w:p>
    <w:p>
      <w:pPr>
        <w:spacing w:line="480" w:lineRule="auto"/>
      </w:pPr>
      <w:r>
        <w:rPr>
          <w:rFonts w:ascii="Times New Roman" w:hAnsi="Times New Roman"/>
          <w:b w:val="0"/>
          <w:i w:val="0"/>
          <w:sz w:val="24"/>
        </w:rPr>
        <w:t>Research Perspective: The evidence gaps identified across all five intervention classes point toward a coherent research agenda. Addressing these gaps requires coordinated investment across trial design, outcome measurement, cohort exploitation, health economics, and data infrastructure. We propose the following priorities for the next decade of research on long-term outcomes of neonatal respiratory interventions:</w:t>
      </w:r>
    </w:p>
    <w:p>
      <w:pPr>
        <w:spacing w:line="480" w:lineRule="auto"/>
      </w:pPr>
      <w:r>
        <w:rPr>
          <w:rFonts w:ascii="Times New Roman" w:hAnsi="Times New Roman"/>
          <w:b w:val="0"/>
          <w:i w:val="0"/>
          <w:sz w:val="24"/>
        </w:rPr>
        <w:t>1. Mandate follow-up to at least school age (5-7 years) for all major neonatal randomized trials, with pulmonary function testing and direct cognitive assessment. 2. Develop and validate a core outcome set for long-term follow-up of neonatal respiratory interventions that includes patient-reported HRQoL and functional status. 3. Exploit existing cohorts — the first surfactant-treated generation now in their 30s, the first LISA-treated cohort approaching adolescence — to study adult outcomes through targeted follow-up studies. 4. Embed health economic evaluations into neonatal trials to assess the lifetime cost-effectiveness of respiratory interventions. 5. Invest in data linkage infrastructure to connect neonatal trial databases with educational, healthcare, and mortality registries for passive, low-cost long-term follow-up.</w:t>
      </w:r>
    </w:p>
    <w:p>
      <w:pPr>
        <w:pStyle w:val="Heading2"/>
      </w:pPr>
      <w:r>
        <w:rPr>
          <w:rFonts w:ascii="Times New Roman" w:hAnsi="Times New Roman"/>
          <w:color w:val="000000"/>
        </w:rPr>
        <w:t>11.6 Summary: Evidence Status Across Interventions</w:t>
      </w:r>
    </w:p>
    <w:p>
      <w:pPr>
        <w:jc w:val="center"/>
      </w:pPr>
      <w:r>
        <w:rPr>
          <w:rFonts w:ascii="Times New Roman" w:hAnsi="Times New Roman"/>
          <w:b/>
          <w:sz w:val="20"/>
        </w:rPr>
        <w:t>Table 1. Evidence Maturity Across NRDS Intervention Classes. Each intervention rated for short-term evidence certainty (based on Cochrane GRADE), maximum follow-up data horizon, and severity of the long-term evidence gap.</w:t>
      </w:r>
    </w:p>
    <w:p>
      <w:pPr>
        <w:spacing w:line="480" w:lineRule="auto"/>
      </w:pPr>
      <w:r>
        <w:rPr>
          <w:rFonts w:ascii="Times New Roman" w:hAnsi="Times New Roman"/>
          <w:b w:val="0"/>
          <w:i w:val="0"/>
          <w:sz w:val="24"/>
        </w:rPr>
      </w:r>
    </w:p>
    <w:tbl>
      <w:tblPr>
        <w:tblStyle w:val="TableGrid"/>
        <w:tblW w:type="auto" w:w="0"/>
        <w:tblLook w:firstColumn="1" w:firstRow="1" w:lastColumn="0" w:lastRow="0" w:noHBand="0" w:noVBand="1" w:val="04A0"/>
      </w:tblPr>
      <w:tblGrid>
        <w:gridCol w:w="1727"/>
        <w:gridCol w:w="1727"/>
        <w:gridCol w:w="1727"/>
        <w:gridCol w:w="1727"/>
        <w:gridCol w:w="1727"/>
      </w:tblGrid>
      <w:tr>
        <w:tc>
          <w:tcPr>
            <w:tcW w:type="dxa" w:w="1727"/>
            <w:shd w:fill="D9E2F3" w:val="clear"/>
          </w:tcPr>
          <w:p/>
          <w:p>
            <w:r>
              <w:rPr>
                <w:rFonts w:ascii="Times New Roman" w:hAnsi="Times New Roman"/>
                <w:i w:val="0"/>
                <w:sz w:val="20"/>
              </w:rPr>
              <w:t>Intervention</w:t>
            </w:r>
          </w:p>
        </w:tc>
        <w:tc>
          <w:tcPr>
            <w:tcW w:type="dxa" w:w="1727"/>
            <w:shd w:fill="D9E2F3" w:val="clear"/>
          </w:tcPr>
          <w:p/>
          <w:p>
            <w:r>
              <w:rPr>
                <w:rFonts w:ascii="Times New Roman" w:hAnsi="Times New Roman"/>
                <w:i w:val="0"/>
                <w:sz w:val="20"/>
              </w:rPr>
              <w:t>Short-Term Evidence (GRADE)</w:t>
            </w:r>
          </w:p>
        </w:tc>
        <w:tc>
          <w:tcPr>
            <w:tcW w:type="dxa" w:w="1727"/>
            <w:shd w:fill="D9E2F3" w:val="clear"/>
          </w:tcPr>
          <w:p/>
          <w:p>
            <w:r>
              <w:rPr>
                <w:rFonts w:ascii="Times New Roman" w:hAnsi="Times New Roman"/>
                <w:i w:val="0"/>
                <w:sz w:val="20"/>
              </w:rPr>
              <w:t>Key Long-Term Finding</w:t>
            </w:r>
          </w:p>
        </w:tc>
        <w:tc>
          <w:tcPr>
            <w:tcW w:type="dxa" w:w="1727"/>
            <w:shd w:fill="D9E2F3" w:val="clear"/>
          </w:tcPr>
          <w:p/>
          <w:p>
            <w:r>
              <w:rPr>
                <w:rFonts w:ascii="Times New Roman" w:hAnsi="Times New Roman"/>
                <w:i w:val="0"/>
                <w:sz w:val="20"/>
              </w:rPr>
              <w:t>Max Follow-up</w:t>
            </w:r>
          </w:p>
        </w:tc>
        <w:tc>
          <w:tcPr>
            <w:tcW w:type="dxa" w:w="1727"/>
            <w:shd w:fill="D9E2F3" w:val="clear"/>
          </w:tcPr>
          <w:p/>
          <w:p>
            <w:r>
              <w:rPr>
                <w:rFonts w:ascii="Times New Roman" w:hAnsi="Times New Roman"/>
                <w:i w:val="0"/>
                <w:sz w:val="20"/>
              </w:rPr>
              <w:t>Evidence Gap Severity</w:t>
            </w:r>
          </w:p>
        </w:tc>
      </w:tr>
      <w:tr>
        <w:tc>
          <w:tcPr>
            <w:tcW w:type="dxa" w:w="1727"/>
          </w:tcPr>
          <w:p/>
          <w:p>
            <w:r>
              <w:rPr>
                <w:rFonts w:ascii="Times New Roman" w:hAnsi="Times New Roman"/>
                <w:b/>
                <w:sz w:val="20"/>
              </w:rPr>
              <w:t>Antenatal Corticosteroids</w:t>
            </w:r>
          </w:p>
        </w:tc>
        <w:tc>
          <w:tcPr>
            <w:tcW w:type="dxa" w:w="1727"/>
          </w:tcPr>
          <w:p/>
          <w:p>
            <w:r>
              <w:rPr>
                <w:rFonts w:ascii="Times New Roman" w:hAnsi="Times New Roman"/>
                <w:i w:val="0"/>
                <w:sz w:val="20"/>
              </w:rPr>
              <w:t>High (27 RCTs, ~11,000 women)</w:t>
            </w:r>
          </w:p>
        </w:tc>
        <w:tc>
          <w:tcPr>
            <w:tcW w:type="dxa" w:w="1727"/>
          </w:tcPr>
          <w:p/>
          <w:p>
            <w:r>
              <w:rPr>
                <w:rFonts w:ascii="Times New Roman" w:hAnsi="Times New Roman"/>
                <w:i w:val="0"/>
                <w:sz w:val="20"/>
              </w:rPr>
              <w:t>No neurodevelopmental harm in childhood; adult outcomes unknown</w:t>
            </w:r>
          </w:p>
        </w:tc>
        <w:tc>
          <w:tcPr>
            <w:tcW w:type="dxa" w:w="1727"/>
          </w:tcPr>
          <w:p/>
          <w:p>
            <w:r>
              <w:rPr>
                <w:rFonts w:ascii="Times New Roman" w:hAnsi="Times New Roman"/>
                <w:i w:val="0"/>
                <w:sz w:val="20"/>
              </w:rPr>
              <w:t>30-year follow-up; 1.2M-child meta-analysis for neurodevelopment to age 5</w:t>
            </w:r>
          </w:p>
        </w:tc>
        <w:tc>
          <w:tcPr>
            <w:tcW w:type="dxa" w:w="1727"/>
          </w:tcPr>
          <w:p/>
          <w:p>
            <w:r>
              <w:rPr>
                <w:rFonts w:ascii="Times New Roman" w:hAnsi="Times New Roman"/>
                <w:b/>
                <w:sz w:val="20"/>
              </w:rPr>
              <w:t>G1</w:t>
            </w:r>
          </w:p>
          <w:p>
            <w:r>
              <w:rPr>
                <w:rFonts w:ascii="Times New Roman" w:hAnsi="Times New Roman"/>
                <w:i w:val="0"/>
                <w:sz w:val="20"/>
              </w:rPr>
              <w:t xml:space="preserve"> — Follow-up data exist with longest horizon but adult pulmonary/cardiovascular/metabolic outcomes absent</w:t>
            </w:r>
          </w:p>
        </w:tc>
      </w:tr>
      <w:tr>
        <w:tc>
          <w:tcPr>
            <w:tcW w:type="dxa" w:w="1727"/>
            <w:shd w:fill="F2F2F2" w:val="clear"/>
          </w:tcPr>
          <w:p/>
          <w:p>
            <w:r>
              <w:rPr>
                <w:rFonts w:ascii="Times New Roman" w:hAnsi="Times New Roman"/>
                <w:b/>
                <w:sz w:val="20"/>
              </w:rPr>
              <w:t>Caffeine (CAP)</w:t>
            </w:r>
          </w:p>
        </w:tc>
        <w:tc>
          <w:tcPr>
            <w:tcW w:type="dxa" w:w="1727"/>
            <w:shd w:fill="F2F2F2" w:val="clear"/>
          </w:tcPr>
          <w:p/>
          <w:p>
            <w:r>
              <w:rPr>
                <w:rFonts w:ascii="Times New Roman" w:hAnsi="Times New Roman"/>
                <w:i w:val="0"/>
                <w:sz w:val="20"/>
              </w:rPr>
              <w:t>High (1 RCT, 2,006 infants)</w:t>
            </w:r>
          </w:p>
        </w:tc>
        <w:tc>
          <w:tcPr>
            <w:tcW w:type="dxa" w:w="1727"/>
            <w:shd w:fill="F2F2F2" w:val="clear"/>
          </w:tcPr>
          <w:p/>
          <w:p>
            <w:r>
              <w:rPr>
                <w:rFonts w:ascii="Times New Roman" w:hAnsi="Times New Roman"/>
                <w:i w:val="0"/>
                <w:sz w:val="20"/>
              </w:rPr>
              <w:t>Reduced CP and cognitive impairment at 5 yr; motor benefit at 11 yr</w:t>
            </w:r>
          </w:p>
        </w:tc>
        <w:tc>
          <w:tcPr>
            <w:tcW w:type="dxa" w:w="1727"/>
            <w:shd w:fill="F2F2F2" w:val="clear"/>
          </w:tcPr>
          <w:p/>
          <w:p>
            <w:r>
              <w:rPr>
                <w:rFonts w:ascii="Times New Roman" w:hAnsi="Times New Roman"/>
                <w:i w:val="0"/>
                <w:sz w:val="20"/>
              </w:rPr>
              <w:t>11 years (46% follow-up)</w:t>
            </w:r>
          </w:p>
        </w:tc>
        <w:tc>
          <w:tcPr>
            <w:tcW w:type="dxa" w:w="1727"/>
            <w:shd w:fill="F2F2F2" w:val="clear"/>
          </w:tcPr>
          <w:p/>
          <w:p>
            <w:r>
              <w:rPr>
                <w:rFonts w:ascii="Times New Roman" w:hAnsi="Times New Roman"/>
                <w:b/>
                <w:sz w:val="20"/>
              </w:rPr>
              <w:t>G2</w:t>
            </w:r>
          </w:p>
          <w:p>
            <w:r>
              <w:rPr>
                <w:rFonts w:ascii="Times New Roman" w:hAnsi="Times New Roman"/>
                <w:i w:val="0"/>
                <w:sz w:val="20"/>
              </w:rPr>
              <w:t xml:space="preserve"> — Best long-term data of any NICU pharmacotherapy; adult outcomes unknown</w:t>
            </w:r>
          </w:p>
        </w:tc>
      </w:tr>
      <w:tr>
        <w:tc>
          <w:tcPr>
            <w:tcW w:type="dxa" w:w="1727"/>
          </w:tcPr>
          <w:p/>
          <w:p>
            <w:r>
              <w:rPr>
                <w:rFonts w:ascii="Times New Roman" w:hAnsi="Times New Roman"/>
                <w:b/>
                <w:sz w:val="20"/>
              </w:rPr>
              <w:t>Postnatal Corticosteroids</w:t>
            </w:r>
          </w:p>
        </w:tc>
        <w:tc>
          <w:tcPr>
            <w:tcW w:type="dxa" w:w="1727"/>
          </w:tcPr>
          <w:p/>
          <w:p>
            <w:r>
              <w:rPr>
                <w:rFonts w:ascii="Times New Roman" w:hAnsi="Times New Roman"/>
                <w:i w:val="0"/>
                <w:sz w:val="20"/>
              </w:rPr>
              <w:t>High (multiple Cochrane SRs)</w:t>
            </w:r>
          </w:p>
        </w:tc>
        <w:tc>
          <w:tcPr>
            <w:tcW w:type="dxa" w:w="1727"/>
          </w:tcPr>
          <w:p/>
          <w:p>
            <w:r>
              <w:rPr>
                <w:rFonts w:ascii="Times New Roman" w:hAnsi="Times New Roman"/>
                <w:i w:val="0"/>
                <w:sz w:val="20"/>
              </w:rPr>
              <w:t>Early dexamethasone: CP RR 1.42; Late: safer but data immature</w:t>
            </w:r>
          </w:p>
        </w:tc>
        <w:tc>
          <w:tcPr>
            <w:tcW w:type="dxa" w:w="1727"/>
          </w:tcPr>
          <w:p/>
          <w:p>
            <w:r>
              <w:rPr>
                <w:rFonts w:ascii="Times New Roman" w:hAnsi="Times New Roman"/>
                <w:i w:val="0"/>
                <w:sz w:val="20"/>
              </w:rPr>
              <w:t>18–24 months (Bayley)</w:t>
            </w:r>
          </w:p>
        </w:tc>
        <w:tc>
          <w:tcPr>
            <w:tcW w:type="dxa" w:w="1727"/>
          </w:tcPr>
          <w:p/>
          <w:p>
            <w:r>
              <w:rPr>
                <w:rFonts w:ascii="Times New Roman" w:hAnsi="Times New Roman"/>
                <w:b/>
                <w:sz w:val="20"/>
              </w:rPr>
              <w:t>G2</w:t>
            </w:r>
          </w:p>
          <w:p>
            <w:r>
              <w:rPr>
                <w:rFonts w:ascii="Times New Roman" w:hAnsi="Times New Roman"/>
                <w:i w:val="0"/>
                <w:sz w:val="20"/>
              </w:rPr>
              <w:t xml:space="preserve"> — Neuro risk well-characterized short-term; school-age cognitive/behavioral data absent</w:t>
            </w:r>
          </w:p>
        </w:tc>
      </w:tr>
      <w:tr>
        <w:tc>
          <w:tcPr>
            <w:tcW w:type="dxa" w:w="1727"/>
            <w:shd w:fill="F2F2F2" w:val="clear"/>
          </w:tcPr>
          <w:p/>
          <w:p>
            <w:r>
              <w:rPr>
                <w:rFonts w:ascii="Times New Roman" w:hAnsi="Times New Roman"/>
                <w:b/>
                <w:sz w:val="20"/>
              </w:rPr>
              <w:t>Volume-Targeted Ventilation</w:t>
            </w:r>
          </w:p>
        </w:tc>
        <w:tc>
          <w:tcPr>
            <w:tcW w:type="dxa" w:w="1727"/>
            <w:shd w:fill="F2F2F2" w:val="clear"/>
          </w:tcPr>
          <w:p/>
          <w:p>
            <w:r>
              <w:rPr>
                <w:rFonts w:ascii="Times New Roman" w:hAnsi="Times New Roman"/>
                <w:i w:val="0"/>
                <w:sz w:val="20"/>
              </w:rPr>
              <w:t>Moderate–High (20 RCTs, 1,358 infants)</w:t>
            </w:r>
          </w:p>
        </w:tc>
        <w:tc>
          <w:tcPr>
            <w:tcW w:type="dxa" w:w="1727"/>
            <w:shd w:fill="F2F2F2" w:val="clear"/>
          </w:tcPr>
          <w:p/>
          <w:p>
            <w:r>
              <w:rPr>
                <w:rFonts w:ascii="Times New Roman" w:hAnsi="Times New Roman"/>
                <w:i w:val="0"/>
                <w:sz w:val="20"/>
              </w:rPr>
              <w:t>No follow-up beyond discharge</w:t>
            </w:r>
          </w:p>
        </w:tc>
        <w:tc>
          <w:tcPr>
            <w:tcW w:type="dxa" w:w="1727"/>
            <w:shd w:fill="F2F2F2" w:val="clear"/>
          </w:tcPr>
          <w:p/>
          <w:p>
            <w:r>
              <w:rPr>
                <w:rFonts w:ascii="Times New Roman" w:hAnsi="Times New Roman"/>
                <w:i w:val="0"/>
                <w:sz w:val="20"/>
              </w:rPr>
              <w:t>NICU discharge only</w:t>
            </w:r>
          </w:p>
        </w:tc>
        <w:tc>
          <w:tcPr>
            <w:tcW w:type="dxa" w:w="1727"/>
            <w:shd w:fill="F2F2F2" w:val="clear"/>
          </w:tcPr>
          <w:p/>
          <w:p>
            <w:r>
              <w:rPr>
                <w:rFonts w:ascii="Times New Roman" w:hAnsi="Times New Roman"/>
                <w:b/>
                <w:sz w:val="20"/>
              </w:rPr>
              <w:t>G4</w:t>
            </w:r>
          </w:p>
          <w:p>
            <w:r>
              <w:rPr>
                <w:rFonts w:ascii="Times New Roman" w:hAnsi="Times New Roman"/>
                <w:i w:val="0"/>
                <w:sz w:val="20"/>
              </w:rPr>
              <w:t xml:space="preserve"> — Zero long-term data despite being standard of care</w:t>
            </w:r>
          </w:p>
        </w:tc>
      </w:tr>
      <w:tr>
        <w:tc>
          <w:tcPr>
            <w:tcW w:type="dxa" w:w="1727"/>
          </w:tcPr>
          <w:p/>
          <w:p>
            <w:r>
              <w:rPr>
                <w:rFonts w:ascii="Times New Roman" w:hAnsi="Times New Roman"/>
                <w:b/>
                <w:sz w:val="20"/>
              </w:rPr>
              <w:t>Surfactant (LISA)</w:t>
            </w:r>
          </w:p>
        </w:tc>
        <w:tc>
          <w:tcPr>
            <w:tcW w:type="dxa" w:w="1727"/>
          </w:tcPr>
          <w:p/>
          <w:p>
            <w:r>
              <w:rPr>
                <w:rFonts w:ascii="Times New Roman" w:hAnsi="Times New Roman"/>
                <w:i w:val="0"/>
                <w:sz w:val="20"/>
              </w:rPr>
              <w:t>Moderate (16 RCTs, 2,164 infants)</w:t>
            </w:r>
          </w:p>
        </w:tc>
        <w:tc>
          <w:tcPr>
            <w:tcW w:type="dxa" w:w="1727"/>
          </w:tcPr>
          <w:p/>
          <w:p>
            <w:r>
              <w:rPr>
                <w:rFonts w:ascii="Times New Roman" w:hAnsi="Times New Roman"/>
                <w:i w:val="0"/>
                <w:sz w:val="20"/>
              </w:rPr>
              <w:t>No long-term data until Dorner 2026 (180 infants, 2 yr)</w:t>
            </w:r>
          </w:p>
        </w:tc>
        <w:tc>
          <w:tcPr>
            <w:tcW w:type="dxa" w:w="1727"/>
          </w:tcPr>
          <w:p/>
          <w:p>
            <w:r>
              <w:rPr>
                <w:rFonts w:ascii="Times New Roman" w:hAnsi="Times New Roman"/>
                <w:i w:val="0"/>
                <w:sz w:val="20"/>
              </w:rPr>
              <w:t>2 years (single study, 2026)</w:t>
            </w:r>
          </w:p>
        </w:tc>
        <w:tc>
          <w:tcPr>
            <w:tcW w:type="dxa" w:w="1727"/>
          </w:tcPr>
          <w:p/>
          <w:p>
            <w:r>
              <w:rPr>
                <w:rFonts w:ascii="Times New Roman" w:hAnsi="Times New Roman"/>
                <w:b/>
                <w:sz w:val="20"/>
              </w:rPr>
              <w:t>G4</w:t>
            </w:r>
          </w:p>
          <w:p>
            <w:r>
              <w:rPr>
                <w:rFonts w:ascii="Times New Roman" w:hAnsi="Times New Roman"/>
                <w:i w:val="0"/>
                <w:sz w:val="20"/>
              </w:rPr>
              <w:t xml:space="preserve"> — Near-zero data; first-generation recipients now adolescents</w:t>
            </w:r>
          </w:p>
        </w:tc>
      </w:tr>
      <w:tr>
        <w:tc>
          <w:tcPr>
            <w:tcW w:type="dxa" w:w="1727"/>
            <w:shd w:fill="F2F2F2" w:val="clear"/>
          </w:tcPr>
          <w:p/>
          <w:p>
            <w:r>
              <w:rPr>
                <w:rFonts w:ascii="Times New Roman" w:hAnsi="Times New Roman"/>
                <w:b/>
                <w:sz w:val="20"/>
              </w:rPr>
              <w:t>Oxygen Saturation Targets</w:t>
            </w:r>
          </w:p>
        </w:tc>
        <w:tc>
          <w:tcPr>
            <w:tcW w:type="dxa" w:w="1727"/>
            <w:shd w:fill="F2F2F2" w:val="clear"/>
          </w:tcPr>
          <w:p/>
          <w:p>
            <w:r>
              <w:rPr>
                <w:rFonts w:ascii="Times New Roman" w:hAnsi="Times New Roman"/>
                <w:i w:val="0"/>
                <w:sz w:val="20"/>
              </w:rPr>
              <w:t>High (5 RCTs, ~5,000 infants; IPD-MA)</w:t>
            </w:r>
          </w:p>
        </w:tc>
        <w:tc>
          <w:tcPr>
            <w:tcW w:type="dxa" w:w="1727"/>
            <w:shd w:fill="F2F2F2" w:val="clear"/>
          </w:tcPr>
          <w:p/>
          <w:p>
            <w:r>
              <w:rPr>
                <w:rFonts w:ascii="Times New Roman" w:hAnsi="Times New Roman"/>
                <w:i w:val="0"/>
                <w:sz w:val="20"/>
              </w:rPr>
              <w:t>Lower targets: ↑ mortality; neurodevelopment at 5 yr: no difference</w:t>
            </w:r>
          </w:p>
        </w:tc>
        <w:tc>
          <w:tcPr>
            <w:tcW w:type="dxa" w:w="1727"/>
            <w:shd w:fill="F2F2F2" w:val="clear"/>
          </w:tcPr>
          <w:p/>
          <w:p>
            <w:r>
              <w:rPr>
                <w:rFonts w:ascii="Times New Roman" w:hAnsi="Times New Roman"/>
                <w:i w:val="0"/>
                <w:sz w:val="20"/>
              </w:rPr>
              <w:t>5 years (BOOST-II, SUPPORT)</w:t>
            </w:r>
          </w:p>
        </w:tc>
        <w:tc>
          <w:tcPr>
            <w:tcW w:type="dxa" w:w="1727"/>
            <w:shd w:fill="F2F2F2" w:val="clear"/>
          </w:tcPr>
          <w:p/>
          <w:p>
            <w:r>
              <w:rPr>
                <w:rFonts w:ascii="Times New Roman" w:hAnsi="Times New Roman"/>
                <w:b/>
                <w:sz w:val="20"/>
              </w:rPr>
              <w:t>G1–G2</w:t>
            </w:r>
          </w:p>
          <w:p>
            <w:r>
              <w:rPr>
                <w:rFonts w:ascii="Times New Roman" w:hAnsi="Times New Roman"/>
                <w:i w:val="0"/>
                <w:sz w:val="20"/>
              </w:rPr>
              <w:t xml:space="preserve"> — Best follow-up among respiratory interventions but ends at 5 yr</w:t>
            </w:r>
          </w:p>
        </w:tc>
      </w:tr>
    </w:tbl>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Evidence gap severity grades: G0 = no gap; G1 = minor gap (data exist but incomplete); G2 = moderate gap (some follow-up but key outcomes/ages missing); G3 = severe gap (trace data only); G4 = critical gap (no meaningful long-term data).</w:t>
      </w:r>
    </w:p>
    <w:p>
      <w:pPr>
        <w:pStyle w:val="Heading2"/>
      </w:pPr>
      <w:r>
        <w:rPr>
          <w:rFonts w:ascii="Times New Roman" w:hAnsi="Times New Roman"/>
          <w:color w:val="000000"/>
        </w:rPr>
        <w:t>11.7 Methodological Limitations</w:t>
      </w:r>
    </w:p>
    <w:p>
      <w:pPr>
        <w:spacing w:line="480" w:lineRule="auto"/>
      </w:pPr>
      <w:r>
        <w:rPr>
          <w:rFonts w:ascii="Times New Roman" w:hAnsi="Times New Roman"/>
          <w:b w:val="0"/>
          <w:i w:val="0"/>
          <w:sz w:val="24"/>
        </w:rPr>
        <w:t>Several methodological limitations should be considered when interpreting this review.</w:t>
      </w:r>
    </w:p>
    <w:p>
      <w:pPr>
        <w:spacing w:line="480" w:lineRule="auto"/>
      </w:pPr>
      <w:r>
        <w:rPr>
          <w:rFonts w:ascii="Times New Roman" w:hAnsi="Times New Roman"/>
          <w:b w:val="0"/>
          <w:i w:val="0"/>
          <w:sz w:val="24"/>
        </w:rPr>
        <w:t>Search constraints: The search was restricted to Europe PMC (encompassing PubMed/MEDLINE) and ClinicalTrials.gov. Embase, Cochrane CENTRAL, CINAHL, and Web of Science — databases commonly searched in comprehensive systematic reviews — were not independently queried. This may have resulted in the omission of relevant European neonatal literature indexed primarily in Embase and of non-English-language studies. The English-language restriction further limits comprehensiveness.</w:t>
      </w:r>
    </w:p>
    <w:p>
      <w:pPr>
        <w:spacing w:line="480" w:lineRule="auto"/>
      </w:pPr>
      <w:r>
        <w:rPr>
          <w:rFonts w:ascii="Times New Roman" w:hAnsi="Times New Roman"/>
          <w:b w:val="0"/>
          <w:i w:val="0"/>
          <w:sz w:val="24"/>
        </w:rPr>
        <w:t>Cochrane reliance: Approximately 42.9% of the cited references (18 of 42) are Cochrane systematic reviews. While Cochrane reviews provide high-quality evidence synthesis, their search end-dates are typically 1–2 years before publication, meaning the evidence base synthesized here may lag behind current literature by several years. Key trials published after Cochrane search closure (e.g., Dorner et al. 2026 for LISA follow-up) were identified through supplementary searching but may not be exhaustive.</w:t>
      </w:r>
    </w:p>
    <w:p>
      <w:pPr>
        <w:spacing w:line="480" w:lineRule="auto"/>
      </w:pPr>
      <w:r>
        <w:rPr>
          <w:rFonts w:ascii="Times New Roman" w:hAnsi="Times New Roman"/>
          <w:b w:val="0"/>
          <w:i w:val="0"/>
          <w:sz w:val="24"/>
        </w:rPr>
        <w:t>Single-reviewer screening: Title/abstract screening and full-text assessment were performed by one reviewer. While uncertain cases were retained for full-text review (minimizing false exclusions), the absence of independent dual screening limits reproducibility and may introduce selection bias.</w:t>
      </w:r>
    </w:p>
    <w:p>
      <w:pPr>
        <w:spacing w:line="480" w:lineRule="auto"/>
      </w:pPr>
      <w:r>
        <w:rPr>
          <w:rFonts w:ascii="Times New Roman" w:hAnsi="Times New Roman"/>
          <w:b w:val="0"/>
          <w:i w:val="0"/>
          <w:sz w:val="24"/>
        </w:rPr>
        <w:t>Intervention category selection: This review focuses on five major classes of respiratory interventions plus caffeine (added as a contextual comparator). Several clinically important interventions — including diuretics (furosemide, spironolactone), inhaled nitric oxide, vitamin A, and nutritional strategies — were excluded to maintain a focused scope. These exclusions should be considered when interpreting the generalizability of our findings, particularly for the comprehensive management of infants with evolving BPD.</w:t>
      </w:r>
    </w:p>
    <w:p>
      <w:pPr>
        <w:spacing w:line="480" w:lineRule="auto"/>
      </w:pPr>
      <w:r>
        <w:rPr>
          <w:rFonts w:ascii="Times New Roman" w:hAnsi="Times New Roman"/>
          <w:b w:val="0"/>
          <w:i w:val="0"/>
          <w:sz w:val="24"/>
        </w:rPr>
        <w:t>Statistical reporting: The review reports relative effect measures (RR, OR, HR) as presented in the cited systematic reviews. Absolute effect sizes (ARR, NNT) are provided where baseline risks were available from the source Cochrane reviews. However, baseline risks vary considerably across populations and eras, and the NNT values reported here should be interpreted as population-average estimates rather than individual-patient predictions.</w:t>
      </w:r>
    </w:p>
    <w:p>
      <w:pPr>
        <w:pStyle w:val="Heading2"/>
      </w:pPr>
      <w:r>
        <w:rPr>
          <w:rFonts w:ascii="Times New Roman" w:hAnsi="Times New Roman"/>
          <w:color w:val="000000"/>
        </w:rPr>
        <w:t>11.8 Attrition Bias in Long-Term Follow-up Studies</w:t>
      </w:r>
    </w:p>
    <w:p>
      <w:pPr>
        <w:spacing w:line="480" w:lineRule="auto"/>
      </w:pPr>
      <w:r>
        <w:rPr>
          <w:rFonts w:ascii="Times New Roman" w:hAnsi="Times New Roman"/>
          <w:b w:val="0"/>
          <w:i w:val="0"/>
          <w:sz w:val="24"/>
        </w:rPr>
        <w:t>A systematic threat to the validity of long-term outcome data in neonatal research is differential loss to follow-up. Infants lost to follow-up are not a random subset of the original cohort — lower socioeconomic status, minority ethnicity, greater distance from the follow-up center, and poorer baseline health are all associated with higher attrition. The result is that long-term outcome data may systematically overrepresent healthier, more socioeconomically advantaged survivors, biasing estimates of both the absolute rates of adverse outcomes and — critically — the apparent effect of interventions.</w:t>
      </w:r>
    </w:p>
    <w:p>
      <w:pPr>
        <w:spacing w:line="480" w:lineRule="auto"/>
      </w:pPr>
      <w:r>
        <w:rPr>
          <w:rFonts w:ascii="Times New Roman" w:hAnsi="Times New Roman"/>
          <w:b w:val="0"/>
          <w:i w:val="0"/>
          <w:sz w:val="24"/>
        </w:rPr>
        <w:t>This problem is particularly acute for the evidence reviewed here. The ALPS school-age follow-up had a follow-up rate below 60%, meaning over 40% of the original cohort is missing and the direction of bias likely favors the intervention [24]. The NEUROSIS 5-year follow-up similarly reported follow-up rates below 60%, with no systematic analysis of how attrition may have affected the estimated treatment effect [36]. Even the CAP trial — the gold standard for neonatal follow-up — achieved 82% at 5 years and 46% at 11 years [39].</w:t>
      </w:r>
    </w:p>
    <w:p>
      <w:pPr>
        <w:spacing w:line="480" w:lineRule="auto"/>
      </w:pPr>
      <w:r>
        <w:rPr>
          <w:rFonts w:ascii="Times New Roman" w:hAnsi="Times New Roman"/>
          <w:b w:val="0"/>
          <w:i w:val="0"/>
          <w:sz w:val="24"/>
        </w:rPr>
        <w:t>A critical methodological distinction is between "no follow-up was conducted" (which applies to most ventilation and surfactant trials) and "follow-up was conducted but data quality is compromised by attrition" (which applies to the corticosteroid and oxygen target trials). Both scenarios produce uncertainty about long-term outcomes, but the nature of the uncertainty differs: in the first case, we have no data; in the second, we have data that may be biased in predictable directions. Doyle et al. (2014) provide a comprehensive methodological framework for interpreting long-term follow-up data in the presence of attrition [18].</w:t>
      </w:r>
    </w:p>
    <w:p>
      <w:pPr>
        <w:pStyle w:val="Heading2"/>
      </w:pPr>
      <w:r>
        <w:rPr>
          <w:rFonts w:ascii="Times New Roman" w:hAnsi="Times New Roman"/>
          <w:color w:val="000000"/>
        </w:rPr>
        <w:t>11.9 Intervention Interactions: The Clinical Reality of Sequential Multi-Intervention Care</w:t>
      </w:r>
    </w:p>
    <w:p>
      <w:pPr>
        <w:spacing w:line="480" w:lineRule="auto"/>
      </w:pPr>
      <w:r>
        <w:rPr>
          <w:rFonts w:ascii="Times New Roman" w:hAnsi="Times New Roman"/>
          <w:b w:val="0"/>
          <w:i w:val="0"/>
          <w:sz w:val="24"/>
        </w:rPr>
        <w:t>The clinical reality of neonatal intensive care is that infants receive multiple interventions in sequence and in combination, not in isolation. A typical 28-week infant's respiratory course may include: antenatal corticosteroids → delivery room CPAP → surfactant via LISA → mechanical ventilation → caffeine → possible late postnatal corticosteroids → home oxygen. This review has treated each intervention class as an independent chapter, reflecting the structure of the available evidence — but this structure does not reflect the clinical reality of cumulative and interacting exposures.</w:t>
      </w:r>
    </w:p>
    <w:p>
      <w:pPr>
        <w:spacing w:line="480" w:lineRule="auto"/>
      </w:pPr>
      <w:r>
        <w:rPr>
          <w:rFonts w:ascii="Times New Roman" w:hAnsi="Times New Roman"/>
          <w:b w:val="0"/>
          <w:i w:val="0"/>
          <w:sz w:val="24"/>
        </w:rPr>
        <w:t>Three interactions merit particular attention:</w:t>
      </w:r>
    </w:p>
    <w:p>
      <w:pPr>
        <w:spacing w:line="480" w:lineRule="auto"/>
      </w:pPr>
      <w:r>
        <w:rPr>
          <w:rFonts w:ascii="Times New Roman" w:hAnsi="Times New Roman"/>
          <w:b w:val="0"/>
          <w:i w:val="0"/>
          <w:sz w:val="24"/>
        </w:rPr>
        <w:t>Cumulative glucocorticoid exposure: An infant exposed to both antenatal corticosteroids (betamethasone, 2 × 12 mg) and postnatal dexamethasone (cumulative dose typically 0.5–1.0 mg/kg over 7–10 days) receives a substantial total glucocorticoid burden whose combined effects on brain development, hypothalamic–pituitary–adrenal axis programming, and metabolic health have never been systematically studied. The CAP trial data suggest that caffeine may reduce the need for postnatal corticosteroids; whether caffeine modulates corticosteroid neurotoxicity at the cellular level is an area of active preclinical investigation.</w:t>
      </w:r>
    </w:p>
    <w:p>
      <w:pPr>
        <w:spacing w:line="480" w:lineRule="auto"/>
      </w:pPr>
      <w:r>
        <w:rPr>
          <w:rFonts w:ascii="Times New Roman" w:hAnsi="Times New Roman"/>
          <w:b w:val="0"/>
          <w:i w:val="0"/>
          <w:sz w:val="24"/>
        </w:rPr>
        <w:t>Ventilation–surfactant interaction: The efficacy of surfactant is influenced by the ventilation strategy used to deliver it. LISA, by preserving spontaneous respiration and avoiding intubation, changes the pulmonary mechanics into which surfactant is deposited — potentially affecting distribution, efficacy, and the subsequent inflammatory response. Whether the long-term pulmonary outcomes of surfactant-treated infants differ by the ventilation mode used at the time of administration is unknown.</w:t>
      </w:r>
    </w:p>
    <w:p>
      <w:pPr>
        <w:spacing w:line="480" w:lineRule="auto"/>
      </w:pPr>
      <w:r>
        <w:rPr>
          <w:rFonts w:ascii="Times New Roman" w:hAnsi="Times New Roman"/>
          <w:b w:val="0"/>
          <w:i w:val="0"/>
          <w:sz w:val="24"/>
        </w:rPr>
        <w:t>Caffeine as a universal confounder: In contemporary NICUs, over 90% of extremely preterm infants receive caffeine. Any observational study of long-term outcomes following other respiratory interventions conducted after ~2010 is therefore studying the effect of that intervention in the context of concurrent caffeine therapy. The CAP trial established caffeine's independent neurodevelopmental benefit (see Section 4 for the full caffeine evidence synthesis); whether caffeine modifies the long-term effects of ventilation, surfactant, or corticosteroids has not been investigated.</w:t>
      </w:r>
    </w:p>
    <w:p>
      <w:pPr>
        <w:spacing w:line="480" w:lineRule="auto"/>
      </w:pPr>
      <w:r>
        <w:rPr>
          <w:rFonts w:ascii="Times New Roman" w:hAnsi="Times New Roman"/>
          <w:b w:val="0"/>
          <w:i w:val="0"/>
          <w:sz w:val="24"/>
        </w:rPr>
        <w:t>These interactions are not merely academic concerns — they represent the gap between the idealized single-intervention evidence that the literature provides and the complex multi-intervention reality that clinicians navigate daily. Systematic study of intervention interactions, through factorial trial designs, individual participant data meta-analysis, or advanced causal inference methods applied to observational cohorts, represents a priority for the next generation of neonatal follow-up research.</w:t>
      </w:r>
    </w:p>
    <w:p>
      <w:pPr>
        <w:spacing w:line="480" w:lineRule="auto"/>
      </w:pPr>
      <w:r>
        <w:rPr>
          <w:rFonts w:ascii="Times New Roman" w:hAnsi="Times New Roman"/>
          <w:b w:val="0"/>
          <w:i w:val="0"/>
          <w:sz w:val="24"/>
        </w:rPr>
        <w:t>Scope Limitations: As noted in the Introduction, this review focuses on five major classes of respiratory interventions. Caffeine is discussed as a contextual comparator (Section 4) given its unique status as a NICU intervention with demonstrated long-term benefit. Other interventions — including diuretics, inhaled nitric oxide, vitamin A, and nutritional strategies — were excluded. Readers are referred to the Introduction for a detailed discussion of these exclusions and their implications for generalizability.</w:t>
      </w:r>
    </w:p>
    <w:p>
      <w:pPr>
        <w:pStyle w:val="Heading1"/>
      </w:pPr>
      <w:r>
        <w:rPr>
          <w:rFonts w:ascii="Times New Roman" w:hAnsi="Times New Roman"/>
          <w:color w:val="000000"/>
        </w:rPr>
        <w:t>12. Conclusions</w:t>
      </w:r>
    </w:p>
    <w:p>
      <w:pPr>
        <w:spacing w:line="480" w:lineRule="auto"/>
      </w:pPr>
      <w:r>
        <w:rPr>
          <w:rFonts w:ascii="Times New Roman" w:hAnsi="Times New Roman"/>
          <w:b w:val="0"/>
          <w:i w:val="0"/>
          <w:sz w:val="24"/>
        </w:rPr>
        <w:t>Neonatal respiratory distress syndrome is a disease of the first hours of life whose consequences can span a lifetime. This narrative review, synthesizing evidence from Cochrane systematic reviews, randomized trials, and observational cohort studies, has documented both the achievements and the limitations of the evidence linking early-life respiratory interventions to long-term health.</w:t>
      </w:r>
    </w:p>
    <w:p>
      <w:pPr>
        <w:pStyle w:val="Heading2"/>
      </w:pPr>
      <w:r>
        <w:rPr>
          <w:rFonts w:ascii="Times New Roman" w:hAnsi="Times New Roman"/>
          <w:color w:val="000000"/>
        </w:rPr>
        <w:t>What We Know</w:t>
      </w:r>
    </w:p>
    <w:p>
      <w:pPr>
        <w:spacing w:line="480" w:lineRule="auto"/>
      </w:pPr>
      <w:r>
        <w:rPr>
          <w:rFonts w:ascii="Times New Roman" w:hAnsi="Times New Roman"/>
          <w:b w:val="0"/>
          <w:i w:val="0"/>
          <w:sz w:val="24"/>
        </w:rPr>
        <w:t>Antenatal corticosteroids reduce neonatal mortality and severe morbidity without detectable long-term harm [3,20]; volume-targeted ventilation reduces BPD and pneumothorax [5]; less invasive surfactant administration reduces death or BPD compared with traditional intubation-based delivery [16]; late postnatal corticosteroids reduce BPD with a more favorable risk-benefit profile than early administration [14,15]; caffeine (discussed as a contextual comparator) is the only NICU respiratory-related intervention with demonstrated long-term neurodevelopmental benefit extending to 11 years [39,41,42]; and lower oxygen saturation targets reduce retinopathy of prematurity at the cost of increased mortality [17,37].</w:t>
      </w:r>
    </w:p>
    <w:p>
      <w:pPr>
        <w:pStyle w:val="Heading2"/>
      </w:pPr>
      <w:r>
        <w:rPr>
          <w:rFonts w:ascii="Times New Roman" w:hAnsi="Times New Roman"/>
          <w:color w:val="000000"/>
        </w:rPr>
        <w:t>What We Don't Know</w:t>
      </w:r>
    </w:p>
    <w:p>
      <w:pPr>
        <w:spacing w:line="480" w:lineRule="auto"/>
      </w:pPr>
      <w:r>
        <w:rPr>
          <w:rFonts w:ascii="Times New Roman" w:hAnsi="Times New Roman"/>
          <w:b w:val="0"/>
          <w:i w:val="0"/>
          <w:sz w:val="24"/>
        </w:rPr>
        <w:t>Whether any of these interventions influence the trajectory of a child's life beyond the preschool years. Pulmonary function at school age. Cognitive performance in adolescence. Educational attainment. Employment. Quality of life. Respiratory health in adulthood. For these outcomes, the intervention-specific evidence base is limited — while generic data on adult pulmonary function and quality of life in preterm survivors exist (e.g., Gibson et al. 2015 for VLBW adult lung function [9]; Victorian cohort for adult outcomes [9]), no study has prospectively compared long-term outcomes between infants who received different NICU respiratory interventions.</w:t>
      </w:r>
    </w:p>
    <w:p>
      <w:pPr>
        <w:spacing w:line="480" w:lineRule="auto"/>
      </w:pPr>
      <w:r>
        <w:rPr>
          <w:rFonts w:ascii="Times New Roman" w:hAnsi="Times New Roman"/>
          <w:b w:val="0"/>
          <w:i w:val="0"/>
          <w:sz w:val="24"/>
        </w:rPr>
        <w:t>This absence of evidence should not be misinterpreted as evidence of absence. It is possible — even probable — that interventions that reduce BPD and improve short-term respiratory outcomes do improve long-term health, through pathways that are biologically coherent and supported by observational data. Of 590 papers assessed in our systematic search, 8 addressed quality of life — 1.4% (8 of 590) of the relevant literature. These are not merely "gaps" awaiting further research — they constitute a void in the evidence base, one that leaves clinicians making daily decisions without the data to understand their lifelong consequences.</w:t>
      </w:r>
    </w:p>
    <w:p>
      <w:pPr>
        <w:pStyle w:val="Heading2"/>
      </w:pPr>
      <w:r>
        <w:rPr>
          <w:rFonts w:ascii="Times New Roman" w:hAnsi="Times New Roman"/>
          <w:color w:val="000000"/>
        </w:rPr>
        <w:t>Clinical Implications in the Context of Uncertainty</w:t>
      </w:r>
    </w:p>
    <w:p>
      <w:pPr>
        <w:spacing w:line="480" w:lineRule="auto"/>
      </w:pPr>
      <w:r>
        <w:rPr>
          <w:rFonts w:ascii="Times New Roman" w:hAnsi="Times New Roman"/>
          <w:b w:val="0"/>
          <w:i w:val="0"/>
          <w:sz w:val="24"/>
        </w:rPr>
        <w:t>Clinicians caring for extremely preterm infants make decisions daily under conditions of profound uncertainty about long-term outcomes. While the research agenda outlined above will take decades to complete, clinical decisions cannot wait. Based on the evidence reviewed — and acknowledging its limitations — we offer the following provisional guidance:</w:t>
      </w:r>
    </w:p>
    <w:p>
      <w:pPr>
        <w:spacing w:line="480" w:lineRule="auto"/>
      </w:pPr>
      <w:r>
        <w:rPr>
          <w:rFonts w:ascii="Times New Roman" w:hAnsi="Times New Roman"/>
          <w:b w:val="0"/>
          <w:i w:val="0"/>
          <w:sz w:val="24"/>
        </w:rPr>
        <w:t>1. Prioritize interventions with longer safety track records. Antenatal corticosteroids (30-year follow-up, broadly reassuring neurodevelopmental data [3,20]) and caffeine (11-year follow-up, improved motor outcomes [39,41,42]) provide the most mature long-term safety evidence among NICU respiratory interventions. Where equipoise exists between intervention options, the option with longer follow-up data should be preferred.</w:t>
      </w:r>
    </w:p>
    <w:p>
      <w:pPr>
        <w:spacing w:line="480" w:lineRule="auto"/>
      </w:pPr>
      <w:r>
        <w:rPr>
          <w:rFonts w:ascii="Times New Roman" w:hAnsi="Times New Roman"/>
          <w:b w:val="0"/>
          <w:i w:val="0"/>
          <w:sz w:val="24"/>
        </w:rPr>
        <w:t>2. Prefer late over early postnatal corticosteroids when corticosteroid therapy is deemed necessary. Late initiation (≥7 days) with hydrocortisone reduces BPD without a clearly demonstrated increase in cerebral palsy, whereas early dexamethasone carries an approximately 5% absolute increase in cerebral palsy risk [14,15]. The individual risk–benefit calculus should be discussed explicitly with the family.</w:t>
      </w:r>
    </w:p>
    <w:p>
      <w:pPr>
        <w:spacing w:line="480" w:lineRule="auto"/>
      </w:pPr>
      <w:r>
        <w:rPr>
          <w:rFonts w:ascii="Times New Roman" w:hAnsi="Times New Roman"/>
          <w:b w:val="0"/>
          <w:i w:val="0"/>
          <w:sz w:val="24"/>
        </w:rPr>
        <w:t>3. Adopt volume-targeted ventilation and LISA where feasible. The short-term evidence for both is strong (VTV: NNT ~7 for death/BPD [5]; LISA: NNT ~6 for death/BPD [16]), and while long-term data are absent, their mechanisms — reducing volutrauma and avoiding intubation, respectively — are physiologically coherent, suggesting that novel long-term harms are unlikely though unproven.</w:t>
      </w:r>
    </w:p>
    <w:p>
      <w:pPr>
        <w:spacing w:line="480" w:lineRule="auto"/>
      </w:pPr>
      <w:r>
        <w:rPr>
          <w:rFonts w:ascii="Times New Roman" w:hAnsi="Times New Roman"/>
          <w:b w:val="0"/>
          <w:i w:val="0"/>
          <w:sz w:val="24"/>
        </w:rPr>
        <w:t>4. Maintain oxygen saturation targets of 90–94%. This range balances the competing risks of mortality (increased with lower targets), ROP (increased with higher targets), and long-term neurodevelopment (no significant difference at 5 years) [17,37].</w:t>
      </w:r>
    </w:p>
    <w:p>
      <w:pPr>
        <w:spacing w:line="480" w:lineRule="auto"/>
      </w:pPr>
      <w:r>
        <w:rPr>
          <w:rFonts w:ascii="Times New Roman" w:hAnsi="Times New Roman"/>
          <w:b w:val="0"/>
          <w:i w:val="0"/>
          <w:sz w:val="24"/>
        </w:rPr>
        <w:t>These recommendations are provisional, not prescriptive. They reflect the best available evidence as of 2026; they should be revisited as long-term follow-up data emerge; and they should be applied with individualized clinical judgment that accounts for gestational age, illness severity, family preferences, and the resources of the treating NICU.</w:t>
      </w:r>
    </w:p>
    <w:p>
      <w:pPr>
        <w:pStyle w:val="Heading2"/>
      </w:pPr>
      <w:r>
        <w:rPr>
          <w:rFonts w:ascii="Times New Roman" w:hAnsi="Times New Roman"/>
          <w:color w:val="000000"/>
        </w:rPr>
        <w:t>Call to Action</w:t>
      </w:r>
    </w:p>
    <w:p>
      <w:pPr>
        <w:spacing w:line="480" w:lineRule="auto"/>
      </w:pPr>
      <w:r>
        <w:rPr>
          <w:rFonts w:ascii="Times New Roman" w:hAnsi="Times New Roman"/>
          <w:b w:val="0"/>
          <w:i w:val="0"/>
          <w:sz w:val="24"/>
        </w:rPr>
        <w:t>The neonatal community has achieved extraordinary success in keeping extremely preterm infants alive. The challenge of the next generation is to ensure that those lives are not merely lived, but lived well. Table 1 in Section 11.6 summarizes the evidence across all intervention classes, highlighting the severity of long-term evidence gaps. Meeting the challenge of closing these gaps requires a commitment to follow-up that matches the sophistication of acute care — a commitment to asking, and answering, the question of whether the decisions made in the NICU optimize the trajectory of the child's entire life, not just their survival to discharge.</w:t>
      </w:r>
    </w:p>
    <w:p>
      <w:r>
        <w:br w:type="page"/>
      </w:r>
    </w:p>
    <w:p>
      <w:pPr>
        <w:pStyle w:val="Heading1"/>
      </w:pPr>
      <w:r>
        <w:rPr>
          <w:rFonts w:ascii="Times New Roman" w:hAnsi="Times New Roman"/>
          <w:color w:val="000000"/>
        </w:rPr>
        <w:t>Declarations</w:t>
      </w:r>
    </w:p>
    <w:p>
      <w:pPr>
        <w:pStyle w:val="Heading2"/>
      </w:pPr>
      <w:r>
        <w:rPr>
          <w:rFonts w:ascii="Times New Roman" w:hAnsi="Times New Roman"/>
          <w:color w:val="000000"/>
        </w:rPr>
        <w:t>Data Availability Statement</w:t>
      </w:r>
    </w:p>
    <w:p>
      <w:pPr>
        <w:spacing w:line="480" w:lineRule="auto"/>
      </w:pPr>
      <w:r>
        <w:rPr>
          <w:rFonts w:ascii="Times New Roman" w:hAnsi="Times New Roman"/>
          <w:b w:val="0"/>
          <w:i w:val="0"/>
          <w:sz w:val="22"/>
        </w:rPr>
        <w:t>Data sharing not applicable to this article as no datasets were generated or analyzed during the current study. All literature cited is publicly available via PubMed and Europe PMC.</w:t>
      </w:r>
    </w:p>
    <w:p>
      <w:pPr>
        <w:pStyle w:val="Heading2"/>
      </w:pPr>
      <w:r>
        <w:rPr>
          <w:rFonts w:ascii="Times New Roman" w:hAnsi="Times New Roman"/>
          <w:color w:val="000000"/>
        </w:rPr>
        <w:t>Author Contributions</w:t>
      </w:r>
    </w:p>
    <w:p>
      <w:pPr>
        <w:spacing w:line="480" w:lineRule="auto"/>
      </w:pPr>
      <w:r>
        <w:rPr>
          <w:rFonts w:ascii="Times New Roman" w:hAnsi="Times New Roman"/>
          <w:b w:val="0"/>
          <w:i w:val="0"/>
          <w:sz w:val="22"/>
        </w:rPr>
        <w:t>[Author] conceptualized the review, designed the search strategy, screened the literature, synthesized the evidence, and drafted the manuscript. [Author] critically revised the manuscript for intellectual content. All authors approved the final version and agree to be accountable for all aspects of the work.</w:t>
      </w:r>
    </w:p>
    <w:p>
      <w:pPr>
        <w:pStyle w:val="Heading2"/>
      </w:pPr>
      <w:r>
        <w:rPr>
          <w:rFonts w:ascii="Times New Roman" w:hAnsi="Times New Roman"/>
          <w:color w:val="000000"/>
        </w:rPr>
        <w:t>Competing Interests</w:t>
      </w:r>
    </w:p>
    <w:p>
      <w:pPr>
        <w:spacing w:line="480" w:lineRule="auto"/>
      </w:pPr>
      <w:r>
        <w:rPr>
          <w:rFonts w:ascii="Times New Roman" w:hAnsi="Times New Roman"/>
          <w:b w:val="0"/>
          <w:i w:val="0"/>
          <w:sz w:val="22"/>
        </w:rPr>
        <w:t>The authors declare no competing interests.</w:t>
      </w:r>
    </w:p>
    <w:p>
      <w:pPr>
        <w:pStyle w:val="Heading2"/>
      </w:pPr>
      <w:r>
        <w:rPr>
          <w:rFonts w:ascii="Times New Roman" w:hAnsi="Times New Roman"/>
          <w:color w:val="000000"/>
        </w:rPr>
        <w:t>Acknowledgements</w:t>
      </w:r>
    </w:p>
    <w:p>
      <w:pPr>
        <w:spacing w:line="480" w:lineRule="auto"/>
      </w:pPr>
      <w:r>
        <w:rPr>
          <w:rFonts w:ascii="Times New Roman" w:hAnsi="Times New Roman"/>
          <w:b w:val="0"/>
          <w:i w:val="0"/>
          <w:sz w:val="22"/>
        </w:rPr>
        <w:t>The authors thank the Cochrane Neonatal Group for their systematic reviews, which formed the evidence foundation for this narrative synthesis. We also acknowledge the neonatal research networks — including the Victorian Infant Collaborative Study (VICS), EPICure, and the NICHD Neonatal Research Network — whose long-term follow-up cohorts provided the limited but invaluable adult outcome data cited in this review.</w:t>
      </w:r>
    </w:p>
    <w:p>
      <w:pPr>
        <w:pStyle w:val="Heading2"/>
      </w:pPr>
      <w:r>
        <w:rPr>
          <w:rFonts w:ascii="Times New Roman" w:hAnsi="Times New Roman"/>
          <w:color w:val="000000"/>
        </w:rPr>
        <w:t>Funding</w:t>
      </w:r>
    </w:p>
    <w:p>
      <w:pPr>
        <w:spacing w:line="480" w:lineRule="auto"/>
      </w:pPr>
      <w:r>
        <w:rPr>
          <w:rFonts w:ascii="Times New Roman" w:hAnsi="Times New Roman"/>
          <w:b w:val="0"/>
          <w:i w:val="0"/>
          <w:sz w:val="22"/>
        </w:rPr>
        <w:t>This research did not receive any specific grant from funding agencies in the public, commercial, or not-for-profit sectors.</w:t>
        <w:br/>
        <w:br/>
        <w:t>---</w:t>
      </w:r>
    </w:p>
    <w:p>
      <w:r>
        <w:br w:type="page"/>
      </w:r>
    </w:p>
    <w:p>
      <w:pPr>
        <w:pStyle w:val="Heading1"/>
      </w:pPr>
      <w:r>
        <w:rPr>
          <w:rFonts w:ascii="Times New Roman" w:hAnsi="Times New Roman"/>
          <w:color w:val="000000"/>
        </w:rPr>
        <w:t>References</w:t>
      </w:r>
    </w:p>
    <w:p>
      <w:pPr>
        <w:spacing w:line="276" w:lineRule="auto"/>
      </w:pPr>
      <w:r>
        <w:rPr>
          <w:rFonts w:ascii="Times New Roman" w:hAnsi="Times New Roman"/>
          <w:b w:val="0"/>
          <w:i w:val="0"/>
          <w:sz w:val="18"/>
        </w:rPr>
        <w:t>[1] Sweet DG, Carnielli V, Greisen G, et al. European Consensus Guidelines on the Management of Respiratory Distress Syndrome - 2022 Update. *Neonatology*. 2023;120(1):3-23. PMID: 36863329.</w:t>
      </w:r>
    </w:p>
    <w:p>
      <w:pPr>
        <w:spacing w:line="276" w:lineRule="auto"/>
      </w:pPr>
      <w:r>
        <w:rPr>
          <w:rFonts w:ascii="Times New Roman" w:hAnsi="Times New Roman"/>
          <w:b w:val="0"/>
          <w:i w:val="0"/>
          <w:sz w:val="18"/>
        </w:rPr>
        <w:t>[2] Rubarth LB, Quinn J. Respiratory Development and Respiratory Distress Syndrome. *Neonatal Network*. 2015;34(4):231-238.</w:t>
      </w:r>
    </w:p>
    <w:p>
      <w:pPr>
        <w:spacing w:line="276" w:lineRule="auto"/>
      </w:pPr>
      <w:r>
        <w:rPr>
          <w:rFonts w:ascii="Times New Roman" w:hAnsi="Times New Roman"/>
          <w:b w:val="0"/>
          <w:i w:val="0"/>
          <w:sz w:val="18"/>
        </w:rPr>
        <w:t>[3] McGoldrick E, Stewart F, Parker R, Dalziel SR. Antenatal corticosteroids for accelerating fetal lung maturation for women at risk of preterm birth. *Cochrane Database of Systematic Reviews*. 2020;12:CD004454. PMID: 33368142.</w:t>
      </w:r>
    </w:p>
    <w:p>
      <w:pPr>
        <w:spacing w:line="276" w:lineRule="auto"/>
      </w:pPr>
      <w:r>
        <w:rPr>
          <w:rFonts w:ascii="Times New Roman" w:hAnsi="Times New Roman"/>
          <w:b w:val="0"/>
          <w:i w:val="0"/>
          <w:sz w:val="18"/>
        </w:rPr>
        <w:t>[4] Halliday HL. Surfactant replacement therapy. *Seminars in Perinatology*. 2019;43(6):151160.</w:t>
      </w:r>
    </w:p>
    <w:p>
      <w:pPr>
        <w:spacing w:line="276" w:lineRule="auto"/>
      </w:pPr>
      <w:r>
        <w:rPr>
          <w:rFonts w:ascii="Times New Roman" w:hAnsi="Times New Roman"/>
          <w:b w:val="0"/>
          <w:i w:val="0"/>
          <w:sz w:val="18"/>
        </w:rPr>
        <w:t>[5] Klingenberg C, Wheeler KI, McCallion N, Morley CJ, Davis PG. Volume-targeted versus pressure-limited ventilation in neonates. *Cochrane Database of Systematic Reviews*. 2017;10:CD003666. PMID: 29039883.</w:t>
      </w:r>
    </w:p>
    <w:p>
      <w:pPr>
        <w:spacing w:line="276" w:lineRule="auto"/>
      </w:pPr>
      <w:r>
        <w:rPr>
          <w:rFonts w:ascii="Times New Roman" w:hAnsi="Times New Roman"/>
          <w:b w:val="0"/>
          <w:i w:val="0"/>
          <w:sz w:val="18"/>
        </w:rPr>
        <w:t>[6] Stoll BJ, Hansen NI, Bell EF, et al. Trends in care practices, morbidity, and mortality of extremely preterm neonates, 1993-2012. *JAMA*. 2015;314(10):1039-1051. PMID: 26348753.</w:t>
      </w:r>
    </w:p>
    <w:p>
      <w:pPr>
        <w:spacing w:line="276" w:lineRule="auto"/>
      </w:pPr>
      <w:r>
        <w:rPr>
          <w:rFonts w:ascii="Times New Roman" w:hAnsi="Times New Roman"/>
          <w:b w:val="0"/>
          <w:i w:val="0"/>
          <w:sz w:val="18"/>
        </w:rPr>
        <w:t>[7] Barker DJP. The developmental origins of adult disease. *Journal of the American College of Nutrition*. 2004;23(6 Suppl):588S-595S. PMID: 15640511.</w:t>
      </w:r>
    </w:p>
    <w:p>
      <w:pPr>
        <w:spacing w:line="276" w:lineRule="auto"/>
      </w:pPr>
      <w:r>
        <w:rPr>
          <w:rFonts w:ascii="Times New Roman" w:hAnsi="Times New Roman"/>
          <w:b w:val="0"/>
          <w:i w:val="0"/>
          <w:sz w:val="18"/>
        </w:rPr>
        <w:t>[8] Volpe JJ. Brain injury in premature infants: a complex amalgam of destructive and developmental disturbances. *The Lancet Neurology*. 2009;8(1):110-124. PMID: 19081519.</w:t>
      </w:r>
    </w:p>
    <w:p>
      <w:pPr>
        <w:spacing w:line="276" w:lineRule="auto"/>
      </w:pPr>
      <w:r>
        <w:rPr>
          <w:rFonts w:ascii="Times New Roman" w:hAnsi="Times New Roman"/>
          <w:b w:val="0"/>
          <w:i w:val="0"/>
          <w:sz w:val="18"/>
        </w:rPr>
        <w:t>[9] Gibson AM, Reddington C, McBride L, Callanan C, Robertson C, Doyle LW. Lung function in adult survivors of very low birth weight, with and without bronchopulmonary dysplasia. *Pediatric Pulmonology*. 2015;50(10):987-994. PMID: 25263387.</w:t>
      </w:r>
    </w:p>
    <w:p>
      <w:pPr>
        <w:spacing w:line="276" w:lineRule="auto"/>
      </w:pPr>
      <w:r>
        <w:rPr>
          <w:rFonts w:ascii="Times New Roman" w:hAnsi="Times New Roman"/>
          <w:b w:val="0"/>
          <w:i w:val="0"/>
          <w:sz w:val="18"/>
        </w:rPr>
        <w:t>[10] Fawke J, Lum S, Kirkby J, et al. Lung function and respiratory symptoms at 11 years in children born extremely preterm. *American Journal of Respiratory and Critical Care Medicine*. 2010;182(2):237-245. PMID: 20378729.</w:t>
      </w:r>
    </w:p>
    <w:p>
      <w:pPr>
        <w:spacing w:line="276" w:lineRule="auto"/>
      </w:pPr>
      <w:r>
        <w:rPr>
          <w:rFonts w:ascii="Times New Roman" w:hAnsi="Times New Roman"/>
          <w:b w:val="0"/>
          <w:i w:val="0"/>
          <w:sz w:val="18"/>
        </w:rPr>
        <w:t>[11] Twilhaar ES, Wade RM, de Kieviet JF, van Goudoever JB, van Elburg RM, Oosterlaan J. Cognitive outcomes of children born extremely or very preterm since the 1990s and associated risk factors: a meta-analysis and meta-regression. *JAMA Pediatrics*. 2018;172(4):361-367. PMID: 29459939.</w:t>
      </w:r>
    </w:p>
    <w:p>
      <w:pPr>
        <w:spacing w:line="276" w:lineRule="auto"/>
      </w:pPr>
      <w:r>
        <w:rPr>
          <w:rFonts w:ascii="Times New Roman" w:hAnsi="Times New Roman"/>
          <w:b w:val="0"/>
          <w:i w:val="0"/>
          <w:sz w:val="18"/>
        </w:rPr>
        <w:t>[12] Doyle LW, Cheong JL, Ehrenkranz RA, Halliday HL. Early (&lt; 8 days) systemic postnatal corticosteroids for prevention of bronchopulmonary dysplasia in preterm infants. *Cochrane Database of Systematic Reviews*. 2017;10:CD001146. PMID: 29063585.</w:t>
      </w:r>
    </w:p>
    <w:p>
      <w:pPr>
        <w:spacing w:line="276" w:lineRule="auto"/>
      </w:pPr>
      <w:r>
        <w:rPr>
          <w:rFonts w:ascii="Times New Roman" w:hAnsi="Times New Roman"/>
          <w:b w:val="0"/>
          <w:i w:val="0"/>
          <w:sz w:val="18"/>
        </w:rPr>
        <w:t>[13] Doyle LW, Cheong JL, Ehrenkranz RA, Halliday HL. Late (&gt;= 7 days) systemic postnatal corticosteroids for prevention of bronchopulmonary dysplasia in preterm infants. *Cochrane Database of Systematic Reviews*. 2017;10:CD001145. PMID: 29063594.</w:t>
      </w:r>
    </w:p>
    <w:p>
      <w:pPr>
        <w:spacing w:line="276" w:lineRule="auto"/>
      </w:pPr>
      <w:r>
        <w:rPr>
          <w:rFonts w:ascii="Times New Roman" w:hAnsi="Times New Roman"/>
          <w:b w:val="0"/>
          <w:i w:val="0"/>
          <w:sz w:val="18"/>
        </w:rPr>
        <w:t>[14] Doyle LW, Cheong JL, Hay S, Manley BJ, Halliday HL. Early (&lt; 7 days) systemic postnatal corticosteroids for prevention of bronchopulmonary dysplasia in preterm infants. *Cochrane Database of Systematic Reviews*. 2021;10:CD001146. PMID: 34674229.</w:t>
      </w:r>
    </w:p>
    <w:p>
      <w:pPr>
        <w:spacing w:line="276" w:lineRule="auto"/>
      </w:pPr>
      <w:r>
        <w:rPr>
          <w:rFonts w:ascii="Times New Roman" w:hAnsi="Times New Roman"/>
          <w:b w:val="0"/>
          <w:i w:val="0"/>
          <w:sz w:val="18"/>
        </w:rPr>
        <w:t>[15] Doyle LW, Cheong JL, Hay S, Manley BJ, Halliday HL. Late (&gt;= 7 days) systemic postnatal corticosteroids for prevention of bronchopulmonary dysplasia in preterm infants. *Cochrane Database of Systematic Reviews*. 2021;10:CD001145. PMID: 34758507.</w:t>
      </w:r>
    </w:p>
    <w:p>
      <w:pPr>
        <w:spacing w:line="276" w:lineRule="auto"/>
      </w:pPr>
      <w:r>
        <w:rPr>
          <w:rFonts w:ascii="Times New Roman" w:hAnsi="Times New Roman"/>
          <w:b w:val="0"/>
          <w:i w:val="0"/>
          <w:sz w:val="18"/>
        </w:rPr>
        <w:t>[16] Abdel-Latif ME, Davis PG, Wheeler KI, De Paoli AG, Kamlin COF, Carlin JB. Surfactant therapy via thin catheter in preterm infants with or at risk of respiratory distress syndrome. *Cochrane Database of Systematic Reviews*. 2021;5:CD011672. PMID: 33970483.</w:t>
      </w:r>
    </w:p>
    <w:p>
      <w:pPr>
        <w:spacing w:line="276" w:lineRule="auto"/>
      </w:pPr>
      <w:r>
        <w:rPr>
          <w:rFonts w:ascii="Times New Roman" w:hAnsi="Times New Roman"/>
          <w:b w:val="0"/>
          <w:i w:val="0"/>
          <w:sz w:val="18"/>
        </w:rPr>
        <w:t>[17] Askie LM, Darlow BA, Davis PG, et al. Effects of targeting lower versus higher arterial oxygen saturations on death or disability in preterm infants. *Cochrane Database of Systematic Reviews*. 2017;4:CD011190. PMID: 28398697.</w:t>
      </w:r>
    </w:p>
    <w:p>
      <w:pPr>
        <w:spacing w:line="276" w:lineRule="auto"/>
      </w:pPr>
      <w:r>
        <w:rPr>
          <w:rFonts w:ascii="Times New Roman" w:hAnsi="Times New Roman"/>
          <w:b w:val="0"/>
          <w:i w:val="0"/>
          <w:sz w:val="18"/>
        </w:rPr>
        <w:t>[18] Doyle LW, Anderson PJ, Battin M, et al. Long term follow up of high risk children: who, why and how? *BMC Pediatrics*. 2014;14:279. PMID: 25399544.</w:t>
      </w:r>
    </w:p>
    <w:p>
      <w:pPr>
        <w:spacing w:line="276" w:lineRule="auto"/>
      </w:pPr>
      <w:r>
        <w:rPr>
          <w:rFonts w:ascii="Times New Roman" w:hAnsi="Times New Roman"/>
          <w:b w:val="0"/>
          <w:i w:val="0"/>
          <w:sz w:val="18"/>
        </w:rPr>
        <w:t>[19] Sotiriadis A, Tsiami A, Papatheodorou S, et al. Different corticosteroids and regimens for accelerating fetal lung maturation for babies at risk of preterm birth. *Cochrane Database of Systematic Reviews*. 2022;8:CD006764. PMID: 35943347.</w:t>
      </w:r>
    </w:p>
    <w:p>
      <w:pPr>
        <w:spacing w:line="276" w:lineRule="auto"/>
      </w:pPr>
      <w:r>
        <w:rPr>
          <w:rFonts w:ascii="Times New Roman" w:hAnsi="Times New Roman"/>
          <w:b w:val="0"/>
          <w:i w:val="0"/>
          <w:sz w:val="18"/>
        </w:rPr>
        <w:t>[20] Ninan K, Liyanage SK, Murphy KE, Asztalos EV, McDonald SD. Evaluation of long-term outcomes associated with preterm exposure to antenatal corticosteroids: a systematic review and meta-analysis. *JAMA Pediatrics*. 2022;176(6):e220483. PMID: 35404395.</w:t>
      </w:r>
    </w:p>
    <w:p>
      <w:pPr>
        <w:spacing w:line="276" w:lineRule="auto"/>
      </w:pPr>
      <w:r>
        <w:rPr>
          <w:rFonts w:ascii="Times New Roman" w:hAnsi="Times New Roman"/>
          <w:b w:val="0"/>
          <w:i w:val="0"/>
          <w:sz w:val="18"/>
        </w:rPr>
        <w:t>[21] Crowther CA, Middleton PF, Voysey M, et al. Effects of repeat prenatal corticosteroids given to women at risk of preterm birth: an individual participant data meta-analysis. *PLoS Medicine*. 2019;16(4):e1002771. PMID: 30978205.</w:t>
      </w:r>
    </w:p>
    <w:p>
      <w:pPr>
        <w:spacing w:line="276" w:lineRule="auto"/>
      </w:pPr>
      <w:r>
        <w:rPr>
          <w:rFonts w:ascii="Times New Roman" w:hAnsi="Times New Roman"/>
          <w:b w:val="0"/>
          <w:i w:val="0"/>
          <w:sz w:val="18"/>
        </w:rPr>
        <w:t>[22] Cornelissen LGH, Been JV, Smits L, et al. The proportions of term or late preterm births after exposure to early antenatal corticosteroids, and outcomes: systematic review and meta-analysis. *BMJ*. 2023;382:e076035. PMID: 37532269.</w:t>
      </w:r>
    </w:p>
    <w:p>
      <w:pPr>
        <w:spacing w:line="276" w:lineRule="auto"/>
      </w:pPr>
      <w:r>
        <w:rPr>
          <w:rFonts w:ascii="Times New Roman" w:hAnsi="Times New Roman"/>
          <w:b w:val="0"/>
          <w:i w:val="0"/>
          <w:sz w:val="18"/>
        </w:rPr>
        <w:t>[23] Al-Matary A, Alotaibi W, Alotaibi N, Qaraqei M. Antenatal corticosteroids for impending late preterm (34-36+6 weeks) deliveries - a systematic review and meta-analysis of randomized controlled trials. *PLoS One*. 2021;16(3):e0248911. PMID: 33750966.</w:t>
      </w:r>
    </w:p>
    <w:p>
      <w:pPr>
        <w:spacing w:line="276" w:lineRule="auto"/>
      </w:pPr>
      <w:r>
        <w:rPr>
          <w:rFonts w:ascii="Times New Roman" w:hAnsi="Times New Roman"/>
          <w:b w:val="0"/>
          <w:i w:val="0"/>
          <w:sz w:val="18"/>
        </w:rPr>
        <w:t>[24] Gyamfi-Bannerman C, Thom EA, Blackwell SC, et al. Antenatal betamethasone for women at risk for late preterm delivery. *New England Journal of Medicine*. 2016;374(14):1311-1320. PMID: 26863992.</w:t>
      </w:r>
    </w:p>
    <w:p>
      <w:pPr>
        <w:spacing w:line="276" w:lineRule="auto"/>
      </w:pPr>
      <w:r>
        <w:rPr>
          <w:rFonts w:ascii="Times New Roman" w:hAnsi="Times New Roman"/>
          <w:b w:val="0"/>
          <w:i w:val="0"/>
          <w:sz w:val="18"/>
        </w:rPr>
        <w:t>[25] Onland W, De Jaegere AP, Offringa M, van Kaam AH. Systemic corticosteroid regimens for prevention of bronchopulmonary dysplasia in preterm infants. *Cochrane Database of Systematic Reviews*. 2017;1:CD010941. PMID: 28141913.</w:t>
      </w:r>
    </w:p>
    <w:p>
      <w:pPr>
        <w:spacing w:line="276" w:lineRule="auto"/>
      </w:pPr>
      <w:r>
        <w:rPr>
          <w:rFonts w:ascii="Times New Roman" w:hAnsi="Times New Roman"/>
          <w:b w:val="0"/>
          <w:i w:val="0"/>
          <w:sz w:val="18"/>
        </w:rPr>
        <w:t>[26] Kelly LE, Shan F, Ramasubbu B, et al. Corticosteroids for the prevention and treatment of bronchopulmonary dysplasia: an overview of systematic reviews. *Cochrane Database of Systematic Reviews*. 2024;4:CD013271. PMID: 38597338.</w:t>
      </w:r>
    </w:p>
    <w:p>
      <w:pPr>
        <w:spacing w:line="276" w:lineRule="auto"/>
      </w:pPr>
      <w:r>
        <w:rPr>
          <w:rFonts w:ascii="Times New Roman" w:hAnsi="Times New Roman"/>
          <w:b w:val="0"/>
          <w:i w:val="0"/>
          <w:sz w:val="18"/>
        </w:rPr>
        <w:t>[27] Shah SS, Ohlsson A, Halliday HL, Shah VS. Inhaled versus systemic corticosteroids for preventing bronchopulmonary dysplasia in ventilated very low birth weight preterm neonates. *Cochrane Database of Systematic Reviews*. 2017;10:CD002058. PMID: 29063586.</w:t>
      </w:r>
    </w:p>
    <w:p>
      <w:pPr>
        <w:spacing w:line="276" w:lineRule="auto"/>
      </w:pPr>
      <w:r>
        <w:rPr>
          <w:rFonts w:ascii="Times New Roman" w:hAnsi="Times New Roman"/>
          <w:b w:val="0"/>
          <w:i w:val="0"/>
          <w:sz w:val="18"/>
        </w:rPr>
        <w:t>[28] Shah SS, Ohlsson A, Halliday HL, Shah VS. Inhaled versus systemic corticosteroids for the treatment of bronchopulmonary dysplasia in ventilated very low birth weight preterm neonates. *Cochrane Database of Systematic Reviews*. 2017;10:CD002057. PMID: 29063584.</w:t>
      </w:r>
    </w:p>
    <w:p>
      <w:pPr>
        <w:spacing w:line="276" w:lineRule="auto"/>
      </w:pPr>
      <w:r>
        <w:rPr>
          <w:rFonts w:ascii="Times New Roman" w:hAnsi="Times New Roman"/>
          <w:b w:val="0"/>
          <w:i w:val="0"/>
          <w:sz w:val="18"/>
        </w:rPr>
        <w:t>[29] Lemyre B, Davis PG, De Paoli AG, Kirpalani H. Early nasal intermittent positive pressure ventilation (NIPPV) versus early nasal continuous positive airway pressure (NCPAP) for preterm infants. *Cochrane Database of Systematic Reviews*. 2016;12:CD005384. PMID: 27976361.</w:t>
      </w:r>
    </w:p>
    <w:p>
      <w:pPr>
        <w:spacing w:line="276" w:lineRule="auto"/>
      </w:pPr>
      <w:r>
        <w:rPr>
          <w:rFonts w:ascii="Times New Roman" w:hAnsi="Times New Roman"/>
          <w:b w:val="0"/>
          <w:i w:val="0"/>
          <w:sz w:val="18"/>
        </w:rPr>
        <w:t>[30] Subramaniam P, Ho JJ, Davis PG. Prophylactic or very early initiation of continuous positive airway pressure (CPAP) for preterm infants. *Cochrane Database of Systematic Reviews*. 2021;10:CD001243. PMID: 34661278.</w:t>
      </w:r>
    </w:p>
    <w:p>
      <w:pPr>
        <w:spacing w:line="276" w:lineRule="auto"/>
      </w:pPr>
      <w:r>
        <w:rPr>
          <w:rFonts w:ascii="Times New Roman" w:hAnsi="Times New Roman"/>
          <w:b w:val="0"/>
          <w:i w:val="0"/>
          <w:sz w:val="18"/>
        </w:rPr>
        <w:t>[31] Cools F, Offringa M, Askie LM. Elective high frequency oscillatory ventilation versus conventional ventilation for acute pulmonary dysfunction in preterm infants. *Cochrane Database of Systematic Reviews*. 2015;3:CD000104. PMID: 25785789.</w:t>
      </w:r>
    </w:p>
    <w:p>
      <w:pPr>
        <w:spacing w:line="276" w:lineRule="auto"/>
      </w:pPr>
      <w:r>
        <w:rPr>
          <w:rFonts w:ascii="Times New Roman" w:hAnsi="Times New Roman"/>
          <w:b w:val="0"/>
          <w:i w:val="0"/>
          <w:sz w:val="18"/>
        </w:rPr>
        <w:t>[32] Li J, Li K, Liu J, Wu S, Shi Y. Noninvasive high-frequency oscillatory ventilation as respiratory support in preterm infants: a meta-analysis of randomized controlled trials. *Respiratory Research*. 2019;20(1):58. PMID: 30876411.</w:t>
      </w:r>
    </w:p>
    <w:p>
      <w:pPr>
        <w:spacing w:line="276" w:lineRule="auto"/>
      </w:pPr>
      <w:r>
        <w:rPr>
          <w:rFonts w:ascii="Times New Roman" w:hAnsi="Times New Roman"/>
          <w:b w:val="0"/>
          <w:i w:val="0"/>
          <w:sz w:val="18"/>
        </w:rPr>
        <w:t>[33] Singh N, Halliday HL, Stevens TP, Suresh G, Soll R, Rojas-Reyes MX. Comparison of animal-derived surfactants for the prevention and treatment of respiratory distress syndrome in preterm infants. *Cochrane Database of Systematic Reviews*. 2015;12:CD010249. PMID: 26690260.</w:t>
      </w:r>
    </w:p>
    <w:p>
      <w:pPr>
        <w:spacing w:line="276" w:lineRule="auto"/>
      </w:pPr>
      <w:r>
        <w:rPr>
          <w:rFonts w:ascii="Times New Roman" w:hAnsi="Times New Roman"/>
          <w:b w:val="0"/>
          <w:i w:val="0"/>
          <w:sz w:val="18"/>
        </w:rPr>
        <w:t>[34] Venkataraman R, Kamaluddeen M, Hasan SU, Robertson HL, Lodha A. Intratracheal budesonide mixed with surfactant for prevention of bronchopulmonary dysplasia in extremely preterm infants. *Cochrane Database of Systematic Reviews*. 2021;3:CD013271.</w:t>
      </w:r>
    </w:p>
    <w:p>
      <w:pPr>
        <w:spacing w:line="276" w:lineRule="auto"/>
      </w:pPr>
      <w:r>
        <w:rPr>
          <w:rFonts w:ascii="Times New Roman" w:hAnsi="Times New Roman"/>
          <w:b w:val="0"/>
          <w:i w:val="0"/>
          <w:sz w:val="18"/>
        </w:rPr>
        <w:t>[35] Higgins RD, Jobe AH, Koso-Thomas M, et al. Bronchopulmonary dysplasia: executive summary of a workshop. *Journal of Pediatrics*. 2018;197:300-308. PMID: 29551318.</w:t>
      </w:r>
    </w:p>
    <w:p>
      <w:pPr>
        <w:spacing w:line="276" w:lineRule="auto"/>
      </w:pPr>
      <w:r>
        <w:rPr>
          <w:rFonts w:ascii="Times New Roman" w:hAnsi="Times New Roman"/>
          <w:b w:val="0"/>
          <w:i w:val="0"/>
          <w:sz w:val="18"/>
        </w:rPr>
        <w:t>[36] Bassler D, Plavka R, Shinwell ES, et al. Early inhaled budesonide for the prevention of bronchopulmonary dysplasia. *New England Journal of Medicine*. 2015;373(16):1497-1506. PMID: 26465983.</w:t>
      </w:r>
    </w:p>
    <w:p>
      <w:pPr>
        <w:spacing w:line="276" w:lineRule="auto"/>
      </w:pPr>
      <w:r>
        <w:rPr>
          <w:rFonts w:ascii="Times New Roman" w:hAnsi="Times New Roman"/>
          <w:b w:val="0"/>
          <w:i w:val="0"/>
          <w:sz w:val="18"/>
        </w:rPr>
        <w:t>[37] Askie LM, Darlow BA, Finer N, et al. Association between oxygen saturation targeting and death or disability in extremely preterm infants in the NeOProM collaboration. *JAMA*. 2018;319(21):2190-2201. PMID: 29872859.</w:t>
      </w:r>
    </w:p>
    <w:p>
      <w:pPr>
        <w:spacing w:line="276" w:lineRule="auto"/>
      </w:pPr>
      <w:r>
        <w:rPr>
          <w:rFonts w:ascii="Times New Roman" w:hAnsi="Times New Roman"/>
          <w:b w:val="0"/>
          <w:i w:val="0"/>
          <w:sz w:val="18"/>
        </w:rPr>
        <w:t>[38] Islam JY, Keller RL, Aschner JL, Hartert TV, Moore PE. Understanding the short- and long-term respiratory outcomes of prematurity and bronchopulmonary dysplasia. *American Journal of Respiratory and Critical Care Medicine*. 2015;192(2):134-156. PMID: 26038806.</w:t>
      </w:r>
    </w:p>
    <w:p>
      <w:pPr>
        <w:spacing w:line="276" w:lineRule="auto"/>
      </w:pPr>
      <w:r>
        <w:rPr>
          <w:rFonts w:ascii="Times New Roman" w:hAnsi="Times New Roman"/>
          <w:b w:val="0"/>
          <w:i w:val="0"/>
          <w:sz w:val="18"/>
        </w:rPr>
        <w:t>[39] Schmidt B, Roberts RS, Davis P, et al. Long-term effects of caffeine therapy for apnea of prematurity. *New England Journal of Medicine*. 2007;357(19):1893-1902. PMID: 17989382.</w:t>
      </w:r>
    </w:p>
    <w:p>
      <w:pPr>
        <w:spacing w:line="276" w:lineRule="auto"/>
      </w:pPr>
      <w:r>
        <w:rPr>
          <w:rFonts w:ascii="Times New Roman" w:hAnsi="Times New Roman"/>
          <w:b w:val="0"/>
          <w:i w:val="0"/>
          <w:sz w:val="18"/>
        </w:rPr>
        <w:t>[40] Dorner R, Lee HC, Gould JB, et al. Two-Year Outcomes of Less Invasive Surfactant Administration Among Preterm Neonates: A Secondary Analysis of a Randomized Clinical Trial. *JAMA Network Open*. 2026. [Epub ahead of print].</w:t>
      </w:r>
    </w:p>
    <w:p>
      <w:pPr>
        <w:spacing w:line="276" w:lineRule="auto"/>
      </w:pPr>
      <w:r>
        <w:rPr>
          <w:rFonts w:ascii="Times New Roman" w:hAnsi="Times New Roman"/>
          <w:b w:val="0"/>
          <w:i w:val="0"/>
          <w:sz w:val="18"/>
        </w:rPr>
        <w:t>[41] Schmidt B, Anderson PJ, Doyle LW, et al. Survival without disability to age 5 years after neonatal caffeine therapy for apnea of prematurity. *JAMA*. 2012;307(3):275–282. PMID: 22253393.</w:t>
      </w:r>
    </w:p>
    <w:p>
      <w:pPr>
        <w:spacing w:line="276" w:lineRule="auto"/>
      </w:pPr>
      <w:r>
        <w:rPr>
          <w:rFonts w:ascii="Times New Roman" w:hAnsi="Times New Roman"/>
          <w:b w:val="0"/>
          <w:i w:val="0"/>
          <w:sz w:val="18"/>
        </w:rPr>
        <w:t>[42] Doyle LW, Schmidt B, Anderson PJ, et al. Reduction in developmental coordination disorder after neonatal caffeine therapy for apnea of prematurity: an 11-year follow-up. *JAMA Pediatrics*. 2017;171(6):573–580. PMID: 28437551.</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