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产后糖皮质激素治疗早产儿：神经发育结局及地塞米松-氢化可的松证据基础的演变</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系统性叙述性综述</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产后糖皮质激素与神经发育</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~2,329 words (body); ~3,129 including references</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2 Figure(s) | 1 Table(s) | 0 References</w:t>
      </w:r>
    </w:p>
    <w:p>
      <w:pPr>
        <w:spacing w:line="360" w:lineRule="auto"/>
      </w:pPr>
      <w:r>
        <w:rPr>
          <w:rFonts w:ascii="Times New Roman" w:hAnsi="Times New Roman"/>
          <w:b w:val="0"/>
          <w:i w:val="0"/>
          <w:sz w:val="24"/>
        </w:rPr>
      </w:r>
      <w:r>
        <w:rPr>
          <w:rFonts w:ascii="Times New Roman" w:hAnsi="Times New Roman"/>
          <w:b/>
          <w:sz w:val="24"/>
        </w:rPr>
        <w:t xml:space="preserve">Target Journal: </w:t>
      </w:r>
      <w:r>
        <w:rPr>
          <w:rFonts w:ascii="Times New Roman" w:hAnsi="Times New Roman"/>
          <w:sz w:val="24"/>
        </w:rPr>
        <w:t>Pediatric Research</w:t>
      </w:r>
    </w:p>
    <w:p>
      <w:r>
        <w:br w:type="page"/>
      </w:r>
    </w:p>
    <w:p>
      <w:pPr>
        <w:pStyle w:val="Heading1"/>
      </w:pPr>
      <w:r>
        <w:rPr>
          <w:rFonts w:ascii="Times New Roman" w:hAnsi="Times New Roman"/>
          <w:color w:val="000000"/>
        </w:rPr>
        <w:t>系统性叙述性综述</w:t>
      </w:r>
    </w:p>
    <w:p>
      <w:pPr>
        <w:spacing w:line="480" w:lineRule="auto"/>
      </w:pPr>
      <w:r>
        <w:rPr>
          <w:rFonts w:ascii="Times New Roman" w:hAnsi="Times New Roman"/>
          <w:b w:val="0"/>
          <w:i w:val="0"/>
          <w:sz w:val="24"/>
        </w:rPr>
        <w:t>作者： [Author list to be inserted]</w:t>
      </w:r>
    </w:p>
    <w:p>
      <w:pPr>
        <w:spacing w:line="480" w:lineRule="auto"/>
      </w:pPr>
      <w:r>
        <w:rPr>
          <w:rFonts w:ascii="Times New Roman" w:hAnsi="Times New Roman"/>
          <w:b w:val="0"/>
          <w:i w:val="0"/>
          <w:sz w:val="24"/>
        </w:rPr>
        <w:t>目标期刊： Archives of Disease in Childhood: Fetal &amp; Neonatal Edition (BMJ)</w:t>
      </w:r>
    </w:p>
    <w:p>
      <w:pPr>
        <w:spacing w:line="480" w:lineRule="auto"/>
      </w:pPr>
      <w:r>
        <w:rPr>
          <w:rFonts w:ascii="Times New Roman" w:hAnsi="Times New Roman"/>
          <w:b w:val="0"/>
          <w:i w:val="0"/>
          <w:sz w:val="24"/>
        </w:rPr>
        <w:t>日期： 2026年6月8日</w:t>
      </w:r>
    </w:p>
    <w:p>
      <w:pPr>
        <w:spacing w:line="480" w:lineRule="auto"/>
      </w:pPr>
      <w:r>
        <w:rPr>
          <w:rFonts w:ascii="Times New Roman" w:hAnsi="Times New Roman"/>
          <w:b w:val="0"/>
          <w:i w:val="0"/>
          <w:sz w:val="24"/>
        </w:rPr>
        <w:t>版本： R4（终稿——系统检索 + 4轮内部审校）</w:t>
      </w:r>
    </w:p>
    <w:p>
      <w:pPr>
        <w:spacing w:line="480" w:lineRule="auto"/>
      </w:pPr>
      <w:r>
        <w:rPr>
          <w:rFonts w:ascii="Times New Roman" w:hAnsi="Times New Roman"/>
          <w:b w:val="0"/>
          <w:i w:val="0"/>
          <w:sz w:val="24"/>
        </w:rPr>
        <w:t>Running title: Postnatal Corticosteroids &amp; Neurodevelopment (47 characters)</w:t>
      </w:r>
    </w:p>
    <w:p>
      <w:pPr>
        <w:pStyle w:val="Heading1"/>
      </w:pPr>
      <w:r>
        <w:rPr>
          <w:rFonts w:ascii="Times New Roman" w:hAnsi="Times New Roman"/>
          <w:color w:val="000000"/>
        </w:rPr>
        <w:t>摘要</w:t>
      </w:r>
    </w:p>
    <w:p>
      <w:pPr>
        <w:spacing w:line="480" w:lineRule="auto"/>
      </w:pPr>
      <w:r>
        <w:rPr>
          <w:rFonts w:ascii="Times New Roman" w:hAnsi="Times New Roman"/>
          <w:b w:val="0"/>
          <w:i w:val="0"/>
          <w:sz w:val="24"/>
        </w:rPr>
        <w:t>目的： 综合来自随机对照试验、系统评价和观察性研究的证据，探讨产后全身性糖皮质激素——地塞米松与氢化可的松——与早产儿远期神经发育结局之间的关联。</w:t>
      </w:r>
    </w:p>
    <w:p>
      <w:pPr>
        <w:spacing w:line="480" w:lineRule="auto"/>
      </w:pPr>
      <w:r>
        <w:rPr>
          <w:rFonts w:ascii="Times New Roman" w:hAnsi="Times New Roman"/>
          <w:b w:val="0"/>
          <w:i w:val="0"/>
          <w:sz w:val="24"/>
        </w:rPr>
        <w:t>方法： 系统检索 Europe PMC（6个检索角度），共获得8,406条唯一记录。经标题筛选和摘要审查（依据预设的PICO标准），纳入309篇文献。采用叙述性综合方法，优先纳入Cochrane系统评价、有神经发育随访的RCT以及近期（2022–2026年）队列研究。</w:t>
      </w:r>
    </w:p>
    <w:p>
      <w:pPr>
        <w:spacing w:line="480" w:lineRule="auto"/>
      </w:pPr>
      <w:r>
        <w:rPr>
          <w:rFonts w:ascii="Times New Roman" w:hAnsi="Times New Roman"/>
          <w:b w:val="0"/>
          <w:i w:val="0"/>
          <w:sz w:val="24"/>
        </w:rPr>
        <w:t>结果： 早期（&lt;7天）地塞米松降低支气管肺发育不良（RR 0.76, 95% CI 0.67–0.86; NNT ~10），但增加脑瘫（RR 1.42, 95% CI 1.08–1.87; NNH ~20），该信号主要由地塞米松试验驱动，不可推广至氢化可的松。晚期（≥7天）地塞米松减弱但未消除脑瘫信号（RR 1.12, 95% CI 0.81–1.54）。氢化可的松试验（PREMILOC、SToP-BPD、NICHD NRN）未显示脑瘫风险增加，且其中两项现已拥有学龄期随访数据（SToP-BPD 5.5年和NICHD NRN学龄期结局，均为2026年发表），提供了氢化可的松远期神经发育安全性的首批证据。一项2023年网络荟萃分析确定了中等早期低剂量地塞米松和晚期低剂量氢化可的松为优化BPD-脑瘫权衡的方案。吸入性布地奈德尽管降低BPD（NEUROSIS: RR 0.74），却增加了死亡率（RR 1.37）和5年神经发育损害（RR 1.41）。EPICE队列数据提示，产后糖皮质激素的神经发育效应可能取决于基线BPD风险。证据基础仍受限于随访主要终止于18–24个月，但氢化可的松的学龄期数据代表了实质性进展。</w:t>
      </w:r>
    </w:p>
    <w:p>
      <w:pPr>
        <w:spacing w:line="480" w:lineRule="auto"/>
      </w:pPr>
      <w:r>
        <w:rPr>
          <w:rFonts w:ascii="Times New Roman" w:hAnsi="Times New Roman"/>
          <w:b w:val="0"/>
          <w:i w:val="0"/>
          <w:sz w:val="24"/>
        </w:rPr>
        <w:t>结论： 产后糖皮质激素证据已从简单的地塞米松毒性叙事演变为更为精细的图景——药物选择、时机和累积剂量独立地调节神经发育风险。氢化可的松，尤其在生后第一周之后启动，具有优于早期地塞米松的神经发育安全性谱，其新兴的学龄期数据将进一步界定其远期安全性。地塞米松-氢化可的松选择应根据BPD风险进行个体化：氢化可的松为大多数需要治疗婴儿的首选，地塞米松保留用于顽固性病例。</w:t>
      </w:r>
    </w:p>
    <w:p>
      <w:pPr>
        <w:spacing w:line="480" w:lineRule="auto"/>
      </w:pPr>
      <w:r>
        <w:rPr>
          <w:rFonts w:ascii="Times New Roman" w:hAnsi="Times New Roman"/>
          <w:b w:val="0"/>
          <w:i w:val="0"/>
          <w:sz w:val="24"/>
        </w:rPr>
        <w:t>关键词： 产后糖皮质激素，地塞米松，氢化可的松，早产儿，支气管肺发育不良，神经发育，脑瘫，系统评价</w:t>
      </w:r>
    </w:p>
    <w:p>
      <w:pPr>
        <w:pStyle w:val="Heading1"/>
      </w:pPr>
      <w:r>
        <w:rPr>
          <w:rFonts w:ascii="Times New Roman" w:hAnsi="Times New Roman"/>
          <w:color w:val="000000"/>
        </w:rPr>
        <w:t>1. 引言</w:t>
      </w:r>
    </w:p>
    <w:p>
      <w:pPr>
        <w:spacing w:line="480" w:lineRule="auto"/>
      </w:pPr>
      <w:r>
        <w:rPr>
          <w:rFonts w:ascii="Times New Roman" w:hAnsi="Times New Roman"/>
          <w:b w:val="0"/>
          <w:i w:val="0"/>
          <w:sz w:val="24"/>
        </w:rPr>
        <w:t>支气管肺发育不良（BPD）累及约40%的胎龄&lt;28周早产儿[1]，与脑瘫、认知延迟和生活质量下降独立相关[2]。在预防BPD的药物策略中，产后全身性糖皮质激素占据独特且充满争议的位置：它们既是降低BPD最有效的干预之一，同时也是神经发育损害潜力最为明确记录的干预之一。</w:t>
      </w:r>
    </w:p>
    <w:p>
      <w:pPr>
        <w:spacing w:line="480" w:lineRule="auto"/>
      </w:pPr>
      <w:r>
        <w:rPr>
          <w:rFonts w:ascii="Times New Roman" w:hAnsi="Times New Roman"/>
          <w:b w:val="0"/>
          <w:i w:val="0"/>
          <w:sz w:val="24"/>
        </w:rPr>
        <w:t>证据基础已发生实质性演变。1980–1990年代的早期地塞米松试验展示了巨大的肺获益，但产生了脑瘫信号，导致美国儿科学会于2002年建议反对常规使用[3]。此后二十年见证了氢化可的松作为一种潜在更安全的替代方案的出现，在三项大型RCT（PREMILOC、SToP-BPD、NICHD NRN）中得到检验，且——至为关键的是——2026年其中两项试验发表了学龄期随访数据，代表了除地塞米松外任何产后糖皮质激素方案的首次远期神经发育证据。</w:t>
      </w:r>
    </w:p>
    <w:p>
      <w:pPr>
        <w:spacing w:line="480" w:lineRule="auto"/>
      </w:pPr>
      <w:r>
        <w:rPr>
          <w:rFonts w:ascii="Times New Roman" w:hAnsi="Times New Roman"/>
          <w:b w:val="0"/>
          <w:i w:val="0"/>
          <w:sz w:val="24"/>
        </w:rPr>
        <w:t>本综述综合产后糖皮质激素神经发育后果的当前证据，聚焦于地塞米松-氢化可的松比较。综述基于Europe PMC的系统检索（8,406条记录筛选，309篇纳入），优先纳入RCT证据、Cochrane系统评价以及有神经发育随访的近期队列研究。吸入性糖皮质激素作为次级比较路径进行评述。</w:t>
      </w:r>
    </w:p>
    <w:p>
      <w:pPr>
        <w:pStyle w:val="Heading1"/>
      </w:pPr>
      <w:r>
        <w:rPr>
          <w:rFonts w:ascii="Times New Roman" w:hAnsi="Times New Roman"/>
          <w:color w:val="000000"/>
        </w:rPr>
        <w:t>2. 历史脉络</w:t>
      </w:r>
    </w:p>
    <w:p>
      <w:pPr>
        <w:pStyle w:val="Heading2"/>
      </w:pPr>
      <w:r>
        <w:rPr>
          <w:rFonts w:ascii="Times New Roman" w:hAnsi="Times New Roman"/>
          <w:color w:val="000000"/>
        </w:rPr>
        <w:t>2.1 地塞米松时代</w:t>
      </w:r>
    </w:p>
    <w:p>
      <w:pPr>
        <w:spacing w:line="480" w:lineRule="auto"/>
      </w:pPr>
      <w:r>
        <w:rPr>
          <w:rFonts w:ascii="Times New Roman" w:hAnsi="Times New Roman"/>
          <w:b w:val="0"/>
          <w:i w:val="0"/>
          <w:sz w:val="24"/>
        </w:rPr>
        <w:t>全身性糖皮质激素于1980年代进入新生儿临床，其驱动力是认识到肺部炎症为BPD发病机制的核心驱动因素[4,5]。早期试验使用长时间地塞米松疗程——28至42天，累积剂量超过5 mg/kg——展示了BPD的大幅降低（RR 0.76, NNT ~10），促进拔管并缩短通气时间[6]。至1990年代中期，产后地塞米松已成为许多NICU的标准治疗，在一些中心极低出生体重儿的使用率超过20%[7]。</w:t>
      </w:r>
    </w:p>
    <w:p>
      <w:pPr>
        <w:pStyle w:val="Heading2"/>
      </w:pPr>
      <w:r>
        <w:rPr>
          <w:rFonts w:ascii="Times New Roman" w:hAnsi="Times New Roman"/>
          <w:color w:val="000000"/>
        </w:rPr>
        <w:t>2.2 脑瘫信号的浮现</w:t>
      </w:r>
    </w:p>
    <w:p>
      <w:pPr>
        <w:spacing w:line="480" w:lineRule="auto"/>
      </w:pPr>
      <w:r>
        <w:rPr>
          <w:rFonts w:ascii="Times New Roman" w:hAnsi="Times New Roman"/>
          <w:b w:val="0"/>
          <w:i w:val="0"/>
          <w:sz w:val="24"/>
        </w:rPr>
        <w:t>首个警示来自Shinwell等（1996），报告地塞米松治疗婴儿的脑瘫率为39% vs 13%（P &lt; 0.01）[8]——这一惊人的高绝对率反映了早期试验的极端累积剂量和重症人群。O'Shea等（1999）证实了神经运动异常的增加[9]。Yeh等提供了最详尽的随访：学龄期时，地塞米松暴露儿童的全量表智商显著低于早产对照组（78.2 vs 84.4; P = 0.008），在言语智商、操作智商、知觉组织、加工速度方面均存在缺陷[10,11]。一项2023年纳入18项观察性研究（1,609例患者）的系统评价确认了这些认知缺陷在不同人群中的一致性[12]。</w:t>
      </w:r>
    </w:p>
    <w:p>
      <w:pPr>
        <w:spacing w:line="480" w:lineRule="auto"/>
      </w:pPr>
      <w:r>
        <w:rPr>
          <w:rFonts w:ascii="Times New Roman" w:hAnsi="Times New Roman"/>
          <w:b w:val="0"/>
          <w:i w:val="0"/>
          <w:sz w:val="24"/>
        </w:rPr>
        <w:t>地塞米松神经毒性的生物学合理性坚实。糖皮质激素受体密集表达于发育中的海马、小脑和前额叶皮层——这些区域在孕晚期经历爆发性生长。动物模型证明，在关键发育窗口期暴露于地塞米松可触发神经元凋亡、减少小脑体积并损害髓鞘形成[22]。</w:t>
      </w:r>
    </w:p>
    <w:p>
      <w:pPr>
        <w:pStyle w:val="Heading2"/>
      </w:pPr>
      <w:r>
        <w:rPr>
          <w:rFonts w:ascii="Times New Roman" w:hAnsi="Times New Roman"/>
          <w:color w:val="000000"/>
        </w:rPr>
        <w:t>2.3 监管回应</w:t>
      </w:r>
    </w:p>
    <w:p>
      <w:pPr>
        <w:spacing w:line="480" w:lineRule="auto"/>
      </w:pPr>
      <w:r>
        <w:rPr>
          <w:rFonts w:ascii="Times New Roman" w:hAnsi="Times New Roman"/>
          <w:b w:val="0"/>
          <w:i w:val="0"/>
          <w:sz w:val="24"/>
        </w:rPr>
        <w:t>2002年，AAP胎儿与新生儿委员会声明："不推荐常规使用全身性地塞米松预防或治疗极低出生体重儿的慢性肺病"[3]。美国NICU地塞米松使用率从约20%骤降至5%以下[7]，伴随BPD发生率的非预期上升[13]。从过度使用到使用不足的钟摆式摆动，为随后二十年框定了核心问题：更低剂量、更晚启动或不同药物，能否在保留肺获益的同时最小化神经损害？</w:t>
      </w:r>
    </w:p>
    <w:p>
      <w:pPr>
        <w:pStyle w:val="Heading1"/>
      </w:pPr>
      <w:r>
        <w:rPr>
          <w:rFonts w:ascii="Times New Roman" w:hAnsi="Times New Roman"/>
          <w:color w:val="000000"/>
        </w:rPr>
        <w:t>3. Cochrane证据：时机与药物</w:t>
      </w:r>
    </w:p>
    <w:p>
      <w:pPr>
        <w:spacing w:line="480" w:lineRule="auto"/>
      </w:pPr>
      <w:r>
        <w:rPr>
          <w:rFonts w:ascii="Times New Roman" w:hAnsi="Times New Roman"/>
          <w:b w:val="0"/>
          <w:i w:val="0"/>
          <w:sz w:val="24"/>
        </w:rPr>
        <w:t>AAP声明后二十年间积累的证据基础，为其提出的问题提供了部分答案。Cochrane新生儿组分别维护早期和晚期产后糖皮质激素的系统评价，最近更新于2021年[14,15]。这些评价，连同2024年Cochrane综述总览[16]和两项网络荟萃分析[17,18]，提供了最高质量的证据综合。</w:t>
      </w:r>
    </w:p>
    <w:p>
      <w:pPr>
        <w:pStyle w:val="Heading2"/>
      </w:pPr>
      <w:r>
        <w:rPr>
          <w:rFonts w:ascii="Times New Roman" w:hAnsi="Times New Roman"/>
          <w:color w:val="000000"/>
        </w:rPr>
        <w:t>3.1 早期糖皮质激素（&lt;7天）</w:t>
      </w:r>
    </w:p>
    <w:p>
      <w:pPr>
        <w:spacing w:line="480" w:lineRule="auto"/>
      </w:pPr>
      <w:r>
        <w:rPr>
          <w:rFonts w:ascii="Times New Roman" w:hAnsi="Times New Roman"/>
          <w:b w:val="0"/>
          <w:i w:val="0"/>
          <w:sz w:val="24"/>
        </w:rPr>
        <w:t>2021年Cochrane评价纳入32项RCT（4,395例婴儿）[14]。早期糖皮质激素降低BPD（RR 0.76, 95% CI 0.67–0.86; NNT ~10）和死亡或BPD复合结局（RR 0.87, 95% CI 0.79–0.95），但增加脑瘫（RR 1.42, 95% CI 1.08–1.87; NNH ~20; GRADE高确定性）。脑瘫信号稳健，跨试验一致，且主要由地塞米松驱动——氢化可的松对合并估计的贡献微乎其微。</w:t>
      </w:r>
    </w:p>
    <w:p>
      <w:pPr>
        <w:pStyle w:val="Heading2"/>
      </w:pPr>
      <w:r>
        <w:rPr>
          <w:rFonts w:ascii="Times New Roman" w:hAnsi="Times New Roman"/>
          <w:color w:val="000000"/>
        </w:rPr>
        <w:t>3.2 晚期糖皮质激素（≥7天）</w:t>
      </w:r>
    </w:p>
    <w:p>
      <w:pPr>
        <w:spacing w:line="480" w:lineRule="auto"/>
      </w:pPr>
      <w:r>
        <w:rPr>
          <w:rFonts w:ascii="Times New Roman" w:hAnsi="Times New Roman"/>
          <w:b w:val="0"/>
          <w:i w:val="0"/>
          <w:sz w:val="24"/>
        </w:rPr>
        <w:t>晚期糖皮质激素评价纳入23项RCT（1,817例婴儿）[15]。晚期给药降低BPD（RR 0.80, 95% CI 0.70–0.91; NNT ~13）和死亡或BPD（RR 0.83, 95% CI 0.73–0.94），脑瘫风险减弱（RR 1.12, 95% CI 0.81–1.54）。死亡率降低（RR 0.81, 95% CI 0.66–0.99; GRADE高确定性），这一发现在早期评价中不存在。</w:t>
      </w:r>
    </w:p>
    <w:p>
      <w:pPr>
        <w:pStyle w:val="Heading2"/>
      </w:pPr>
      <w:r>
        <w:rPr>
          <w:rFonts w:ascii="Times New Roman" w:hAnsi="Times New Roman"/>
          <w:color w:val="000000"/>
        </w:rPr>
        <w:t>3.3 剂量维度</w:t>
      </w:r>
    </w:p>
    <w:p>
      <w:pPr>
        <w:spacing w:line="480" w:lineRule="auto"/>
      </w:pPr>
      <w:r>
        <w:rPr>
          <w:rFonts w:ascii="Times New Roman" w:hAnsi="Times New Roman"/>
          <w:b w:val="0"/>
          <w:i w:val="0"/>
          <w:sz w:val="24"/>
        </w:rPr>
        <w:t>累积剂量是贯穿时机-药物分类的一个变量。早期地塞米松试验使用&gt;5 mg/kg；随后使用远更低暴露量的试验报告了令人放心的神经发育谱，详见第4和第5章。2021年纳入14种糖皮质激素方案的网络荟萃分析[18]发现，中等早期低剂量地塞米松（MoLdDX）和晚期低剂量氢化可的松优化了风险获益平衡，而早期高剂量地塞米松具有最不利的谱。2023年网络荟萃分析[17]确认，没有单一方案能同时实现BPD降低最大化和神经发育风险最小化。</w:t>
      </w:r>
    </w:p>
    <w:p>
      <w:pPr>
        <w:pStyle w:val="Heading2"/>
      </w:pPr>
      <w:r>
        <w:rPr>
          <w:rFonts w:ascii="Times New Roman" w:hAnsi="Times New Roman"/>
          <w:color w:val="000000"/>
        </w:rPr>
        <w:t>3.4 地塞米松与氢化可的松</w:t>
      </w:r>
    </w:p>
    <w:p>
      <w:pPr>
        <w:spacing w:line="480" w:lineRule="auto"/>
      </w:pPr>
      <w:r>
        <w:rPr>
          <w:rFonts w:ascii="Times New Roman" w:hAnsi="Times New Roman"/>
          <w:b w:val="0"/>
          <w:i w:val="0"/>
          <w:sz w:val="24"/>
        </w:rPr>
        <w:t>尚无充分把握度的头对头试验。间接证据一致显示地塞米松具有更大的BPD效应量（RR 0.72），而氢化可的松效应较弱（RR 0.86，跨过无效线）[21]，神经风险集中在地塞米松治疗的婴儿中。药理学基础合理：地塞米松为长效、纯糖皮质激素受体激动剂，脑受体占据率高；氢化可的松作用时间较短，兼具糖皮质激素和盐皮质激素活性[22]。</w:t>
      </w:r>
    </w:p>
    <w:p>
      <w:pPr>
        <w:pStyle w:val="Heading1"/>
      </w:pPr>
      <w:r>
        <w:rPr>
          <w:rFonts w:ascii="Times New Roman" w:hAnsi="Times New Roman"/>
          <w:color w:val="000000"/>
        </w:rPr>
        <w:t>4. 地塞米松证据详析</w:t>
      </w:r>
    </w:p>
    <w:p>
      <w:pPr>
        <w:pStyle w:val="Heading2"/>
      </w:pPr>
      <w:r>
        <w:rPr>
          <w:rFonts w:ascii="Times New Roman" w:hAnsi="Times New Roman"/>
          <w:color w:val="000000"/>
        </w:rPr>
        <w:t>4.1 里程碑试验</w:t>
      </w:r>
    </w:p>
    <w:p>
      <w:pPr>
        <w:spacing w:line="480" w:lineRule="auto"/>
      </w:pPr>
      <w:r>
        <w:rPr>
          <w:rFonts w:ascii="Times New Roman" w:hAnsi="Times New Roman"/>
          <w:b w:val="0"/>
          <w:i w:val="0"/>
          <w:sz w:val="24"/>
        </w:rPr>
        <w:t>早期地塞米松的脑瘫信号（第2.2节）来源于使用长时间高剂量疗程的试验。DART试验（2007）检验了生后第一周后使用低剂量10天方案（0.89 mg/kg）是否能避免神经毒性[19]。在70例婴儿中（因AAP 2002后招募困难而把握度不足），脑瘫率为14% vs 22%，死亡或脑瘫为23% vs 37%——方向性令人放心但不具确定性。DART确立了剂量和时机调节风险的原则，但未精确量化该调节。</w:t>
      </w:r>
    </w:p>
    <w:p>
      <w:pPr>
        <w:pStyle w:val="Heading2"/>
      </w:pPr>
      <w:r>
        <w:rPr>
          <w:rFonts w:ascii="Times New Roman" w:hAnsi="Times New Roman"/>
          <w:color w:val="000000"/>
        </w:rPr>
        <w:t>4.2 超越脑瘫</w:t>
      </w:r>
    </w:p>
    <w:p>
      <w:pPr>
        <w:spacing w:line="480" w:lineRule="auto"/>
      </w:pPr>
      <w:r>
        <w:rPr>
          <w:rFonts w:ascii="Times New Roman" w:hAnsi="Times New Roman"/>
          <w:b w:val="0"/>
          <w:i w:val="0"/>
          <w:sz w:val="24"/>
        </w:rPr>
        <w:t>一项2014年地塞米松RCT荟萃分析[23]发现对智力和听力的不良效应。一项2025年队列研究显示，低剂量产后地塞米松与足月等效年龄MRI上局部脑体积改变相关[24]——提示即使"低剂量"地塞米松也可能具有可测量的结构性脑效应，尽管这些体积差异的功能意义尚不清楚。</w:t>
      </w:r>
    </w:p>
    <w:p>
      <w:pPr>
        <w:pStyle w:val="Heading1"/>
      </w:pPr>
      <w:r>
        <w:rPr>
          <w:rFonts w:ascii="Times New Roman" w:hAnsi="Times New Roman"/>
          <w:color w:val="000000"/>
        </w:rPr>
        <w:t>5. 氢化可的松：新兴证据</w:t>
      </w:r>
    </w:p>
    <w:p>
      <w:pPr>
        <w:pStyle w:val="Heading2"/>
      </w:pPr>
      <w:r>
        <w:rPr>
          <w:rFonts w:ascii="Times New Roman" w:hAnsi="Times New Roman"/>
          <w:color w:val="000000"/>
        </w:rPr>
        <w:t>5.1 PREMILOC：预防性低剂量氢化可的松</w:t>
      </w:r>
    </w:p>
    <w:p>
      <w:pPr>
        <w:spacing w:line="480" w:lineRule="auto"/>
      </w:pPr>
      <w:r>
        <w:rPr>
          <w:rFonts w:ascii="Times New Roman" w:hAnsi="Times New Roman"/>
          <w:b w:val="0"/>
          <w:i w:val="0"/>
          <w:sz w:val="24"/>
        </w:rPr>
        <w:t>PREMILOC将523例婴儿（24–27周）随机分配至预防性低剂量氢化可的松（1 mg/kg/天×7天，后0.5 mg/kg/天×3天）或安慰剂，于生后24小时内启动[20]。其理论基础借鉴了早产儿常见相对肾上腺皮质功能不全的证据[48]。氢化可的松提高无BPD生存率（60% vs 51%; OR 1.48, 95% CI 1.02–2.16; NNT = 12）。2年随访时，24–25周胎龄层NDI为2% vs 18%——这一显著差异主要由最不成熟的婴儿驱动[25,26]。氢化可的松在任何胎龄均未与脑瘫增加相关。事后分析（2024）细化了治疗效应（校正OR 2.05; NNT = 5.8）[28]，并证明40周——而非传统36周终点——的BPD更好地预测2年NDI[27]。</w:t>
      </w:r>
    </w:p>
    <w:p>
      <w:pPr>
        <w:spacing w:line="480" w:lineRule="auto"/>
      </w:pPr>
      <w:r>
        <w:rPr>
          <w:rFonts w:ascii="Times New Roman" w:hAnsi="Times New Roman"/>
          <w:b w:val="0"/>
          <w:i w:val="0"/>
          <w:sz w:val="24"/>
        </w:rPr>
        <w:t>意义： PREMILOC提供了首个RCT证据，表明早期氢化可的松不具有地塞米松的神经毒性谱。胎龄依赖性效应提示最不成熟的婴儿获益最大。</w:t>
      </w:r>
    </w:p>
    <w:p>
      <w:pPr>
        <w:pStyle w:val="Heading2"/>
      </w:pPr>
      <w:r>
        <w:rPr>
          <w:rFonts w:ascii="Times New Roman" w:hAnsi="Times New Roman"/>
          <w:color w:val="000000"/>
        </w:rPr>
        <w:t>5.2 SToP-BPD：晚期较高剂量氢化可的松</w:t>
      </w:r>
    </w:p>
    <w:p>
      <w:pPr>
        <w:spacing w:line="480" w:lineRule="auto"/>
      </w:pPr>
      <w:r>
        <w:rPr>
          <w:rFonts w:ascii="Times New Roman" w:hAnsi="Times New Roman"/>
          <w:b w:val="0"/>
          <w:i w:val="0"/>
          <w:sz w:val="24"/>
        </w:rPr>
        <w:t>SToP-BPD将371例通气婴儿（&lt;30周）随机分配至氢化可的松（72.5 mg/kg，22天疗程，7–14天启动）或安慰剂[29,30]。试验未达主要BPD终点（70.2% vs 73.1%; 校正RD −2.8%; P = 0.55），但氢化可的松促进了早期拔管。2年时，死亡或NDI为56.7% vs 62.7%（非显著）；死亡为21.5% vs 29.5%（P = 0.08）。足月脑MRI显示异常评分或局部体积无差异[31]。氢化可的松治疗儿童2岁时焦虑评分更低[30]；&lt;27周婴儿显示潜在生存获益[32]。</w:t>
      </w:r>
    </w:p>
    <w:p>
      <w:pPr>
        <w:spacing w:line="480" w:lineRule="auto"/>
      </w:pPr>
      <w:r>
        <w:rPr>
          <w:rFonts w:ascii="Times New Roman" w:hAnsi="Times New Roman"/>
          <w:b w:val="0"/>
          <w:i w:val="0"/>
          <w:sz w:val="24"/>
        </w:rPr>
        <w:t>5.5年随访（2026）。 SToP-BPD 5.5年神经发育随访[33]——除Yeh 2004外仅有的两项拥有学龄期数据的产后糖皮质激素RCT之一——评估了认知、运动、神经感觉、行为和学校功能。这代表了证据基础的关键补充，提供了来自RCT的首批远期氢化可的松安全性数据。</w:t>
      </w:r>
    </w:p>
    <w:p>
      <w:pPr>
        <w:pStyle w:val="Heading2"/>
      </w:pPr>
      <w:r>
        <w:rPr>
          <w:rFonts w:ascii="Times New Roman" w:hAnsi="Times New Roman"/>
          <w:color w:val="000000"/>
        </w:rPr>
        <w:t>5.3 NICHD NRN氢化可的松试验</w:t>
      </w:r>
    </w:p>
    <w:p>
      <w:pPr>
        <w:spacing w:line="480" w:lineRule="auto"/>
      </w:pPr>
      <w:r>
        <w:rPr>
          <w:rFonts w:ascii="Times New Roman" w:hAnsi="Times New Roman"/>
          <w:b w:val="0"/>
          <w:i w:val="0"/>
          <w:sz w:val="24"/>
        </w:rPr>
        <w:t>NICHD NRN试验将799例婴儿（&lt;30周，通气≥7天）随机分配至10天氢化可的松疗程（14–28天启动）或安慰剂[34]。氢化可的松既未降低BPD或死亡（40.8% vs 40.4%），也未增加NDI或死亡（38.1% vs 37.9%）。二次分析未发现基线BPD风险与治疗效应之间的显著交互[35]。</w:t>
      </w:r>
    </w:p>
    <w:p>
      <w:pPr>
        <w:spacing w:line="480" w:lineRule="auto"/>
      </w:pPr>
      <w:r>
        <w:rPr>
          <w:rFonts w:ascii="Times New Roman" w:hAnsi="Times New Roman"/>
          <w:b w:val="0"/>
          <w:i w:val="0"/>
          <w:sz w:val="24"/>
        </w:rPr>
        <w:t>学龄期随访（2026）。 NICHD NRN学龄期随访[36]——两项2026年发表中的第二项——评估了HC试验队列中早期学龄期的功能运动、认知、学业和肺功能结局。与SToP-BPD 5.5年数据一起，这代表了除Yeh地塞米松队列外任何产后糖皮质激素的首批RCT来源的学龄期证据，以及氢化可的松的首次。</w:t>
      </w:r>
    </w:p>
    <w:p>
      <w:pPr>
        <w:pStyle w:val="Heading2"/>
      </w:pPr>
      <w:r>
        <w:rPr>
          <w:rFonts w:ascii="Times New Roman" w:hAnsi="Times New Roman"/>
          <w:color w:val="000000"/>
        </w:rPr>
        <w:t>5.4 氢化可的松剂量与远期神经发育</w:t>
      </w:r>
    </w:p>
    <w:p>
      <w:pPr>
        <w:spacing w:line="480" w:lineRule="auto"/>
      </w:pPr>
      <w:r>
        <w:rPr>
          <w:rFonts w:ascii="Times New Roman" w:hAnsi="Times New Roman"/>
          <w:b w:val="0"/>
          <w:i w:val="0"/>
          <w:sz w:val="24"/>
        </w:rPr>
        <w:t>一项2026年日本队列研究[37]发现，极低出生体重儿的总氢化可的松剂量与直至学龄期的神经发育结局相关，提示存在与地塞米松剂量-毒性梯度平行的剂量-反应关系。即使在"更安全"的氢化可的松类别内，累积剂量仍有影响。</w:t>
      </w:r>
    </w:p>
    <w:p>
      <w:pPr>
        <w:pStyle w:val="Heading1"/>
      </w:pPr>
      <w:r>
        <w:rPr>
          <w:rFonts w:ascii="Times New Roman" w:hAnsi="Times New Roman"/>
          <w:color w:val="000000"/>
        </w:rPr>
        <w:t>6. 吸入性糖皮质激素</w:t>
      </w:r>
    </w:p>
    <w:p>
      <w:pPr>
        <w:spacing w:line="480" w:lineRule="auto"/>
      </w:pPr>
      <w:r>
        <w:rPr>
          <w:rFonts w:ascii="Times New Roman" w:hAnsi="Times New Roman"/>
          <w:b w:val="0"/>
          <w:i w:val="0"/>
          <w:sz w:val="24"/>
        </w:rPr>
        <w:t>吸入性糖皮质激素提供了直接肺递送并理论上减少全身吸收的优势。然而，经雾化或定量吸入器给药的布地奈德在早产儿体内产生可测量的血浆浓度，其不成熟的肝脏代谢可能导致比年长人群更高的游离药物水平[2]。吸入性糖皮质激素究竟是真正局部还是以不同途径全身给药，仍未完全确定。</w:t>
      </w:r>
    </w:p>
    <w:p>
      <w:pPr>
        <w:pStyle w:val="Heading2"/>
      </w:pPr>
      <w:r>
        <w:rPr>
          <w:rFonts w:ascii="Times New Roman" w:hAnsi="Times New Roman"/>
          <w:color w:val="000000"/>
        </w:rPr>
        <w:t>6.1 NEUROSIS试验</w:t>
      </w:r>
    </w:p>
    <w:p>
      <w:pPr>
        <w:spacing w:line="480" w:lineRule="auto"/>
      </w:pPr>
      <w:r>
        <w:rPr>
          <w:rFonts w:ascii="Times New Roman" w:hAnsi="Times New Roman"/>
          <w:b w:val="0"/>
          <w:i w:val="0"/>
          <w:sz w:val="24"/>
        </w:rPr>
        <w:t>NEUROSIS将863例婴儿（23–27周）随机分配至早期吸入布地奈德或安慰剂[38]。布地奈德降低BPD（RR 0.74, 95% CI 0.60–0.91; NNT ~14），但事后分析揭示死亡率增加（18.9% vs 14.4%; RR 1.37, 95% CI 1.01–1.86; NNH ~18）。5年随访[39]发现，幸存者中布地奈德与更高比例的中重度NDI相关（16.9% vs 12.0%; RR 1.41, 95% CI 1.01–1.96）。死亡或神经发育残疾的复合结局显著有利于安慰剂——这是新生儿学中一项治疗改善短期终点却在最重要终点上恶化结局的罕见实例。</w:t>
      </w:r>
    </w:p>
    <w:p>
      <w:pPr>
        <w:pStyle w:val="Heading2"/>
      </w:pPr>
      <w:r>
        <w:rPr>
          <w:rFonts w:ascii="Times New Roman" w:hAnsi="Times New Roman"/>
          <w:color w:val="000000"/>
        </w:rPr>
        <w:t>6.2 布地奈德-表面活性物质联合治疗</w:t>
      </w:r>
    </w:p>
    <w:p>
      <w:pPr>
        <w:spacing w:line="480" w:lineRule="auto"/>
      </w:pPr>
      <w:r>
        <w:rPr>
          <w:rFonts w:ascii="Times New Roman" w:hAnsi="Times New Roman"/>
          <w:b w:val="0"/>
          <w:i w:val="0"/>
          <w:sz w:val="24"/>
        </w:rPr>
        <w:t>近期系统评价[40,41]评估了气管内布地奈德联合表面活性物质。虽有短期BPD降低的报告，但远期神经发育数据缺如。该方法仍属研究性质。</w:t>
      </w:r>
    </w:p>
    <w:p>
      <w:pPr>
        <w:pStyle w:val="Heading1"/>
      </w:pPr>
      <w:r>
        <w:rPr>
          <w:rFonts w:ascii="Times New Roman" w:hAnsi="Times New Roman"/>
          <w:color w:val="000000"/>
        </w:rPr>
        <w:t>7. 神经发育结局：综合分析</w:t>
      </w:r>
    </w:p>
    <w:p>
      <w:pPr>
        <w:pStyle w:val="Heading2"/>
      </w:pPr>
      <w:r>
        <w:rPr>
          <w:rFonts w:ascii="Times New Roman" w:hAnsi="Times New Roman"/>
          <w:color w:val="000000"/>
        </w:rPr>
        <w:t>7.1 测量问题</w:t>
      </w:r>
    </w:p>
    <w:p>
      <w:pPr>
        <w:spacing w:line="480" w:lineRule="auto"/>
      </w:pPr>
      <w:r>
        <w:rPr>
          <w:rFonts w:ascii="Times New Roman" w:hAnsi="Times New Roman"/>
          <w:b w:val="0"/>
          <w:i w:val="0"/>
          <w:sz w:val="24"/>
        </w:rPr>
        <w:t>绝大多数产后糖皮质激素试验使用18–24月龄的Bayley量表评估神经发育。Bayley-III&lt;85预测学龄期智商&lt;85的敏感性和特异性分别约50–60%和70–80%[42]。2岁时正常的Bayley评分仅为8岁时认知功能提供适度保证——这一局限性切入了围绕这些疗法不确定性的核心。</w:t>
      </w:r>
    </w:p>
    <w:p>
      <w:pPr>
        <w:pStyle w:val="Heading2"/>
      </w:pPr>
      <w:r>
        <w:rPr>
          <w:rFonts w:ascii="Times New Roman" w:hAnsi="Times New Roman"/>
          <w:color w:val="000000"/>
        </w:rPr>
        <w:t>7.2 脑瘫：清晰的梯度</w:t>
      </w:r>
    </w:p>
    <w:p>
      <w:pPr>
        <w:spacing w:line="480" w:lineRule="auto"/>
      </w:pPr>
      <w:r>
        <w:rPr>
          <w:rFonts w:ascii="Times New Roman" w:hAnsi="Times New Roman"/>
          <w:b w:val="0"/>
          <w:i w:val="0"/>
          <w:sz w:val="24"/>
        </w:rPr>
        <w:t>Cochrane数据确立了清晰的梯度：早期地塞米松增加脑瘫（GRADE高确定性）；晚期地塞米松的信号减弱（置信区间跨过无效线但不排除损害）；氢化可的松在任何试验或荟萃分析中均未与脑瘫的统计学显著增加相关联[14,15]。基线脑瘫风险至关重要：在Cochrane人群中（~15–20%），早期地塞米松的绝对增加约5个百分点（NNH ~20）；在当代NICU中脑瘫率已降至8–12%，比例性损害可能更低。</w:t>
      </w:r>
    </w:p>
    <w:p>
      <w:pPr>
        <w:pStyle w:val="Heading2"/>
      </w:pPr>
      <w:r>
        <w:rPr>
          <w:rFonts w:ascii="Times New Roman" w:hAnsi="Times New Roman"/>
          <w:color w:val="000000"/>
        </w:rPr>
        <w:t>7.3 学龄期认知</w:t>
      </w:r>
    </w:p>
    <w:p>
      <w:pPr>
        <w:spacing w:line="480" w:lineRule="auto"/>
      </w:pPr>
      <w:r>
        <w:rPr>
          <w:rFonts w:ascii="Times New Roman" w:hAnsi="Times New Roman"/>
          <w:b w:val="0"/>
          <w:i w:val="0"/>
          <w:sz w:val="24"/>
        </w:rPr>
        <w:t>Yeh 2004学龄期随访[10]和Jenkinson 2023系统评价[12]记录了地塞米松暴露儿童5–7个智商点的缺陷——具有实质个体后果的人群水平偏移。这些观察性数据受到适应证混杂的影响。关键的进展是2026年两项氢化可的松RCT的学龄期随访数据[33,36]的发表——这是除Yeh等报告的单一地塞米松队列[10]外，任何产后糖皮质激素的首批超越2年的对照证据。</w:t>
      </w:r>
    </w:p>
    <w:p>
      <w:pPr>
        <w:pStyle w:val="Heading2"/>
      </w:pPr>
      <w:r>
        <w:rPr>
          <w:rFonts w:ascii="Times New Roman" w:hAnsi="Times New Roman"/>
          <w:color w:val="000000"/>
        </w:rPr>
        <w:t>7.4 行为与执行功能</w:t>
      </w:r>
    </w:p>
    <w:p>
      <w:pPr>
        <w:spacing w:line="480" w:lineRule="auto"/>
      </w:pPr>
      <w:r>
        <w:rPr>
          <w:rFonts w:ascii="Times New Roman" w:hAnsi="Times New Roman"/>
          <w:b w:val="0"/>
          <w:i w:val="0"/>
          <w:sz w:val="24"/>
        </w:rPr>
        <w:t>在认知之外，证据稀疏。SToP-BPD报告HC治疗儿童2岁时焦虑评分更低[30]。尚无RCT报告任何产后糖皮质激素在中年儿童期或青少年期的执行功能、社会能力或心理健康结局——这些是对生活质量最相关的结局，仍未得到测量。</w:t>
      </w:r>
    </w:p>
    <w:p>
      <w:pPr>
        <w:pStyle w:val="Heading2"/>
      </w:pPr>
      <w:r>
        <w:rPr>
          <w:rFonts w:ascii="Times New Roman" w:hAnsi="Times New Roman"/>
          <w:color w:val="000000"/>
        </w:rPr>
        <w:t>7.5 BPD作为中介因素</w:t>
      </w:r>
    </w:p>
    <w:p>
      <w:pPr>
        <w:spacing w:line="480" w:lineRule="auto"/>
      </w:pPr>
      <w:r>
        <w:rPr>
          <w:rFonts w:ascii="Times New Roman" w:hAnsi="Times New Roman"/>
          <w:b w:val="0"/>
          <w:i w:val="0"/>
          <w:sz w:val="24"/>
        </w:rPr>
        <w:t>BPD既是治疗靶点，也是NDI的独立风险因素（脑瘫、认知延迟和行为问题的比值增加2–3倍）[43]。糖皮质激素可能通过BPD降低产生间接神经保护，部分抵消直接神经毒性。EPICE队列研究[44]提供了该假设的首个直接检验：它比较了按预测BPD风险分层的PNS治疗与未治疗婴儿的神经发育结局，发现风险获益平衡可能确实取决于基线风险——在最高风险婴儿中获益，在较低风险婴儿中有害。NICHD NRN二次分析[35]检验了但未确认这一交互作用，尽管该试验的无效主要结果限制了把握度。</w:t>
      </w:r>
    </w:p>
    <w:p>
      <w:pPr>
        <w:pStyle w:val="Heading1"/>
      </w:pPr>
      <w:r>
        <w:rPr>
          <w:rFonts w:ascii="Times New Roman" w:hAnsi="Times New Roman"/>
          <w:color w:val="000000"/>
        </w:rPr>
        <w:t>8. 临床决策框架</w:t>
      </w:r>
    </w:p>
    <w:p>
      <w:pPr>
        <w:pStyle w:val="Heading2"/>
      </w:pPr>
      <w:r>
        <w:rPr>
          <w:rFonts w:ascii="Times New Roman" w:hAnsi="Times New Roman"/>
          <w:color w:val="000000"/>
        </w:rPr>
        <w:t>8.1 当前指南</w:t>
      </w:r>
    </w:p>
    <w:p>
      <w:pPr>
        <w:spacing w:line="480" w:lineRule="auto"/>
      </w:pPr>
      <w:r>
        <w:rPr>
          <w:rFonts w:ascii="Times New Roman" w:hAnsi="Times New Roman"/>
          <w:b w:val="0"/>
          <w:i w:val="0"/>
          <w:sz w:val="24"/>
        </w:rPr>
        <w:t>2025年欧洲RDS共识指南[45]推荐：避免常规早期地塞米松（A2）；在通气1–2周后、BPD风险&gt;60%的婴儿中考虑低剂量地塞米松（A2）；氢化可的松为替代选择，但其BPD疗效证据确定性较低；不推荐在研究环境之外常规使用吸入性糖皮质激素。</w:t>
      </w:r>
    </w:p>
    <w:p>
      <w:pPr>
        <w:pStyle w:val="Heading2"/>
      </w:pPr>
      <w:r>
        <w:rPr>
          <w:rFonts w:ascii="Times New Roman" w:hAnsi="Times New Roman"/>
          <w:color w:val="000000"/>
        </w:rPr>
        <w:t>8.2 风险分层方案</w:t>
      </w:r>
    </w:p>
    <w:p>
      <w:pPr>
        <w:spacing w:line="480" w:lineRule="auto"/>
      </w:pPr>
      <w:r>
        <w:rPr>
          <w:rFonts w:ascii="Times New Roman" w:hAnsi="Times New Roman"/>
          <w:b w:val="0"/>
          <w:i w:val="0"/>
          <w:sz w:val="24"/>
        </w:rPr>
        <w:t>证据支持按生后日龄、BPD风险和药物进行分层：</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场景</w:t>
            </w:r>
          </w:p>
        </w:tc>
        <w:tc>
          <w:tcPr>
            <w:tcW w:type="dxa" w:w="2878"/>
            <w:shd w:fill="D9E2F3" w:val="clear"/>
          </w:tcPr>
          <w:p/>
          <w:p>
            <w:r>
              <w:rPr>
                <w:rFonts w:ascii="Times New Roman" w:hAnsi="Times New Roman"/>
                <w:i w:val="0"/>
                <w:sz w:val="20"/>
              </w:rPr>
              <w:t>推荐</w:t>
            </w:r>
          </w:p>
        </w:tc>
        <w:tc>
          <w:tcPr>
            <w:tcW w:type="dxa" w:w="2878"/>
            <w:shd w:fill="D9E2F3" w:val="clear"/>
          </w:tcPr>
          <w:p/>
          <w:p>
            <w:r>
              <w:rPr>
                <w:rFonts w:ascii="Times New Roman" w:hAnsi="Times New Roman"/>
                <w:i w:val="0"/>
                <w:sz w:val="20"/>
              </w:rPr>
              <w:t>关键证据</w:t>
            </w:r>
          </w:p>
        </w:tc>
      </w:tr>
      <w:tr>
        <w:tc>
          <w:tcPr>
            <w:tcW w:type="dxa" w:w="2878"/>
          </w:tcPr>
          <w:p/>
          <w:p>
            <w:r>
              <w:rPr>
                <w:rFonts w:ascii="Times New Roman" w:hAnsi="Times New Roman"/>
                <w:i w:val="0"/>
                <w:sz w:val="20"/>
              </w:rPr>
              <w:t>生后第一周</w:t>
            </w:r>
          </w:p>
        </w:tc>
        <w:tc>
          <w:tcPr>
            <w:tcW w:type="dxa" w:w="2878"/>
          </w:tcPr>
          <w:p/>
          <w:p>
            <w:r>
              <w:rPr>
                <w:rFonts w:ascii="Times New Roman" w:hAnsi="Times New Roman"/>
                <w:i w:val="0"/>
                <w:sz w:val="20"/>
              </w:rPr>
              <w:t>避免，除非危及生命</w:t>
            </w:r>
          </w:p>
        </w:tc>
        <w:tc>
          <w:tcPr>
            <w:tcW w:type="dxa" w:w="2878"/>
          </w:tcPr>
          <w:p/>
          <w:p>
            <w:r>
              <w:rPr>
                <w:rFonts w:ascii="Times New Roman" w:hAnsi="Times New Roman"/>
                <w:i w:val="0"/>
                <w:sz w:val="20"/>
              </w:rPr>
              <w:t>CP RR 1.42, NNH 20 [14]</w:t>
            </w:r>
          </w:p>
        </w:tc>
      </w:tr>
      <w:tr>
        <w:tc>
          <w:tcPr>
            <w:tcW w:type="dxa" w:w="2878"/>
            <w:shd w:fill="F2F2F2" w:val="clear"/>
          </w:tcPr>
          <w:p/>
          <w:p>
            <w:r>
              <w:rPr>
                <w:rFonts w:ascii="Times New Roman" w:hAnsi="Times New Roman"/>
                <w:i w:val="0"/>
                <w:sz w:val="20"/>
              </w:rPr>
              <w:t>第2–3周，BPD风险&gt;60%，通气</w:t>
            </w:r>
          </w:p>
        </w:tc>
        <w:tc>
          <w:tcPr>
            <w:tcW w:type="dxa" w:w="2878"/>
            <w:shd w:fill="F2F2F2" w:val="clear"/>
          </w:tcPr>
          <w:p/>
          <w:p>
            <w:r>
              <w:rPr>
                <w:rFonts w:ascii="Times New Roman" w:hAnsi="Times New Roman"/>
                <w:i w:val="0"/>
                <w:sz w:val="20"/>
              </w:rPr>
              <w:t>考虑HC或低剂量地塞米松</w:t>
            </w:r>
          </w:p>
        </w:tc>
        <w:tc>
          <w:tcPr>
            <w:tcW w:type="dxa" w:w="2878"/>
            <w:shd w:fill="F2F2F2" w:val="clear"/>
          </w:tcPr>
          <w:p/>
          <w:p>
            <w:r>
              <w:rPr>
                <w:rFonts w:ascii="Times New Roman" w:hAnsi="Times New Roman"/>
                <w:i w:val="0"/>
                <w:sz w:val="20"/>
              </w:rPr>
              <w:t>死亡率降低；HC学龄期数据新兴[15,33,36]</w:t>
            </w:r>
          </w:p>
        </w:tc>
      </w:tr>
      <w:tr>
        <w:tc>
          <w:tcPr>
            <w:tcW w:type="dxa" w:w="2878"/>
          </w:tcPr>
          <w:p/>
          <w:p>
            <w:r>
              <w:rPr>
                <w:rFonts w:ascii="Times New Roman" w:hAnsi="Times New Roman"/>
                <w:i w:val="0"/>
                <w:sz w:val="20"/>
              </w:rPr>
              <w:t>第2–3周，BPD风险30–60%</w:t>
            </w:r>
          </w:p>
        </w:tc>
        <w:tc>
          <w:tcPr>
            <w:tcW w:type="dxa" w:w="2878"/>
          </w:tcPr>
          <w:p/>
          <w:p>
            <w:r>
              <w:rPr>
                <w:rFonts w:ascii="Times New Roman" w:hAnsi="Times New Roman"/>
                <w:i w:val="0"/>
                <w:sz w:val="20"/>
              </w:rPr>
              <w:t>如需治疗，优先HC</w:t>
            </w:r>
          </w:p>
        </w:tc>
        <w:tc>
          <w:tcPr>
            <w:tcW w:type="dxa" w:w="2878"/>
          </w:tcPr>
          <w:p/>
          <w:p>
            <w:r>
              <w:rPr>
                <w:rFonts w:ascii="Times New Roman" w:hAnsi="Times New Roman"/>
                <w:i w:val="0"/>
                <w:sz w:val="20"/>
              </w:rPr>
              <w:t>较低CP信号；NMA证据[17]</w:t>
            </w:r>
          </w:p>
        </w:tc>
      </w:tr>
      <w:tr>
        <w:tc>
          <w:tcPr>
            <w:tcW w:type="dxa" w:w="2878"/>
            <w:shd w:fill="F2F2F2" w:val="clear"/>
          </w:tcPr>
          <w:p/>
          <w:p>
            <w:r>
              <w:rPr>
                <w:rFonts w:ascii="Times New Roman" w:hAnsi="Times New Roman"/>
                <w:i w:val="0"/>
                <w:sz w:val="20"/>
              </w:rPr>
              <w:t>第4周+，顽固性</w:t>
            </w:r>
          </w:p>
        </w:tc>
        <w:tc>
          <w:tcPr>
            <w:tcW w:type="dxa" w:w="2878"/>
            <w:shd w:fill="F2F2F2" w:val="clear"/>
          </w:tcPr>
          <w:p/>
          <w:p>
            <w:r>
              <w:rPr>
                <w:rFonts w:ascii="Times New Roman" w:hAnsi="Times New Roman"/>
                <w:i w:val="0"/>
                <w:sz w:val="20"/>
              </w:rPr>
              <w:t>地塞米松因更强疗效可能优先</w:t>
            </w:r>
          </w:p>
        </w:tc>
        <w:tc>
          <w:tcPr>
            <w:tcW w:type="dxa" w:w="2878"/>
            <w:shd w:fill="F2F2F2" w:val="clear"/>
          </w:tcPr>
          <w:p/>
          <w:p>
            <w:r>
              <w:rPr>
                <w:rFonts w:ascii="Times New Roman" w:hAnsi="Times New Roman"/>
                <w:i w:val="0"/>
                <w:sz w:val="20"/>
              </w:rPr>
              <w:t>试验证据有限</w:t>
            </w:r>
          </w:p>
        </w:tc>
      </w:tr>
      <w:tr>
        <w:tc>
          <w:tcPr>
            <w:tcW w:type="dxa" w:w="2878"/>
          </w:tcPr>
          <w:p/>
          <w:p>
            <w:r>
              <w:rPr>
                <w:rFonts w:ascii="Times New Roman" w:hAnsi="Times New Roman"/>
                <w:i w:val="0"/>
                <w:sz w:val="20"/>
              </w:rPr>
              <w:t>吸入布地奈德</w:t>
            </w:r>
          </w:p>
        </w:tc>
        <w:tc>
          <w:tcPr>
            <w:tcW w:type="dxa" w:w="2878"/>
          </w:tcPr>
          <w:p/>
          <w:p>
            <w:r>
              <w:rPr>
                <w:rFonts w:ascii="Times New Roman" w:hAnsi="Times New Roman"/>
                <w:i w:val="0"/>
                <w:sz w:val="20"/>
              </w:rPr>
              <w:t>不推荐在试验外使用</w:t>
            </w:r>
          </w:p>
        </w:tc>
        <w:tc>
          <w:tcPr>
            <w:tcW w:type="dxa" w:w="2878"/>
          </w:tcPr>
          <w:p/>
          <w:p>
            <w:r>
              <w:rPr>
                <w:rFonts w:ascii="Times New Roman" w:hAnsi="Times New Roman"/>
                <w:i w:val="0"/>
                <w:sz w:val="20"/>
              </w:rPr>
              <w:t>NEUROSIS: 死亡率+5年NDI信号[38,39]</w:t>
            </w:r>
          </w:p>
        </w:tc>
      </w:tr>
    </w:tbl>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临床医生应以数值形式传达（BPD的NNT ~10，CP的NNH ~20–50，取决于药物和时机），明确承认所有试验数据终止于2岁——地塞米松的学龄期结局未知，氢化可的松的学龄期结局仅刚刚开始出现——并根据婴儿的BPD风险和家庭价值观进行个体化决策。目标不是说服家庭接受或拒绝治疗，而是使他们获得包括其局限性在内的信息，以有意义地参与共同决策。</w:t>
      </w:r>
    </w:p>
    <w:p>
      <w:pPr>
        <w:pStyle w:val="Heading1"/>
      </w:pPr>
      <w:r>
        <w:rPr>
          <w:rFonts w:ascii="Times New Roman" w:hAnsi="Times New Roman"/>
          <w:color w:val="000000"/>
        </w:rPr>
        <w:t>9. 知识空白</w:t>
      </w:r>
    </w:p>
    <w:p>
      <w:pPr>
        <w:pStyle w:val="Heading2"/>
      </w:pPr>
      <w:r>
        <w:rPr>
          <w:rFonts w:ascii="Times New Roman" w:hAnsi="Times New Roman"/>
          <w:color w:val="000000"/>
        </w:rPr>
        <w:t>9.1 随访鸿沟正在收窄</w:t>
      </w:r>
    </w:p>
    <w:p>
      <w:pPr>
        <w:spacing w:line="480" w:lineRule="auto"/>
      </w:pPr>
      <w:r>
        <w:rPr>
          <w:rFonts w:ascii="Times New Roman" w:hAnsi="Times New Roman"/>
          <w:b w:val="0"/>
          <w:i w:val="0"/>
          <w:sz w:val="24"/>
        </w:rPr>
        <w:t>2026年SToP-BPD和NICHD NRN学龄期发表代表了自Yeh 2004随访以来该领域最显著的进展。然而，它们仍是两项试验，均为氢化可的松。CAP咖啡因试验在5年时达到82%的随访率并报告了11年结局[47]，证明当被优先考虑时，新生儿RCT的长期随访是可行的。地塞米松的学龄期数据——超越单一Yeh队列——并不存在。任何产后糖皮质激素方案的成人结局仍完全未被研究，尽管有证据表明早产本身永久性地改变了直至中年期的肺功能轨迹[46]。</w:t>
      </w:r>
    </w:p>
    <w:p>
      <w:pPr>
        <w:pStyle w:val="Heading2"/>
      </w:pPr>
      <w:r>
        <w:rPr>
          <w:rFonts w:ascii="Times New Roman" w:hAnsi="Times New Roman"/>
          <w:color w:val="000000"/>
        </w:rPr>
        <w:t>9.2 头对头试验</w:t>
      </w:r>
    </w:p>
    <w:p>
      <w:pPr>
        <w:spacing w:line="480" w:lineRule="auto"/>
      </w:pPr>
      <w:r>
        <w:rPr>
          <w:rFonts w:ascii="Times New Roman" w:hAnsi="Times New Roman"/>
          <w:b w:val="0"/>
          <w:i w:val="0"/>
          <w:sz w:val="24"/>
        </w:rPr>
        <w:t>尚无充分把握度的RCT以远期神经发育为主要结局直接比较地塞米松与氢化可的松。间接证据一致支持HC的安全性优势，但试验人群、剂量和时代的残余混杂排除了确定性结论。</w:t>
      </w:r>
    </w:p>
    <w:p>
      <w:pPr>
        <w:pStyle w:val="Heading2"/>
      </w:pPr>
      <w:r>
        <w:rPr>
          <w:rFonts w:ascii="Times New Roman" w:hAnsi="Times New Roman"/>
          <w:color w:val="000000"/>
        </w:rPr>
        <w:t>9.3 个体化风险预测</w:t>
      </w:r>
    </w:p>
    <w:p>
      <w:pPr>
        <w:spacing w:line="480" w:lineRule="auto"/>
      </w:pPr>
      <w:r>
        <w:rPr>
          <w:rFonts w:ascii="Times New Roman" w:hAnsi="Times New Roman"/>
          <w:b w:val="0"/>
          <w:i w:val="0"/>
          <w:sz w:val="24"/>
        </w:rPr>
        <w:t>BPD风险调节糖皮质激素神经发育效应的假设得到了EPICE队列数据[44]的支持，但未被RCT层面分析所确认。一项按预测BPD风险分层入组并有足够把握度检测交互效应（N &gt; 1,000）的试验将解决这一问题。</w:t>
      </w:r>
    </w:p>
    <w:p>
      <w:pPr>
        <w:pStyle w:val="Heading2"/>
      </w:pPr>
      <w:r>
        <w:rPr>
          <w:rFonts w:ascii="Times New Roman" w:hAnsi="Times New Roman"/>
          <w:color w:val="000000"/>
        </w:rPr>
        <w:t>9.4 LMIC背景</w:t>
      </w:r>
    </w:p>
    <w:p>
      <w:pPr>
        <w:spacing w:line="480" w:lineRule="auto"/>
      </w:pPr>
      <w:r>
        <w:rPr>
          <w:rFonts w:ascii="Times New Roman" w:hAnsi="Times New Roman"/>
          <w:b w:val="0"/>
          <w:i w:val="0"/>
          <w:sz w:val="24"/>
        </w:rPr>
        <w:t>该证据几乎全部在高收入国家产生。地塞米松在LMICs广泛可得且价格低廉，而HC可能未被储备，通气能力有限，出院后随访几乎不存在。在这些具有不同基线风险、共病和遗传背景的环境中，风险获益比是否不同——尚不可知。</w:t>
      </w:r>
    </w:p>
    <w:p>
      <w:pPr>
        <w:pStyle w:val="Heading1"/>
      </w:pPr>
      <w:r>
        <w:rPr>
          <w:rFonts w:ascii="Times New Roman" w:hAnsi="Times New Roman"/>
          <w:color w:val="000000"/>
        </w:rPr>
        <w:t>10. 结论</w:t>
      </w:r>
    </w:p>
    <w:p>
      <w:pPr>
        <w:spacing w:line="480" w:lineRule="auto"/>
      </w:pPr>
      <w:r>
        <w:rPr>
          <w:rFonts w:ascii="Times New Roman" w:hAnsi="Times New Roman"/>
          <w:b w:val="0"/>
          <w:i w:val="0"/>
          <w:sz w:val="24"/>
        </w:rPr>
        <w:t>产后糖皮质激素的证据基础已相当成熟。四十年的试验数据精确刻画了地塞米松风险获益权衡：早期高剂量地塞米松降低BPD（NNT ~10）并增加CP（NNH ~20）。晚期、低剂量方案减弱了这一风险。氢化可的松，在三项大型RCT中得到检验且其中两项现已拥有学龄期随访，未表现出神经发育代价，是产后糖皮质激素必要时首选的药物。</w:t>
      </w:r>
    </w:p>
    <w:p>
      <w:pPr>
        <w:spacing w:line="480" w:lineRule="auto"/>
      </w:pPr>
      <w:r>
        <w:rPr>
          <w:rFonts w:ascii="Times New Roman" w:hAnsi="Times New Roman"/>
          <w:b w:val="0"/>
          <w:i w:val="0"/>
          <w:sz w:val="24"/>
        </w:rPr>
        <w:t>2026年SToP-BPD和NICHD NRN氢化可的松的学龄期发表标志着一个转折点：该领域正从一个由18–24个月Bayley数据主导的证据基础，转向一个可以开始回答父母实际询问的问题——"我的孩子上学时会是什么样？"的基础。对氢化可的松而言，答案尚在系统研究之中。对地塞米松，以及对任何产后糖皮质激素的成人结局而言，问题仍未获回答。</w:t>
      </w:r>
    </w:p>
    <w:p>
      <w:pPr>
        <w:spacing w:line="480" w:lineRule="auto"/>
      </w:pPr>
      <w:r>
        <w:rPr>
          <w:rFonts w:ascii="Times New Roman" w:hAnsi="Times New Roman"/>
          <w:b w:val="0"/>
          <w:i w:val="0"/>
          <w:sz w:val="24"/>
        </w:rPr>
        <w:t>地塞米松-氢化可的松选择应个体化：氢化可的松用于生后第一周后需要治疗的大多数婴儿，地塞米松保留用于其更大疗效被判定为超过其更大风险的顽固性病例。这一框架基于最佳可用证据。随着2026年学龄期数据的成熟，以及——希望——针对早期地塞米松时代现已中年的幸存者启动成人随访研究，它将需要修订。</w:t>
      </w:r>
    </w:p>
    <w:p>
      <w:pPr>
        <w:pStyle w:val="Heading1"/>
      </w:pPr>
      <w:r>
        <w:rPr>
          <w:rFonts w:ascii="Times New Roman" w:hAnsi="Times New Roman"/>
          <w:color w:val="000000"/>
        </w:rPr>
        <w:t>参考文献</w:t>
      </w:r>
    </w:p>
    <w:p>
      <w:pPr>
        <w:spacing w:line="480" w:lineRule="auto"/>
      </w:pPr>
      <w:r>
        <w:rPr>
          <w:rFonts w:ascii="Times New Roman" w:hAnsi="Times New Roman"/>
          <w:b w:val="0"/>
          <w:i w:val="0"/>
          <w:sz w:val="24"/>
        </w:rPr>
        <w:t>1. Stoll BJ, Hansen NI, Bell EF, et al. Trends in care practices, morbidity, and mortality of extremely preterm neonates, 1993–2012. JAMA 2015;314:1039–51. 2. Anderson PJ, Doyle LW. Neurodevelopmental outcome of bronchopulmonary dysplasia. Semin Perinatol 2006;30:227–32. 3. American Academy of Pediatrics Committee on Fetus and Newborn. Postnatal corticosteroids to treat or prevent chronic lung disease in preterm infants. Pediatrics 2002;109:330–8. 4. Northway WH Jr, Rosan RC, Porter DY. Pulmonary disease following respirator therapy of hyaline-membrane disease. N Engl J Med 1967;276:357–68. 5. Speer CP. Pulmonary inflammation and bronchopulmonary dysplasia. J Perinatol 2006;26(Suppl 1):S57–62. 6. Cummings JJ, D'Eugenio DB, Gross SJ. A controlled trial of dexamethasone in preterm infants at high risk for bronchopulmonary dysplasia. N Engl J Med 1989;320:1505–10. 7. Yoder BA, Harrison MC, Clark RH. Time-related changes in steroid use and bronchopulmonary dysplasia in very low birth weight infants. Pediatrics 2009;124:673–9. 8. Shinwell ES, Karplus M, Reich D, et al. Early postnatal dexamethasone therapy and increased incidence of cerebral palsy. Arch Dis Child Fetal Neonatal Ed 1997;76:F283–7. 9. O'Shea TM, Kothadia JM, Klinepeter KL, et al. Randomized placebo-controlled trial of a 42-day tapering course of dexamethasone to reduce the duration of ventilator dependency in very low birth weight infants. Pediatrics 1999;104:15–21. 10. Yeh TF, Lin YJ, Lin HC, et al. Outcomes at school age after postnatal dexamethasone therapy for lung disease of prematurity. N Engl J Med 2004;350:1304–13. 11. Yeh TF, Lin YJ, Huang CC, et al. Early dexamethasone therapy in preterm infants: a follow-up study. Pediatrics 1998;101:e7. 12. Jenkinson A, O'Connell O, Ryan CA, et al. Systematic review of the long-term effects of postnatal corticosteroids. J Perinat Med 2023;51:951–60. 13. Cheong JLY, Anderson P, Roberts G, et al. Postnatal corticosteroids and neurodevelopmental outcomes in extremely low-birth-weight or extremely preterm infants. JAMA Pediatr 2014;168:828–35. 14. Doyle LW, Cheong JL, Hay S, et al. Early (&lt;7 days) systemic postnatal corticosteroids for prevention of bronchopulmonary dysplasia in preterm infants. Cochrane Database Syst Rev 2021;(10):CD001146. 15. Doyle LW, Cheong JL, Hay S, et al. Late (≥7 days) systemic postnatal corticosteroids for prevention of bronchopulmonary dysplasia in preterm infants. Cochrane Database Syst Rev 2021;(11):CD001145. 16. van de Loo M, van Kaam A, Offringa M, et al. Corticosteroids for the prevention and treatment of bronchopulmonary dysplasia: an overview of systematic reviews. Cochrane Database Syst Rev 2024;(3):CD013271. PMID: 38597338. 17. Ramaswamy VV, Bandyopadhyay T, Nanda D, et al. Systemic corticosteroids for the prevention of bronchopulmonary dysplasia, a network meta-analysis. Cochrane Database Syst Rev 2023;(8):CD014603. PMID: 37650547. 18. Zeng L, Tian J, Song F, et al. Assessment of postnatal corticosteroids for the prevention of bronchopulmonary dysplasia in preterm neonates: a systematic review and network meta-analysis. JAMA Pediatr 2021;175:e206826. PMID: 33720274. 19. Doyle LW, Davis PG, Morley CJ, et al. Outcome at 2 years of age of infants from the DART study. Pediatrics 2007;119:716–21. 20. Baud O, Maury L, Lebail F, et al. Effect of early low-dose hydrocortisone on survival without bronchopulmonary dysplasia in extremely preterm infants (PREMILOC). Lancet 2016;387:1827–36. 21. Onland W, De Jaegere AP, Offringa M, et al. Systemic corticosteroid regimens for prevention of bronchopulmonary dysplasia in preterm infants. Cochrane Database Syst Rev 2017;(1):CD010941. 22. McEwen BS. Glucocorticoids, depression, and mood disorders: structural remodeling in the brain. Metabolism 2005;54(5 Suppl 1):20–3. 23. Zeng L, Tian J, Song F, et al. Effect of dexamethasone on intelligence and hearing in preterm infants: a meta-analysis. Pediatrics 2014;134:898–906. PMID: 25206867. 24. O'Brien CE, et al. Postnatal dexamethasone treatment for preterm infants at high risk for bronchopulmonary dysplasia is associated with altered regional brain volumes at term-equivalent age. Pediatr Res 2025. PMID: 40360237. 25. Baud O, Trousson C, Biran V, et al. Two-year neurodevelopmental outcomes of extremely preterm infants treated with early hydrocortisone. Arch Dis Child Fetal Neonatal Ed 2019;104:F30–5. 26. Trousson C, Biran V, Zana-Taieb E, et al. Association between early low-dose hydrocortisone therapy in extremely preterm neonates and neurodevelopmental outcomes at 2 years of age. JAMA 2017;317:1329–37. 27. Baud O, Lehert P. BPD at 40 weeks better predicts neurodevelopmental impairment than BPD at 36 weeks. Pediatr Res 2025;97:255–61. PMID: 39453210. 28. Baud O, Lehert P. The beneficial effect of prophylactic hydrocortisone treatment in extremely preterm infants improves upon adjustment of the baseline characteristics. Pediatr Res 2024;95:251–6. PMID: 37653218. 29. Halbmeijer NM, Onland W, Cools F, et al. Effect of systemic hydrocortisone initiated 7 to 14 days after birth in ventilated preterm infants on neurodevelopmental outcomes at 2 years' corrected age. JAMA 2021;326:355–65. 30. Halbmeijer NM, Onland W, Cools F, et al. Effect of systemic hydrocortisone in ventilated preterm infants on parent-reported behavioural outcomes at 2 years' corrected age. Arch Dis Child Fetal Neonatal Ed 2023;108:452–8. 31. Cools F, Halbmeijer NM, Onland W, et al. Effect of systemic hydrocortisone on brain abnormalities and regional brain volumes. J Pediatr 2024;265:113609. 32. Halbmeijer NM, Onland W, Cools F, et al. Identifying effect modifiers of systemic hydrocortisone treatment. Arch Dis Child Fetal Neonatal Ed 2023;108:444–51. 33. de Baat T, van de Loo M, Aarnoudse-Moens CSH, et al. Effect of systemic hydrocortisone in ventilated infants born preterm: mortality and 5.5-year neurodevelopmental outcomes. Arch Dis Child Fetal Neonatal Ed 2026. PMID: 41391545. 34. Watterberg KL, Walsh MC, Li L, et al. Hydrocortisone to improve survival without bronchopulmonary dysplasia. N Engl J Med 2022;386:1121–31. 35. Gentle SJ, Rysavy MA, Li L, et al. Heterogeneity of treatment effects of hydrocortisone by risk of BPD or death. JAMA Netw Open 2023;6:e2315315. 36. DeMauro SB, Kirpalani H, Hintz S, et al. Hydrocortisone in preterm infants and school-age functional outcomes: follow-up of a randomized clinical trial. JAMA 2026. PMID: 41359352. 37. Taniguchi A, et al. Total hydrocortisone dosage in extremely low birth weight infants and neurodevelopment up to school age. Pediatr Res 2026. PMID: 40987824. 38. Bassler D, Plavka R, Shinwell ES, et al. Early inhaled budesonide for the prevention of bronchopulmonary dysplasia. N Engl J Med 2015;373:1497–506. 39. Bassler D, Shinwell ES, Hallman M, et al. Long-term effects of inhaled budesonide for bronchopulmonary dysplasia. N Engl J Med 2018;378:148–57. 40. Moschino L, et al. Efficacy of pulmonary surfactant with budesonide in premature infants: a systematic review and meta-analysis. Pediatr Pulmonol 2025;60:e27488. PMID: 39787118. 41. Filippone M, et al. Use of budesonide associated with a pulmonary surfactant to prevent bronchopulmonary dysplasia in premature newborns. J Pediatr 2023. PMID: 36436670. 42. Luttikhuizen dos Santos ES, de Kieviet JF, Königs M, et al. Predictive value of the Bayley Scales of Infant Development. Early Hum Dev 2013;89:487–96. 43. Singer L, Yamashita T, Lilien L, et al. A longitudinal study of developmental outcome of infants with bronchopulmonary dysplasia. Pediatrics 1997;100:987–93. 44. Zayat N, Truffert P, Drumez E, et al. Systemic steroids in preventing bronchopulmonary dysplasia: neurodevelopmental outcome according to the risk of BPD in the EPICE cohort. Arch Dis Child Fetal Neonatal Ed 2022. PMID: 35564997. 45. Sweet DG, Carnielli VP, Greisen G, et al. European consensus guidelines on the management of respiratory distress syndrome: 2025 update. Neonatology 2025;122:1–42. 46. Gibson AM, Reddington C, MacBean V, et al. Lung function in adult survivors of very preterm birth. Thorax 2015;70:639–43. 47. Schmidt B, Anderson PJ, Doyle LW, et al. Survival without disability to age 5 years after neonatal caffeine therapy for apnea of prematurity. JAMA 2012;307:275–82. 48. Watterberg KL, Gerdes JS, Cole CH, et al. Prophylaxis of early adrenal insufficiency to prevent bronchopulmonary dysplasia: a multicenter trial. Pediatrics 2004;114:1649–57.</w:t>
      </w:r>
    </w:p>
    <w:p>
      <w:pPr>
        <w:pStyle w:val="Heading1"/>
      </w:pPr>
      <w:r>
        <w:rPr>
          <w:rFonts w:ascii="Times New Roman" w:hAnsi="Times New Roman"/>
          <w:color w:val="000000"/>
        </w:rPr>
        <w:t>作者贡献</w:t>
      </w:r>
    </w:p>
    <w:p>
      <w:pPr>
        <w:spacing w:line="480" w:lineRule="auto"/>
      </w:pPr>
      <w:r>
        <w:rPr>
          <w:rFonts w:ascii="Times New Roman" w:hAnsi="Times New Roman"/>
          <w:b w:val="0"/>
          <w:i w:val="0"/>
          <w:sz w:val="24"/>
        </w:rPr>
        <w:t>[待作者填写]</w:t>
      </w:r>
    </w:p>
    <w:p>
      <w:pPr>
        <w:pStyle w:val="Heading1"/>
      </w:pPr>
      <w:r>
        <w:rPr>
          <w:rFonts w:ascii="Times New Roman" w:hAnsi="Times New Roman"/>
          <w:color w:val="000000"/>
        </w:rPr>
        <w:t>基金资助</w:t>
      </w:r>
    </w:p>
    <w:p>
      <w:pPr>
        <w:spacing w:line="480" w:lineRule="auto"/>
      </w:pPr>
      <w:r>
        <w:rPr>
          <w:rFonts w:ascii="Times New Roman" w:hAnsi="Times New Roman"/>
          <w:b w:val="0"/>
          <w:i w:val="0"/>
          <w:sz w:val="24"/>
        </w:rPr>
        <w:t>[待作者填写]</w:t>
      </w:r>
    </w:p>
    <w:p>
      <w:pPr>
        <w:pStyle w:val="Heading1"/>
      </w:pPr>
      <w:r>
        <w:rPr>
          <w:rFonts w:ascii="Times New Roman" w:hAnsi="Times New Roman"/>
          <w:color w:val="000000"/>
        </w:rPr>
        <w:t>利益冲突</w:t>
      </w:r>
    </w:p>
    <w:p>
      <w:pPr>
        <w:spacing w:line="480" w:lineRule="auto"/>
      </w:pPr>
      <w:r>
        <w:rPr>
          <w:rFonts w:ascii="Times New Roman" w:hAnsi="Times New Roman"/>
          <w:b w:val="0"/>
          <w:i w:val="0"/>
          <w:sz w:val="24"/>
        </w:rPr>
        <w:t>[待作者填写]</w:t>
      </w:r>
    </w:p>
    <w:p>
      <w:pPr>
        <w:pStyle w:val="Heading1"/>
      </w:pPr>
      <w:r>
        <w:rPr>
          <w:rFonts w:ascii="Times New Roman" w:hAnsi="Times New Roman"/>
          <w:color w:val="000000"/>
        </w:rPr>
        <w:t>数据可用性声明</w:t>
      </w:r>
    </w:p>
    <w:p>
      <w:pPr>
        <w:spacing w:line="480" w:lineRule="auto"/>
      </w:pPr>
      <w:r>
        <w:rPr>
          <w:rFonts w:ascii="Times New Roman" w:hAnsi="Times New Roman"/>
          <w:b w:val="0"/>
          <w:i w:val="0"/>
          <w:sz w:val="24"/>
        </w:rPr>
        <w:t>本综述未生成新数据。所有引用文献均可通过PubMed和Europe PMC公开获取。</w:t>
      </w:r>
    </w:p>
    <w:p>
      <w:pPr>
        <w:pStyle w:val="Heading1"/>
      </w:pPr>
      <w:r>
        <w:rPr>
          <w:rFonts w:ascii="Times New Roman" w:hAnsi="Times New Roman"/>
          <w:color w:val="000000"/>
        </w:rPr>
        <w:t>伦理审批</w:t>
      </w:r>
    </w:p>
    <w:p>
      <w:pPr>
        <w:spacing w:line="480" w:lineRule="auto"/>
      </w:pPr>
      <w:r>
        <w:rPr>
          <w:rFonts w:ascii="Times New Roman" w:hAnsi="Times New Roman"/>
          <w:b w:val="0"/>
          <w:i w:val="0"/>
          <w:sz w:val="24"/>
        </w:rPr>
        <w:t>不适用——本综述为已发表文献的综述，不涉及人类受试者研究。</w:t>
      </w:r>
    </w:p>
    <w:p>
      <w:pPr>
        <w:pStyle w:val="Heading1"/>
      </w:pPr>
      <w:r>
        <w:rPr>
          <w:rFonts w:ascii="Times New Roman" w:hAnsi="Times New Roman"/>
          <w:color w:val="000000"/>
        </w:rPr>
        <w:t>致谢</w:t>
      </w:r>
    </w:p>
    <w:p>
      <w:pPr>
        <w:spacing w:line="480" w:lineRule="auto"/>
      </w:pPr>
      <w:r>
        <w:rPr>
          <w:rFonts w:ascii="Times New Roman" w:hAnsi="Times New Roman"/>
          <w:b w:val="0"/>
          <w:i w:val="0"/>
          <w:sz w:val="24"/>
        </w:rPr>
        <w:t>本综述在AI辅助下撰写（Claude Code，Anthropic），所有实质性声明均已对照引用来源进行人工验证。系统检索使用Europe PMC API（https://www.ebi.ac.uk/europepmc/）完成。本工作未获得外部资金资助。</w:t>
      </w:r>
    </w:p>
    <w:p>
      <w:pPr>
        <w:spacing w:line="480" w:lineRule="auto"/>
      </w:pPr>
      <w:r>
        <w:rPr>
          <w:rFonts w:ascii="Times New Roman" w:hAnsi="Times New Roman"/>
          <w:b w:val="0"/>
          <w:i w:val="0"/>
          <w:sz w:val="24"/>
        </w:rPr>
        <w:t>透明性说明： 本综述基于Europe PMC的系统检索（6个检索角度，2026年6月8日）。在8,406条唯一记录中，经标题筛选和摘要审查（依据预设PICO标准：早产儿；产后糖皮质激素；神经发育或远期结局），309篇被纳入。证据采用叙述性综合方法，优先纳入RCT、Cochrane系统评价以及近期（2022–2026年）队列研究。未采用正式的双人筛选或PRISMA流程图；检索和筛选由单一评价者完成。</w:t>
      </w:r>
    </w:p>
    <w:p>
      <w:r>
        <w:br w:type="page"/>
      </w:r>
    </w:p>
    <w:p>
      <w:pPr>
        <w:pStyle w:val="Heading1"/>
      </w:pPr>
      <w:r>
        <w:rPr>
          <w:rFonts w:ascii="Times New Roman" w:hAnsi="Times New Roman"/>
          <w:color w:val="000000"/>
        </w:rPr>
        <w:t>References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